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00" w:rsidRDefault="00CB1F00" w:rsidP="00CB1F00">
      <w:pPr>
        <w:spacing w:line="0" w:lineRule="atLeast"/>
        <w:ind w:right="-99"/>
        <w:jc w:val="center"/>
        <w:rPr>
          <w:rFonts w:ascii="Arial" w:eastAsia="Arial" w:hAnsi="Arial"/>
          <w:b/>
          <w:color w:val="121212"/>
          <w:sz w:val="24"/>
        </w:rPr>
      </w:pPr>
      <w:r>
        <w:rPr>
          <w:rFonts w:ascii="Arial" w:eastAsia="Arial" w:hAnsi="Arial"/>
          <w:b/>
          <w:color w:val="121212"/>
          <w:sz w:val="24"/>
        </w:rPr>
        <w:t>SECCIÓN TERCERA</w:t>
      </w:r>
    </w:p>
    <w:p w:rsidR="00CB1F00" w:rsidRDefault="00CB1F00" w:rsidP="00CB1F00">
      <w:pPr>
        <w:spacing w:line="0" w:lineRule="atLeast"/>
        <w:ind w:right="-99"/>
        <w:jc w:val="center"/>
        <w:rPr>
          <w:rFonts w:ascii="Arial" w:eastAsia="Arial" w:hAnsi="Arial"/>
          <w:b/>
          <w:color w:val="121212"/>
          <w:sz w:val="24"/>
        </w:rPr>
      </w:pPr>
      <w:r>
        <w:rPr>
          <w:rFonts w:ascii="Arial" w:eastAsia="Arial" w:hAnsi="Arial"/>
          <w:b/>
          <w:color w:val="121212"/>
          <w:sz w:val="24"/>
        </w:rPr>
        <w:t>INTERROGATORIO DE TESTIGOS</w:t>
      </w:r>
    </w:p>
    <w:p w:rsidR="00CB1F00" w:rsidRDefault="00CB1F00" w:rsidP="00CB1F00">
      <w:pPr>
        <w:spacing w:line="281" w:lineRule="exact"/>
        <w:rPr>
          <w:rFonts w:ascii="Times New Roman" w:eastAsia="Times New Roman" w:hAnsi="Times New Roman"/>
        </w:rPr>
      </w:pPr>
    </w:p>
    <w:p w:rsidR="00CB1F00" w:rsidRDefault="00CB1F00" w:rsidP="00CB1F00">
      <w:pPr>
        <w:spacing w:line="0" w:lineRule="atLeast"/>
        <w:ind w:left="5820"/>
        <w:rPr>
          <w:rFonts w:ascii="Arial" w:eastAsia="Arial" w:hAnsi="Arial"/>
          <w:i/>
          <w:color w:val="121212"/>
          <w:sz w:val="18"/>
        </w:rPr>
      </w:pPr>
      <w:r>
        <w:rPr>
          <w:rFonts w:ascii="Arial" w:eastAsia="Arial" w:hAnsi="Arial"/>
          <w:i/>
          <w:color w:val="121212"/>
          <w:sz w:val="18"/>
        </w:rPr>
        <w:t xml:space="preserve">Por: Juan Carlos </w:t>
      </w:r>
    </w:p>
    <w:p w:rsidR="00CB1F00" w:rsidRDefault="00CB1F00" w:rsidP="00CB1F00">
      <w:pPr>
        <w:spacing w:line="293" w:lineRule="exact"/>
        <w:rPr>
          <w:rFonts w:ascii="Times New Roman" w:eastAsia="Times New Roman" w:hAnsi="Times New Roman"/>
        </w:rPr>
      </w:pPr>
    </w:p>
    <w:p w:rsidR="00CB1F00" w:rsidRDefault="00CB1F00" w:rsidP="00CB1F00">
      <w:pPr>
        <w:spacing w:line="0" w:lineRule="atLeast"/>
        <w:ind w:left="100"/>
        <w:rPr>
          <w:rFonts w:ascii="Arial" w:eastAsia="Arial" w:hAnsi="Arial"/>
          <w:b/>
          <w:color w:val="121212"/>
        </w:rPr>
      </w:pPr>
      <w:r>
        <w:rPr>
          <w:rFonts w:ascii="Arial" w:eastAsia="Arial" w:hAnsi="Arial"/>
          <w:b/>
          <w:color w:val="121212"/>
        </w:rPr>
        <w:t>SUMARIO:</w:t>
      </w:r>
    </w:p>
    <w:p w:rsidR="00CB1F00" w:rsidRDefault="00CB1F00" w:rsidP="00CB1F00">
      <w:pPr>
        <w:spacing w:line="10" w:lineRule="exact"/>
        <w:rPr>
          <w:rFonts w:ascii="Times New Roman" w:eastAsia="Times New Roman" w:hAnsi="Times New Roman"/>
        </w:rPr>
      </w:pPr>
    </w:p>
    <w:p w:rsidR="00CB1F00" w:rsidRDefault="00CB1F00" w:rsidP="00CB1F00">
      <w:pPr>
        <w:spacing w:line="263" w:lineRule="auto"/>
        <w:ind w:left="100"/>
        <w:jc w:val="both"/>
        <w:rPr>
          <w:rFonts w:ascii="Arial" w:eastAsia="Arial" w:hAnsi="Arial"/>
          <w:color w:val="121212"/>
        </w:rPr>
      </w:pPr>
      <w:r>
        <w:rPr>
          <w:rFonts w:ascii="Arial" w:eastAsia="Arial" w:hAnsi="Arial"/>
          <w:color w:val="121212"/>
        </w:rPr>
        <w:t>I.- Concepto. Testigo estricto y testigo-perito.- II.- Prohibiciones y exenciones al deber de declarar.-III.- Obligaciones y derechos del testigo.- IV.- Proposición y admisión.- V.- Control de la prueba testifical.- VI.- Práctica.- VII.- Valoración.</w:t>
      </w:r>
    </w:p>
    <w:p w:rsidR="00CB1F00" w:rsidRDefault="00CB1F00" w:rsidP="00CB1F00">
      <w:pPr>
        <w:spacing w:line="227" w:lineRule="exact"/>
        <w:rPr>
          <w:rFonts w:ascii="Times New Roman" w:eastAsia="Times New Roman" w:hAnsi="Times New Roman"/>
        </w:rPr>
      </w:pPr>
    </w:p>
    <w:p w:rsidR="00CB1F00" w:rsidRDefault="00CB1F00" w:rsidP="00CB1F00">
      <w:pPr>
        <w:numPr>
          <w:ilvl w:val="0"/>
          <w:numId w:val="1"/>
        </w:numPr>
        <w:tabs>
          <w:tab w:val="left" w:pos="660"/>
        </w:tabs>
        <w:spacing w:line="0" w:lineRule="atLeast"/>
        <w:ind w:left="660" w:hanging="566"/>
        <w:rPr>
          <w:rFonts w:ascii="Arial" w:eastAsia="Arial" w:hAnsi="Arial"/>
          <w:b/>
          <w:color w:val="121212"/>
          <w:sz w:val="24"/>
        </w:rPr>
      </w:pPr>
      <w:r>
        <w:rPr>
          <w:rFonts w:ascii="Arial" w:eastAsia="Arial" w:hAnsi="Arial"/>
          <w:b/>
          <w:color w:val="121212"/>
          <w:sz w:val="24"/>
        </w:rPr>
        <w:t>Concepto. Testigo estricto y testigo-perito</w:t>
      </w:r>
    </w:p>
    <w:p w:rsidR="00CB1F00" w:rsidRDefault="00CB1F00" w:rsidP="00CB1F00">
      <w:pPr>
        <w:spacing w:line="244" w:lineRule="exact"/>
        <w:rPr>
          <w:rFonts w:ascii="Times New Roman" w:eastAsia="Times New Roman" w:hAnsi="Times New Roman"/>
        </w:rPr>
      </w:pPr>
    </w:p>
    <w:p w:rsidR="00CB1F00" w:rsidRDefault="00CB1F00" w:rsidP="00CB1F00">
      <w:pPr>
        <w:tabs>
          <w:tab w:val="left" w:pos="640"/>
        </w:tabs>
        <w:spacing w:line="229" w:lineRule="auto"/>
        <w:ind w:left="660" w:hanging="566"/>
        <w:jc w:val="both"/>
        <w:rPr>
          <w:rFonts w:ascii="Arial" w:eastAsia="Arial" w:hAnsi="Arial"/>
          <w:color w:val="121212"/>
          <w:sz w:val="24"/>
        </w:rPr>
      </w:pPr>
      <w:r>
        <w:rPr>
          <w:rFonts w:ascii="Arial" w:eastAsia="Arial" w:hAnsi="Arial"/>
          <w:b/>
          <w:color w:val="121212"/>
          <w:sz w:val="24"/>
        </w:rPr>
        <w:t>1.-</w:t>
      </w:r>
      <w:r>
        <w:rPr>
          <w:rFonts w:ascii="Times New Roman" w:eastAsia="Times New Roman" w:hAnsi="Times New Roman"/>
        </w:rPr>
        <w:tab/>
      </w:r>
      <w:r>
        <w:rPr>
          <w:rFonts w:ascii="Arial" w:eastAsia="Arial" w:hAnsi="Arial"/>
          <w:color w:val="121212"/>
          <w:sz w:val="24"/>
        </w:rPr>
        <w:t>La testifical es una prueba personal por la que se pretende obtener información pertinente y útil sobre los hechos controvertidos, de sujetos que son terceros ajenos a la contienda; lo que determina su aplicación, por tanto, es la posibilidad de que una persona haya podido percibir los hechos por sus sentidos y que, además, esa persona no tenga el carácter de parte (o de representante de ésta, en los términos ya vistos de los arts. 346 y 347 del Código).</w:t>
      </w:r>
    </w:p>
    <w:p w:rsidR="00CB1F00" w:rsidRDefault="00CB1F00" w:rsidP="00CB1F00">
      <w:pPr>
        <w:spacing w:line="236" w:lineRule="exact"/>
        <w:rPr>
          <w:rFonts w:ascii="Times New Roman" w:eastAsia="Times New Roman" w:hAnsi="Times New Roman"/>
        </w:rPr>
      </w:pPr>
    </w:p>
    <w:p w:rsidR="00CB1F00" w:rsidRDefault="00CB1F00" w:rsidP="00CB1F00">
      <w:pPr>
        <w:tabs>
          <w:tab w:val="left" w:pos="640"/>
        </w:tabs>
        <w:spacing w:line="229" w:lineRule="auto"/>
        <w:ind w:left="660" w:hanging="566"/>
        <w:jc w:val="both"/>
        <w:rPr>
          <w:rFonts w:ascii="Arial" w:eastAsia="Arial" w:hAnsi="Arial"/>
          <w:color w:val="121212"/>
          <w:sz w:val="24"/>
        </w:rPr>
      </w:pPr>
      <w:r>
        <w:rPr>
          <w:rFonts w:ascii="Arial" w:eastAsia="Arial" w:hAnsi="Arial"/>
          <w:b/>
          <w:color w:val="121212"/>
          <w:sz w:val="24"/>
        </w:rPr>
        <w:t>2.-</w:t>
      </w:r>
      <w:r>
        <w:rPr>
          <w:rFonts w:ascii="Times New Roman" w:eastAsia="Times New Roman" w:hAnsi="Times New Roman"/>
        </w:rPr>
        <w:tab/>
      </w:r>
      <w:r>
        <w:rPr>
          <w:rFonts w:ascii="Arial" w:eastAsia="Arial" w:hAnsi="Arial"/>
          <w:color w:val="121212"/>
          <w:sz w:val="24"/>
        </w:rPr>
        <w:t>Lo que se quiere del testigo por tanto es únicamente una cosa: su versión de los hechos, una declaración de ciencia o conocimiento que pueda resultar representativa de los hechos controvertidos (art. 354 CPCM). No se pide del testigo juicios de valor, ni hipótesis, ni siquiera máximas de la experiencia especializada, para cuyo cometido se implementa a su vez la prueba pericial de la que luego hablaremos.</w:t>
      </w:r>
    </w:p>
    <w:p w:rsidR="00CB1F00" w:rsidRDefault="00CB1F00" w:rsidP="00CB1F00">
      <w:pPr>
        <w:spacing w:line="20" w:lineRule="exact"/>
        <w:rPr>
          <w:rFonts w:ascii="Times New Roman" w:eastAsia="Times New Roman" w:hAnsi="Times New Roman"/>
        </w:rPr>
      </w:pPr>
      <w:r>
        <w:rPr>
          <w:rFonts w:ascii="Arial" w:eastAsia="Arial" w:hAnsi="Arial"/>
          <w:noProof/>
          <w:color w:val="121212"/>
          <w:sz w:val="24"/>
        </w:rPr>
        <mc:AlternateContent>
          <mc:Choice Requires="wps">
            <w:drawing>
              <wp:anchor distT="0" distB="0" distL="114300" distR="114300" simplePos="0" relativeHeight="251659264" behindDoc="1" locked="0" layoutInCell="1" allowOverlap="1">
                <wp:simplePos x="0" y="0"/>
                <wp:positionH relativeFrom="column">
                  <wp:posOffset>59055</wp:posOffset>
                </wp:positionH>
                <wp:positionV relativeFrom="paragraph">
                  <wp:posOffset>458470</wp:posOffset>
                </wp:positionV>
                <wp:extent cx="1080135" cy="0"/>
                <wp:effectExtent l="5080" t="5715" r="10160" b="13335"/>
                <wp:wrapNone/>
                <wp:docPr id="45"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825B2" id="Conector recto 4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36.1pt" to="89.7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FJgIAAE0EAAAOAAAAZHJzL2Uyb0RvYy54bWysVMGO2yAQvVfqPyDuWduJk2atOKvKTnrZ&#10;tpF2+wEEcIyKAQGJE1X99w44jrLtpaoqSzAww+PNzMOrp3Mn0YlbJ7QqcfaQYsQV1UyoQ4m/vW4n&#10;S4ycJ4oRqRUv8YU7/LR+/27Vm4JPdasl4xYBiHJFb0rcem+KJHG05R1xD9pwBc5G2454WNpDwizp&#10;Ab2TyTRNF0mvLTNWU+4c7NaDE68jftNw6r82jeMeyRIDNx9HG8d9GJP1ihQHS0wr6JUG+QcWHREK&#10;Lr1B1cQTdLTiD6hOUKudbvwD1V2im0ZQHnOAbLL0t2xeWmJ4zAWK48ytTO7/wdIvp51FgpU4n2Ok&#10;SAc9qqBT1GuLbJgQOKBKvXEFBFdqZ0Oe9KxezLOm3x1SumqJOvDI9vViACELJ5I3R8LCGbhr33/W&#10;DGLI0etYsnNjuwAJxUDn2JnLrTP87BGFzSxdptkMGNLRl5BiPGis85+47lAwSiyFCkUjBTk9Ox+I&#10;kGIMCdtKb4WUsfFSob7Ei9k8jQecloIFZwhz9rCvpEUnAtLJpuGLWYHnPiwg18S1Q1x0DaKy+qhY&#10;vKXlhG2utidCDjawkipcBDkCz6s1iObHY/q4WW6W+SSfLjaTPK3rycdtlU8W2+zDvJ7VVVVnPwPn&#10;LC9awRhXgfYo4Cz/O4Fcn9IgvZuEb/VJ3qLHQgLZcY6kY5NDXweF7DW77OzYfNBsDL6+r/Ao7tdg&#10;3/8F1r8AAAD//wMAUEsDBBQABgAIAAAAIQD/cXKL2gAAAAcBAAAPAAAAZHJzL2Rvd25yZXYueG1s&#10;TI7LTsMwEEX3SP0Ha5DYUaeh6iPEqSqkimXUwAdM4yExxOM0dtvA1+OKRVneh+49+Wa0nTjT4I1j&#10;BbNpAoK4dtpwo+D9bfe4AuEDssbOMSn4Jg+bYnKXY6bdhfd0rkIj4gj7DBW0IfSZlL5uyaKfup44&#10;Zh9usBiiHBqpB7zEcdvJNEkW0qLh+NBiTy8t1V/VySqwq3L3My9NMlbl5+uswmNt9kelHu7H7TOI&#10;QGO4leGKH9GhiEwHd2LtRadg/RSLCpZpCuIaL9dzEIc/Qxa5/M9f/AIAAP//AwBQSwECLQAUAAYA&#10;CAAAACEAtoM4kv4AAADhAQAAEwAAAAAAAAAAAAAAAAAAAAAAW0NvbnRlbnRfVHlwZXNdLnhtbFBL&#10;AQItABQABgAIAAAAIQA4/SH/1gAAAJQBAAALAAAAAAAAAAAAAAAAAC8BAABfcmVscy8ucmVsc1BL&#10;AQItABQABgAIAAAAIQCis+nFJgIAAE0EAAAOAAAAAAAAAAAAAAAAAC4CAABkcnMvZTJvRG9jLnht&#10;bFBLAQItABQABgAIAAAAIQD/cXKL2gAAAAcBAAAPAAAAAAAAAAAAAAAAAIAEAABkcnMvZG93bnJl&#10;di54bWxQSwUGAAAAAAQABADzAAAAhwUAAAAA&#10;" strokecolor="#121212" strokeweight=".5pt"/>
            </w:pict>
          </mc:Fallback>
        </mc:AlternateContent>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333" w:lineRule="exact"/>
        <w:rPr>
          <w:rFonts w:ascii="Times New Roman" w:eastAsia="Times New Roman" w:hAnsi="Times New Roman"/>
        </w:rPr>
      </w:pPr>
    </w:p>
    <w:p w:rsidR="00CB1F00" w:rsidRDefault="00CB1F00" w:rsidP="00CB1F00">
      <w:pPr>
        <w:numPr>
          <w:ilvl w:val="0"/>
          <w:numId w:val="1"/>
        </w:numPr>
        <w:tabs>
          <w:tab w:val="left" w:pos="440"/>
        </w:tabs>
        <w:spacing w:line="0" w:lineRule="atLeast"/>
        <w:ind w:left="440" w:hanging="346"/>
        <w:rPr>
          <w:rFonts w:ascii="Arial" w:eastAsia="Arial" w:hAnsi="Arial"/>
          <w:color w:val="121212"/>
          <w:sz w:val="16"/>
        </w:rPr>
      </w:pPr>
      <w:r>
        <w:rPr>
          <w:rFonts w:ascii="Arial" w:eastAsia="Arial" w:hAnsi="Arial"/>
          <w:color w:val="121212"/>
          <w:sz w:val="16"/>
        </w:rPr>
        <w:t>Como acertadamente establece la jurisprudencia de la Sala de lo Civil de la Corte Suprema: “En lo que atañe al</w:t>
      </w:r>
    </w:p>
    <w:p w:rsidR="00CB1F00" w:rsidRDefault="00CB1F00" w:rsidP="00CB1F00">
      <w:pPr>
        <w:spacing w:line="8" w:lineRule="exact"/>
        <w:rPr>
          <w:rFonts w:ascii="Arial" w:eastAsia="Arial" w:hAnsi="Arial"/>
          <w:color w:val="121212"/>
          <w:sz w:val="16"/>
        </w:rPr>
      </w:pPr>
    </w:p>
    <w:p w:rsidR="00CB1F00" w:rsidRDefault="00CB1F00" w:rsidP="00CB1F00">
      <w:pPr>
        <w:spacing w:line="258" w:lineRule="auto"/>
        <w:ind w:left="440"/>
        <w:jc w:val="both"/>
        <w:rPr>
          <w:rFonts w:ascii="Arial" w:eastAsia="Arial" w:hAnsi="Arial"/>
          <w:color w:val="121212"/>
          <w:sz w:val="16"/>
        </w:rPr>
      </w:pPr>
      <w:proofErr w:type="gramStart"/>
      <w:r>
        <w:rPr>
          <w:rFonts w:ascii="Arial" w:eastAsia="Arial" w:hAnsi="Arial"/>
          <w:color w:val="121212"/>
          <w:sz w:val="16"/>
        </w:rPr>
        <w:t>punto</w:t>
      </w:r>
      <w:proofErr w:type="gramEnd"/>
      <w:r>
        <w:rPr>
          <w:rFonts w:ascii="Arial" w:eastAsia="Arial" w:hAnsi="Arial"/>
          <w:color w:val="121212"/>
          <w:sz w:val="16"/>
        </w:rPr>
        <w:t xml:space="preserve"> en comento la Sala considera: La confesión ficta constituye una presunción </w:t>
      </w:r>
      <w:proofErr w:type="spellStart"/>
      <w:r>
        <w:rPr>
          <w:rFonts w:ascii="Arial" w:eastAsia="Arial" w:hAnsi="Arial"/>
          <w:color w:val="121212"/>
          <w:sz w:val="16"/>
        </w:rPr>
        <w:t>juris</w:t>
      </w:r>
      <w:proofErr w:type="spellEnd"/>
      <w:r>
        <w:rPr>
          <w:rFonts w:ascii="Arial" w:eastAsia="Arial" w:hAnsi="Arial"/>
          <w:color w:val="121212"/>
          <w:sz w:val="16"/>
        </w:rPr>
        <w:t xml:space="preserve"> tantum, eficaz cuando la corroboran los demás elementos del proceso; pero desechable cuando éstos la contradicen o enervan. (…). La interpretación de la ficta </w:t>
      </w:r>
      <w:proofErr w:type="spellStart"/>
      <w:r>
        <w:rPr>
          <w:rFonts w:ascii="Arial" w:eastAsia="Arial" w:hAnsi="Arial"/>
          <w:color w:val="121212"/>
          <w:sz w:val="16"/>
        </w:rPr>
        <w:t>confessio</w:t>
      </w:r>
      <w:proofErr w:type="spellEnd"/>
      <w:r>
        <w:rPr>
          <w:rFonts w:ascii="Arial" w:eastAsia="Arial" w:hAnsi="Arial"/>
          <w:color w:val="121212"/>
          <w:sz w:val="16"/>
        </w:rPr>
        <w:t>, no puede ser otra que la flexible, aconsejada por las circunstancias de cada caso, sin prescindir de los medios directos y fehacientes de prueba, es decir, que es susceptible de desvirtuarse mediante prueba en contrario, pues si no se procede de esa manera, se haría prevalecer la ficción sobre la realidad y la decisión podría alejarse de la verdad material”.</w:t>
      </w:r>
    </w:p>
    <w:p w:rsidR="00CB1F00" w:rsidRDefault="00CB1F00" w:rsidP="00CB1F00">
      <w:pPr>
        <w:spacing w:line="258" w:lineRule="auto"/>
        <w:ind w:left="440"/>
        <w:jc w:val="both"/>
        <w:rPr>
          <w:rFonts w:ascii="Arial" w:eastAsia="Arial" w:hAnsi="Arial"/>
          <w:color w:val="121212"/>
          <w:sz w:val="16"/>
        </w:rPr>
        <w:sectPr w:rsidR="00CB1F00">
          <w:pgSz w:w="10780" w:h="14173"/>
          <w:pgMar w:top="406" w:right="1132" w:bottom="504" w:left="433" w:header="0" w:footer="0" w:gutter="0"/>
          <w:cols w:num="2" w:space="0" w:equalWidth="0">
            <w:col w:w="195" w:space="412"/>
            <w:col w:w="8600"/>
          </w:cols>
          <w:docGrid w:linePitch="360"/>
        </w:sectPr>
      </w:pPr>
    </w:p>
    <w:tbl>
      <w:tblPr>
        <w:tblW w:w="0" w:type="auto"/>
        <w:tblInd w:w="4826" w:type="dxa"/>
        <w:tblLayout w:type="fixed"/>
        <w:tblCellMar>
          <w:left w:w="0" w:type="dxa"/>
          <w:right w:w="0" w:type="dxa"/>
        </w:tblCellMar>
        <w:tblLook w:val="0000" w:firstRow="0" w:lastRow="0" w:firstColumn="0" w:lastColumn="0" w:noHBand="0" w:noVBand="0"/>
      </w:tblPr>
      <w:tblGrid>
        <w:gridCol w:w="3200"/>
        <w:gridCol w:w="600"/>
      </w:tblGrid>
      <w:tr w:rsidR="00CB1F00" w:rsidTr="000F66D3">
        <w:trPr>
          <w:trHeight w:val="736"/>
        </w:trPr>
        <w:tc>
          <w:tcPr>
            <w:tcW w:w="3200" w:type="dxa"/>
            <w:tcBorders>
              <w:right w:val="single" w:sz="8" w:space="0" w:color="121212"/>
            </w:tcBorders>
            <w:shd w:val="clear" w:color="auto" w:fill="auto"/>
            <w:vAlign w:val="bottom"/>
          </w:tcPr>
          <w:p w:rsidR="00CB1F00" w:rsidRDefault="00CB1F00" w:rsidP="000F66D3">
            <w:pPr>
              <w:spacing w:line="0" w:lineRule="atLeast"/>
              <w:rPr>
                <w:rFonts w:ascii="Arial" w:eastAsia="Arial" w:hAnsi="Arial"/>
                <w:color w:val="888A8A"/>
              </w:rPr>
            </w:pPr>
            <w:bookmarkStart w:id="0" w:name="page434"/>
            <w:bookmarkEnd w:id="0"/>
            <w:r>
              <w:rPr>
                <w:rFonts w:ascii="Arial" w:eastAsia="Arial" w:hAnsi="Arial"/>
                <w:color w:val="888A8A"/>
              </w:rPr>
              <w:lastRenderedPageBreak/>
              <w:t>Consejo Nacional de la Judicatura</w:t>
            </w:r>
          </w:p>
        </w:tc>
        <w:tc>
          <w:tcPr>
            <w:tcW w:w="600" w:type="dxa"/>
            <w:shd w:val="clear" w:color="auto" w:fill="auto"/>
            <w:vAlign w:val="bottom"/>
          </w:tcPr>
          <w:p w:rsidR="00CB1F00" w:rsidRDefault="00CB1F00" w:rsidP="000F66D3">
            <w:pPr>
              <w:spacing w:line="0" w:lineRule="atLeast"/>
              <w:jc w:val="right"/>
              <w:rPr>
                <w:rFonts w:ascii="Arial" w:eastAsia="Arial" w:hAnsi="Arial"/>
                <w:color w:val="121212"/>
                <w:sz w:val="28"/>
              </w:rPr>
            </w:pPr>
            <w:r>
              <w:rPr>
                <w:rFonts w:ascii="Arial" w:eastAsia="Arial" w:hAnsi="Arial"/>
                <w:color w:val="121212"/>
                <w:sz w:val="28"/>
              </w:rPr>
              <w:t>399</w:t>
            </w:r>
          </w:p>
        </w:tc>
      </w:tr>
    </w:tbl>
    <w:p w:rsidR="00CB1F00" w:rsidRDefault="00CB1F00" w:rsidP="00CB1F00">
      <w:pPr>
        <w:spacing w:line="378" w:lineRule="exact"/>
        <w:rPr>
          <w:rFonts w:ascii="Times New Roman" w:eastAsia="Times New Roman" w:hAnsi="Times New Roman"/>
        </w:rPr>
      </w:pPr>
    </w:p>
    <w:p w:rsidR="00CB1F00" w:rsidRDefault="00CB1F00" w:rsidP="00CB1F00">
      <w:pPr>
        <w:tabs>
          <w:tab w:val="left" w:pos="546"/>
        </w:tabs>
        <w:spacing w:line="237" w:lineRule="auto"/>
        <w:ind w:left="566" w:right="120" w:hanging="566"/>
        <w:jc w:val="both"/>
        <w:rPr>
          <w:rFonts w:ascii="Arial" w:eastAsia="Arial" w:hAnsi="Arial"/>
          <w:color w:val="121212"/>
          <w:sz w:val="23"/>
        </w:rPr>
      </w:pPr>
      <w:r>
        <w:rPr>
          <w:rFonts w:ascii="Arial" w:eastAsia="Arial" w:hAnsi="Arial"/>
          <w:b/>
          <w:color w:val="121212"/>
          <w:sz w:val="24"/>
        </w:rPr>
        <w:t>3.-</w:t>
      </w:r>
      <w:r>
        <w:rPr>
          <w:rFonts w:ascii="Times New Roman" w:eastAsia="Times New Roman" w:hAnsi="Times New Roman"/>
        </w:rPr>
        <w:tab/>
      </w:r>
      <w:r>
        <w:rPr>
          <w:rFonts w:ascii="Arial" w:eastAsia="Arial" w:hAnsi="Arial"/>
          <w:color w:val="121212"/>
          <w:sz w:val="23"/>
        </w:rPr>
        <w:t>Sin embargo, siendo ello así, no es menos cierto que en ocasiones puede suceder que una persona por circunstancias personales presencie unos hechos cuando éstos acontecen, hechos que al margen de los aspectos perceptibles por cualquier ser humano que hubiera estado en ese momento y lugar, guardan más información que sólo puede ser aprehendida por alguien dotado de conocimientos técnicos o incluso prácticos pero especializados (el valor de una mercancía recibida, un escape de gas en una vivienda por defectos de construcción, la causa de un accidente de tránsito, entre otros). En este caso, la persona que reúna esta última cualidad y que gracias a ella se obtenga una información en la que se incluyen datos técnicos o prácticos que escapan a la percepción común, interesa al proceso desde dos ópticas simultáneas: la de testigo y la de perito.</w:t>
      </w:r>
    </w:p>
    <w:p w:rsidR="00CB1F00" w:rsidRDefault="00CB1F00" w:rsidP="00CB1F00">
      <w:pPr>
        <w:spacing w:line="246" w:lineRule="exact"/>
        <w:rPr>
          <w:rFonts w:ascii="Times New Roman" w:eastAsia="Times New Roman" w:hAnsi="Times New Roman"/>
        </w:rPr>
      </w:pPr>
    </w:p>
    <w:p w:rsidR="00CB1F00" w:rsidRDefault="00CB1F00" w:rsidP="00CB1F00">
      <w:pPr>
        <w:spacing w:line="227" w:lineRule="auto"/>
        <w:ind w:left="566" w:right="120"/>
        <w:jc w:val="both"/>
        <w:rPr>
          <w:rFonts w:ascii="Arial" w:eastAsia="Arial" w:hAnsi="Arial"/>
          <w:color w:val="121212"/>
          <w:sz w:val="24"/>
        </w:rPr>
      </w:pPr>
      <w:r>
        <w:rPr>
          <w:rFonts w:ascii="Arial" w:eastAsia="Arial" w:hAnsi="Arial"/>
          <w:color w:val="121212"/>
          <w:sz w:val="24"/>
        </w:rPr>
        <w:t>Más, ¿por qué en tal caso la persona ha de ser tratada como testigo y no como perito? Porque los hechos que ha presenciado ya no están, se han borrado, por tanto lo que se quiere de la persona no es simplemente que dé una opinión técnica, sino que explique lo que percibió. Cuando los hechos litigiosos se han mantenido más o menos intactos y pueden ser percibidos aún, la opinión del experto se limita a la de la prueba pericial porque los hechos como tal, continúan al alcance del juez y de las partes. Aquí, en el testigo-perito no ocurre así (los hechos ya han sucedido), y por eso el sujeto importa tanto o más en la primera faceta (testigo) que en la segunda (experto). Así, y en la tesitura legal de hallar su mejor encaje, el Código se decanta por hacerlo dentro de prueba la testifical en el art. 358. Algún pronunciamiento de la Corte Suprema lo había hecho también así, a falta de disposición expresa en el anterior CPC, y no sin dejar de advertir de las especialidades de esta clase de testimonios técnicos</w:t>
      </w:r>
      <w:r>
        <w:rPr>
          <w:rFonts w:ascii="Arial" w:eastAsia="Arial" w:hAnsi="Arial"/>
          <w:color w:val="121212"/>
          <w:sz w:val="13"/>
        </w:rPr>
        <w:t>276</w:t>
      </w:r>
      <w:r>
        <w:rPr>
          <w:rFonts w:ascii="Arial" w:eastAsia="Arial" w:hAnsi="Arial"/>
          <w:color w:val="121212"/>
          <w:sz w:val="24"/>
        </w:rPr>
        <w:t>.</w:t>
      </w:r>
    </w:p>
    <w:p w:rsidR="00CB1F00" w:rsidRDefault="00CB1F00" w:rsidP="00CB1F00">
      <w:pPr>
        <w:spacing w:line="246" w:lineRule="exact"/>
        <w:rPr>
          <w:rFonts w:ascii="Times New Roman" w:eastAsia="Times New Roman" w:hAnsi="Times New Roman"/>
        </w:rPr>
      </w:pPr>
    </w:p>
    <w:p w:rsidR="00CB1F00" w:rsidRDefault="00CB1F00" w:rsidP="00CB1F00">
      <w:pPr>
        <w:tabs>
          <w:tab w:val="left" w:pos="546"/>
        </w:tabs>
        <w:spacing w:line="0" w:lineRule="atLeast"/>
        <w:ind w:left="566" w:right="120" w:hanging="566"/>
        <w:jc w:val="both"/>
        <w:rPr>
          <w:rFonts w:ascii="Arial" w:eastAsia="Arial" w:hAnsi="Arial"/>
          <w:color w:val="121212"/>
          <w:sz w:val="23"/>
        </w:rPr>
      </w:pPr>
      <w:r>
        <w:rPr>
          <w:rFonts w:ascii="Arial" w:eastAsia="Arial" w:hAnsi="Arial"/>
          <w:b/>
          <w:color w:val="121212"/>
          <w:sz w:val="24"/>
        </w:rPr>
        <w:t>4.-</w:t>
      </w:r>
      <w:r>
        <w:rPr>
          <w:rFonts w:ascii="Times New Roman" w:eastAsia="Times New Roman" w:hAnsi="Times New Roman"/>
        </w:rPr>
        <w:tab/>
      </w:r>
      <w:r>
        <w:rPr>
          <w:rFonts w:ascii="Arial" w:eastAsia="Arial" w:hAnsi="Arial"/>
          <w:color w:val="121212"/>
          <w:sz w:val="23"/>
        </w:rPr>
        <w:t>Nada más se prevé en torno a este testigo-perito, ni en cuanto a su práctica ni a su valoración, lo que significa que el hecho de que tenga conocimientos especializados no lo convierte en prueba tasada ni de mayor valor que un testigo ordinario; lo que los diferencia es la cantidad de información y la etiología de su conocimiento. En el precepto citado se advierte, con todo,</w:t>
      </w:r>
    </w:p>
    <w:p w:rsidR="00CB1F00" w:rsidRDefault="00CB1F00" w:rsidP="00CB1F00">
      <w:pPr>
        <w:spacing w:line="20" w:lineRule="exact"/>
        <w:rPr>
          <w:rFonts w:ascii="Times New Roman" w:eastAsia="Times New Roman" w:hAnsi="Times New Roman"/>
        </w:rPr>
      </w:pPr>
      <w:r>
        <w:rPr>
          <w:rFonts w:ascii="Arial" w:eastAsia="Arial" w:hAnsi="Arial"/>
          <w:noProof/>
          <w:color w:val="121212"/>
          <w:sz w:val="23"/>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268605</wp:posOffset>
                </wp:positionV>
                <wp:extent cx="1079500" cy="0"/>
                <wp:effectExtent l="5715" t="8255" r="10160" b="10795"/>
                <wp:wrapNone/>
                <wp:docPr id="44" name="Conector recto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3FD74" id="Conector recto 4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15pt" to="8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rYJwIAAE0EAAAOAAAAZHJzL2Uyb0RvYy54bWysVMGO2yAQvVfqPyDuie2sk02sOKvKTnrZ&#10;diPt9gMI4BgVAwISJ6r67x1wEmXbS1VVlmBghsebmYeXT6dOoiO3TmhV4mycYsQV1UyofYm/vW1G&#10;c4ycJ4oRqRUv8Zk7/LT6+GHZm4JPdKsl4xYBiHJFb0rcem+KJHG05R1xY224AmejbUc8LO0+YZb0&#10;gN7JZJKms6TXlhmrKXcOduvBiVcRv2k49S9N47hHssTAzcfRxnEXxmS1JMXeEtMKeqFB/oFFR4SC&#10;S29QNfEEHaz4A6oT1GqnGz+mukt00wjKYw6QTZb+ls1rSwyPuUBxnLmVyf0/WPr1uLVIsBLnOUaK&#10;dNCjCjpFvbbIhgmBA6rUG1dAcKW2NuRJT+rVPGv63SGlq5aoPY9s384GELJwInl3JCycgbt2/RfN&#10;IIYcvI4lOzW2C5BQDHSKnTnfOsNPHlHYzNLHxTSFBtKrLyHF9aCxzn/mukPBKLEUKhSNFOT47Hwg&#10;QoprSNhWeiOkjI2XCvUlnj1M03jAaSlYcIYwZ/e7Slp0JCCdbBK+mBV47sMCck1cO8RF1yAqqw+K&#10;xVtaTtj6Ynsi5GADK6nCRZAj8LxYg2h+LNLFer6e56N8MluP8rSuR582VT6abbLHaf1QV1Wd/Qyc&#10;s7xoBWNcBdpXAWf53wnk8pQG6d0kfKtP8h49FhLIXudIOjY59HVQyE6z89Zemw+ajcGX9xUexf0a&#10;7Pu/wOoXAAAA//8DAFBLAwQUAAYACAAAACEA2+VVudkAAAAGAQAADwAAAGRycy9kb3ducmV2Lnht&#10;bEyPwW7CMBBE75X4B2uReis2FBWUxkFVJdRjRMoHLPE2cRuvQ2wg7dfXqIdynJnVzNt8M7pOnGkI&#10;1rOG+UyBIK69sdxo2L9vH9YgQkQ22HkmDd8UYFNM7nLMjL/wjs5VbEQq4ZChhjbGPpMy1C05DDPf&#10;E6fsww8OY5JDI82Al1TuOrlQ6kk6tJwWWuzptaX6qzo5DW5dbn+WpVVjVX6+zSs81nZ31Pp+Or48&#10;g4g0xv9juOIndCgS08Gf2ATRaUiPRA3LxSOIa7pSyTj8GbLI5S1+8QsAAP//AwBQSwECLQAUAAYA&#10;CAAAACEAtoM4kv4AAADhAQAAEwAAAAAAAAAAAAAAAAAAAAAAW0NvbnRlbnRfVHlwZXNdLnhtbFBL&#10;AQItABQABgAIAAAAIQA4/SH/1gAAAJQBAAALAAAAAAAAAAAAAAAAAC8BAABfcmVscy8ucmVsc1BL&#10;AQItABQABgAIAAAAIQANfHrYJwIAAE0EAAAOAAAAAAAAAAAAAAAAAC4CAABkcnMvZTJvRG9jLnht&#10;bFBLAQItABQABgAIAAAAIQDb5VW52QAAAAYBAAAPAAAAAAAAAAAAAAAAAIEEAABkcnMvZG93bnJl&#10;di54bWxQSwUGAAAAAAQABADzAAAAhwUAAAAA&#10;" strokecolor="#121212" strokeweight=".5pt"/>
            </w:pict>
          </mc:Fallback>
        </mc:AlternateContent>
      </w:r>
    </w:p>
    <w:p w:rsidR="00CB1F00" w:rsidRDefault="00CB1F00" w:rsidP="00CB1F00">
      <w:pPr>
        <w:spacing w:line="200" w:lineRule="exact"/>
        <w:rPr>
          <w:rFonts w:ascii="Times New Roman" w:eastAsia="Times New Roman" w:hAnsi="Times New Roman"/>
        </w:rPr>
      </w:pPr>
    </w:p>
    <w:p w:rsidR="00CB1F00" w:rsidRDefault="00CB1F00" w:rsidP="00CB1F00">
      <w:pPr>
        <w:spacing w:line="234" w:lineRule="exact"/>
        <w:rPr>
          <w:rFonts w:ascii="Times New Roman" w:eastAsia="Times New Roman" w:hAnsi="Times New Roman"/>
        </w:rPr>
      </w:pPr>
    </w:p>
    <w:p w:rsidR="00CB1F00" w:rsidRDefault="00CB1F00" w:rsidP="00CB1F00">
      <w:pPr>
        <w:numPr>
          <w:ilvl w:val="0"/>
          <w:numId w:val="1"/>
        </w:numPr>
        <w:spacing w:line="271" w:lineRule="auto"/>
        <w:ind w:left="346" w:right="120" w:hanging="346"/>
        <w:jc w:val="both"/>
        <w:rPr>
          <w:rFonts w:ascii="Arial" w:eastAsia="Arial" w:hAnsi="Arial"/>
          <w:color w:val="121212"/>
          <w:sz w:val="15"/>
        </w:rPr>
      </w:pPr>
      <w:r>
        <w:rPr>
          <w:rFonts w:ascii="Arial" w:eastAsia="Arial" w:hAnsi="Arial"/>
          <w:color w:val="121212"/>
          <w:sz w:val="15"/>
        </w:rPr>
        <w:t xml:space="preserve">Ver la Sentencia de la Sala de lo Civil de 11 de julio de 2005, dictada a las 10 </w:t>
      </w:r>
      <w:proofErr w:type="spellStart"/>
      <w:r>
        <w:rPr>
          <w:rFonts w:ascii="Arial" w:eastAsia="Arial" w:hAnsi="Arial"/>
          <w:color w:val="121212"/>
          <w:sz w:val="15"/>
        </w:rPr>
        <w:t>hh.</w:t>
      </w:r>
      <w:proofErr w:type="spellEnd"/>
      <w:r>
        <w:rPr>
          <w:rFonts w:ascii="Arial" w:eastAsia="Arial" w:hAnsi="Arial"/>
          <w:color w:val="121212"/>
          <w:sz w:val="15"/>
        </w:rPr>
        <w:t xml:space="preserve"> (ref. 320-SM). Para el caso, se trataba de valorar el testimonio de los facultativos que habían atendido en vida al causante, cuyo testamento se impugnó después por falsedad de la firma. Tras constatar la falta de norma legal reguladora de esta figura (“ Con la certeza que en nuestra legislación, no existe norma alguna que nos indique cuál será el valor de las declaraciones de este tipo de testigos una vez vertidas…”) y a virtud de su reconocimiento en sede de doctrina científica, asienta el Alto Tribunal en relación con los hechos del caso: “…a criterio de los médicos que lo trataron durante su enfermedad, mantuvo su estado de salud, desde que sufrió los infartos cerebrales hasta el momento de su muerte, careciendo del uso de sus facultades físicas, y mentales, sin poder expresarse verbalmente, ni entender lo que se le decía; además sin poder usar el hemisferio derecho de su cuerpo, consecuentemente impedido de escribir, y que este estado de salud era irreversible y definitivo; debemos llegar a la conclusión que en ningún momento, el testador pudo darle cumplimiento a lo estipulado en los Arts. 1010, 10 11, 1012 y 1013, todos del Código Civil, por el hecho de no poder hacer sabedores de sus disposiciones, ni al Notario ni a los testigos instrumental es, ya que la enfermedad que padecía según los dictámenes médicos antes relacionados, era de tal magnitud, que lo imposibilitaron en forma permanente y definitiva para poder expresarse y comprender lo que se le decía, ni por escrito ni de palabra; en consecuencia, el señor E. A. M., estaba imposibilitado física y mentalmente para testar”.</w:t>
      </w:r>
    </w:p>
    <w:p w:rsidR="00CB1F00" w:rsidRDefault="00CB1F00" w:rsidP="00CB1F00">
      <w:pPr>
        <w:spacing w:line="200" w:lineRule="exact"/>
        <w:rPr>
          <w:rFonts w:ascii="Times New Roman" w:eastAsia="Times New Roman" w:hAnsi="Times New Roman"/>
        </w:rPr>
      </w:pPr>
      <w:r>
        <w:rPr>
          <w:rFonts w:ascii="Arial" w:eastAsia="Arial" w:hAnsi="Arial"/>
          <w:color w:val="121212"/>
          <w:sz w:val="15"/>
        </w:rPr>
        <w:br w:type="column"/>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1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4"/>
      </w:tblGrid>
      <w:tr w:rsidR="00CB1F00" w:rsidTr="000F66D3">
        <w:trPr>
          <w:trHeight w:val="1940"/>
        </w:trPr>
        <w:tc>
          <w:tcPr>
            <w:tcW w:w="264" w:type="dxa"/>
            <w:shd w:val="clear" w:color="auto" w:fill="auto"/>
            <w:textDirection w:val="btLr"/>
            <w:vAlign w:val="bottom"/>
          </w:tcPr>
          <w:p w:rsidR="00CB1F00" w:rsidRDefault="00CB1F00" w:rsidP="000F66D3">
            <w:pPr>
              <w:spacing w:line="0" w:lineRule="atLeast"/>
              <w:rPr>
                <w:rFonts w:ascii="Arial" w:eastAsia="Arial" w:hAnsi="Arial"/>
                <w:b/>
                <w:color w:val="FFFFFF"/>
                <w:sz w:val="23"/>
              </w:rPr>
            </w:pPr>
            <w:r>
              <w:rPr>
                <w:rFonts w:ascii="Arial" w:eastAsia="Arial" w:hAnsi="Arial"/>
                <w:color w:val="FFFFFF"/>
                <w:sz w:val="23"/>
              </w:rPr>
              <w:t xml:space="preserve">LIBRO </w:t>
            </w:r>
            <w:r>
              <w:rPr>
                <w:rFonts w:ascii="Arial" w:eastAsia="Arial" w:hAnsi="Arial"/>
                <w:b/>
                <w:color w:val="FFFFFF"/>
                <w:sz w:val="23"/>
              </w:rPr>
              <w:t>SEGUNDO</w:t>
            </w:r>
          </w:p>
        </w:tc>
      </w:tr>
    </w:tbl>
    <w:p w:rsidR="00CB1F00" w:rsidRDefault="00CB1F00" w:rsidP="00CB1F00">
      <w:pPr>
        <w:spacing w:line="20" w:lineRule="exact"/>
        <w:rPr>
          <w:rFonts w:ascii="Times New Roman" w:eastAsia="Times New Roman" w:hAnsi="Times New Roman"/>
        </w:rPr>
      </w:pPr>
      <w:r>
        <w:rPr>
          <w:rFonts w:ascii="Arial" w:eastAsia="Arial" w:hAnsi="Arial"/>
          <w:b/>
          <w:noProof/>
          <w:color w:val="FFFFFF"/>
          <w:sz w:val="23"/>
        </w:rPr>
        <w:drawing>
          <wp:anchor distT="0" distB="0" distL="114300" distR="114300" simplePos="0" relativeHeight="251661312" behindDoc="1" locked="0" layoutInCell="1" allowOverlap="1">
            <wp:simplePos x="0" y="0"/>
            <wp:positionH relativeFrom="column">
              <wp:posOffset>-49530</wp:posOffset>
            </wp:positionH>
            <wp:positionV relativeFrom="paragraph">
              <wp:posOffset>-1355090</wp:posOffset>
            </wp:positionV>
            <wp:extent cx="419735" cy="1465580"/>
            <wp:effectExtent l="0" t="0" r="0" b="127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35"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spacing w:line="20" w:lineRule="exact"/>
        <w:rPr>
          <w:rFonts w:ascii="Times New Roman" w:eastAsia="Times New Roman" w:hAnsi="Times New Roman"/>
        </w:rPr>
        <w:sectPr w:rsidR="00CB1F00">
          <w:pgSz w:w="10780" w:h="14173"/>
          <w:pgMar w:top="20" w:right="317" w:bottom="497" w:left="1134" w:header="0" w:footer="0" w:gutter="0"/>
          <w:cols w:num="2" w:space="0" w:equalWidth="0">
            <w:col w:w="8626" w:space="430"/>
            <w:col w:w="264"/>
          </w:cols>
          <w:docGrid w:linePitch="360"/>
        </w:sectPr>
      </w:pPr>
    </w:p>
    <w:p w:rsidR="00CB1F00" w:rsidRDefault="00CB1F00" w:rsidP="00CB1F00">
      <w:pPr>
        <w:spacing w:line="200" w:lineRule="exact"/>
        <w:rPr>
          <w:rFonts w:ascii="Times New Roman" w:eastAsia="Times New Roman" w:hAnsi="Times New Roman"/>
        </w:rPr>
      </w:pPr>
      <w:bookmarkStart w:id="1" w:name="page435"/>
      <w:bookmarkEnd w:id="1"/>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5"/>
      </w:tblGrid>
      <w:tr w:rsidR="00CB1F00" w:rsidTr="000F66D3">
        <w:trPr>
          <w:trHeight w:val="1440"/>
        </w:trPr>
        <w:tc>
          <w:tcPr>
            <w:tcW w:w="195" w:type="dxa"/>
            <w:shd w:val="clear" w:color="auto" w:fill="auto"/>
            <w:textDirection w:val="tbRl"/>
            <w:vAlign w:val="bottom"/>
          </w:tcPr>
          <w:p w:rsidR="00CB1F00" w:rsidRDefault="00CB1F00" w:rsidP="000F66D3">
            <w:pPr>
              <w:spacing w:line="0" w:lineRule="atLeast"/>
              <w:rPr>
                <w:rFonts w:ascii="Arial" w:eastAsia="Arial" w:hAnsi="Arial"/>
                <w:color w:val="FFFFFF"/>
                <w:sz w:val="17"/>
              </w:rPr>
            </w:pPr>
            <w:r>
              <w:rPr>
                <w:rFonts w:ascii="Arial" w:eastAsia="Arial" w:hAnsi="Arial"/>
                <w:b/>
                <w:color w:val="FFFFFF"/>
                <w:sz w:val="17"/>
              </w:rPr>
              <w:t>SEGUNDO</w:t>
            </w:r>
            <w:r>
              <w:rPr>
                <w:rFonts w:ascii="Arial" w:eastAsia="Arial" w:hAnsi="Arial"/>
                <w:color w:val="FFFFFF"/>
                <w:sz w:val="17"/>
              </w:rPr>
              <w:t>LIBRO</w:t>
            </w:r>
          </w:p>
        </w:tc>
      </w:tr>
    </w:tbl>
    <w:p w:rsidR="00CB1F00" w:rsidRDefault="00CB1F00" w:rsidP="00CB1F00">
      <w:pPr>
        <w:spacing w:line="20" w:lineRule="exact"/>
        <w:rPr>
          <w:rFonts w:ascii="Times New Roman" w:eastAsia="Times New Roman" w:hAnsi="Times New Roman"/>
        </w:rPr>
      </w:pPr>
      <w:r>
        <w:rPr>
          <w:rFonts w:ascii="Arial" w:eastAsia="Arial" w:hAnsi="Arial"/>
          <w:noProof/>
          <w:color w:val="FFFFFF"/>
          <w:sz w:val="17"/>
        </w:rPr>
        <w:drawing>
          <wp:anchor distT="0" distB="0" distL="114300" distR="114300" simplePos="0" relativeHeight="251662336" behindDoc="1" locked="0" layoutInCell="1" allowOverlap="1">
            <wp:simplePos x="0" y="0"/>
            <wp:positionH relativeFrom="column">
              <wp:posOffset>-274320</wp:posOffset>
            </wp:positionH>
            <wp:positionV relativeFrom="paragraph">
              <wp:posOffset>-554990</wp:posOffset>
            </wp:positionV>
            <wp:extent cx="435610" cy="1465580"/>
            <wp:effectExtent l="0" t="0" r="2540" b="127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tabs>
          <w:tab w:val="left" w:pos="680"/>
        </w:tabs>
        <w:spacing w:line="0" w:lineRule="atLeast"/>
        <w:rPr>
          <w:rFonts w:ascii="Arial" w:eastAsia="Arial" w:hAnsi="Arial"/>
          <w:color w:val="888A8A"/>
          <w:sz w:val="19"/>
        </w:rPr>
      </w:pPr>
      <w:r>
        <w:rPr>
          <w:rFonts w:ascii="Times New Roman" w:eastAsia="Times New Roman" w:hAnsi="Times New Roman"/>
        </w:rPr>
        <w:br w:type="column"/>
      </w:r>
      <w:r>
        <w:rPr>
          <w:rFonts w:ascii="Arial" w:eastAsia="Arial" w:hAnsi="Arial"/>
          <w:color w:val="121212"/>
          <w:sz w:val="28"/>
        </w:rPr>
        <w:t>400</w:t>
      </w:r>
      <w:r>
        <w:rPr>
          <w:rFonts w:ascii="Times New Roman" w:eastAsia="Times New Roman" w:hAnsi="Times New Roman"/>
        </w:rPr>
        <w:tab/>
      </w:r>
      <w:r>
        <w:rPr>
          <w:rFonts w:ascii="Arial" w:eastAsia="Arial" w:hAnsi="Arial"/>
          <w:color w:val="888A8A"/>
          <w:sz w:val="19"/>
        </w:rPr>
        <w:t>Código Procesal Civil y Mercantil Comentado</w:t>
      </w:r>
    </w:p>
    <w:p w:rsidR="00CB1F00" w:rsidRDefault="00CB1F00" w:rsidP="00CB1F00">
      <w:pPr>
        <w:spacing w:line="20" w:lineRule="exact"/>
        <w:rPr>
          <w:rFonts w:ascii="Times New Roman" w:eastAsia="Times New Roman" w:hAnsi="Times New Roman"/>
        </w:rPr>
      </w:pPr>
      <w:r>
        <w:rPr>
          <w:rFonts w:ascii="Arial" w:eastAsia="Arial" w:hAnsi="Arial"/>
          <w:noProof/>
          <w:color w:val="888A8A"/>
          <w:sz w:val="19"/>
        </w:rPr>
        <mc:AlternateContent>
          <mc:Choice Requires="wps">
            <w:drawing>
              <wp:anchor distT="0" distB="0" distL="114300" distR="114300" simplePos="0" relativeHeight="251663360" behindDoc="1" locked="0" layoutInCell="1" allowOverlap="1">
                <wp:simplePos x="0" y="0"/>
                <wp:positionH relativeFrom="column">
                  <wp:posOffset>371475</wp:posOffset>
                </wp:positionH>
                <wp:positionV relativeFrom="paragraph">
                  <wp:posOffset>-462280</wp:posOffset>
                </wp:positionV>
                <wp:extent cx="0" cy="479425"/>
                <wp:effectExtent l="12700" t="9525" r="6350" b="6350"/>
                <wp:wrapNone/>
                <wp:docPr id="41" name="Conector recto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43BF6" id="Conector recto 4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6.4pt" to="2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24jJQIAAEwEAAAOAAAAZHJzL2Uyb0RvYy54bWysVNuO2jAQfa/Uf7D8DknYwEJEWFUJ9GXb&#10;RdrtBxjbIVYd27INAVX9944doKV9qaoqkm8zPnPmzDjLp1Mn0ZFbJ7QqcTZOMeKKaibUvsRf3jaj&#10;OUbOE8WI1IqX+Mwdflq9f7fsTcEnutWScYsARLmiNyVuvTdFkjja8o64sTZcgbHRtiMetnafMEt6&#10;QO9kMknTWdJry4zVlDsHp/VgxKuI3zSc+pemcdwjWWLg5uNo47gLY7JakmJviWkFvdAg/8CiI0JB&#10;0BtUTTxBByv+gOoEtdrpxo+p7hLdNILymANkk6W/ZfPaEsNjLiCOMzeZ3P+DpZ+PW4sEK3GeYaRI&#10;BzWqoFLUa4tsmBAYQKXeuAKcK7W1IU96Uq/mWdOvDildtUTteWT7djaAEG8kd1fCxhmItes/aQY+&#10;5OB1lOzU2C5AghjoFCtzvlWGnzyiwyGF0/xxkU+mgU5Cius9Y53/yHWHwqLEUqigGSnI8dn5wfXq&#10;Eo6V3ggpY92lQn2JZw/TNF5wWgoWjMHN2f2ukhYdCXRONgnfJe6dW0CuiWsHv2gaesrqg2IxSssJ&#10;W1/Wngg5rCEBqUIgSBF4XlZDz3xbpIv1fD3PR/lkth7laV2PPmyqfDTbZI/T+qGuqjr7HjhnedEK&#10;xrgKtK/9m+V/1x+XlzR03q2Db/ok9+hRcyB7nSPpWONQ1qFBdpqdtzZoHsoNLRudL88rvIlf99Hr&#10;509g9QMAAP//AwBQSwMEFAAGAAgAAAAhAEAGIJ7bAAAABwEAAA8AAABkcnMvZG93bnJldi54bWxM&#10;j8FOwzAMhu9IvENkJG5buoqxqtSdENLEsVrhAbzGtIXG6ZpsKzw9gQscbX/6/f3FdraDOvPkeycI&#10;q2UCiqVxppcW4fVlt8hA+UBiaHDCCJ/sYVteXxWUG3eRPZ/r0KoYIj4nhC6EMdfaNx1b8ks3ssTb&#10;m5sshThOrTYTXWK4HXSaJPfaUi/xQ0cjP3XcfNQni2Czavd1V/XJXFfvz6uajk2/PyLe3syPD6AC&#10;z+EPhh/9qA5ldDq4kxivBoR1to4kwmKTxgoR+F0cENIN6LLQ//3LbwAAAP//AwBQSwECLQAUAAYA&#10;CAAAACEAtoM4kv4AAADhAQAAEwAAAAAAAAAAAAAAAAAAAAAAW0NvbnRlbnRfVHlwZXNdLnhtbFBL&#10;AQItABQABgAIAAAAIQA4/SH/1gAAAJQBAAALAAAAAAAAAAAAAAAAAC8BAABfcmVscy8ucmVsc1BL&#10;AQItABQABgAIAAAAIQAh224jJQIAAEwEAAAOAAAAAAAAAAAAAAAAAC4CAABkcnMvZTJvRG9jLnht&#10;bFBLAQItABQABgAIAAAAIQBABiCe2wAAAAcBAAAPAAAAAAAAAAAAAAAAAH8EAABkcnMvZG93bnJl&#10;di54bWxQSwUGAAAAAAQABADzAAAAhwUAAAAA&#10;" strokecolor="#121212" strokeweight=".5pt"/>
            </w:pict>
          </mc:Fallback>
        </mc:AlternateContent>
      </w:r>
    </w:p>
    <w:p w:rsidR="00CB1F00" w:rsidRDefault="00CB1F00" w:rsidP="00CB1F00">
      <w:pPr>
        <w:spacing w:line="386" w:lineRule="exact"/>
        <w:rPr>
          <w:rFonts w:ascii="Times New Roman" w:eastAsia="Times New Roman" w:hAnsi="Times New Roman"/>
        </w:rPr>
      </w:pPr>
    </w:p>
    <w:p w:rsidR="00CB1F00" w:rsidRDefault="00CB1F00" w:rsidP="00CB1F00">
      <w:pPr>
        <w:spacing w:line="238" w:lineRule="auto"/>
        <w:ind w:left="660"/>
        <w:jc w:val="both"/>
        <w:rPr>
          <w:rFonts w:ascii="Arial" w:eastAsia="Arial" w:hAnsi="Arial"/>
          <w:color w:val="121212"/>
          <w:sz w:val="23"/>
        </w:rPr>
      </w:pPr>
      <w:proofErr w:type="gramStart"/>
      <w:r>
        <w:rPr>
          <w:rFonts w:ascii="Arial" w:eastAsia="Arial" w:hAnsi="Arial"/>
          <w:color w:val="121212"/>
          <w:sz w:val="23"/>
        </w:rPr>
        <w:t>que</w:t>
      </w:r>
      <w:proofErr w:type="gramEnd"/>
      <w:r>
        <w:rPr>
          <w:rFonts w:ascii="Arial" w:eastAsia="Arial" w:hAnsi="Arial"/>
          <w:color w:val="121212"/>
          <w:sz w:val="23"/>
        </w:rPr>
        <w:t xml:space="preserve"> la declaración de este testigo-perito sólo se tomará en cuenta “cuando acreditare fehacientemente ser conocedor en el área de que se trate”. En ocasiones bastará acreditar la titulación, y en otras (conocimientos prácticos) su dedicación profesional en ese campo (cerrajería, electricidad, entre otros). ¿Y si no lo acreditare? En principio no tiene por qué conllevar que el testimonio no valga en absoluto, sólo aquellas porciones del relato que vienen supuestamente teñidas o determinadas por ese conocimiento técnico no acreditado. Aunque la falta de demostración de ese saber, qué duda cabe, podría mermar también su credibilidad general.</w:t>
      </w:r>
    </w:p>
    <w:p w:rsidR="00CB1F00" w:rsidRDefault="00CB1F00" w:rsidP="00CB1F00">
      <w:pPr>
        <w:spacing w:line="238" w:lineRule="exact"/>
        <w:rPr>
          <w:rFonts w:ascii="Times New Roman" w:eastAsia="Times New Roman" w:hAnsi="Times New Roman"/>
        </w:rPr>
      </w:pPr>
    </w:p>
    <w:p w:rsidR="00CB1F00" w:rsidRDefault="00CB1F00" w:rsidP="00CB1F00">
      <w:pPr>
        <w:tabs>
          <w:tab w:val="left" w:pos="640"/>
        </w:tabs>
        <w:spacing w:line="0" w:lineRule="atLeast"/>
        <w:ind w:left="100"/>
        <w:rPr>
          <w:rFonts w:ascii="Arial" w:eastAsia="Arial" w:hAnsi="Arial"/>
          <w:b/>
          <w:color w:val="121212"/>
          <w:sz w:val="21"/>
        </w:rPr>
      </w:pPr>
      <w:r>
        <w:rPr>
          <w:rFonts w:ascii="Arial" w:eastAsia="Arial" w:hAnsi="Arial"/>
          <w:b/>
          <w:color w:val="121212"/>
          <w:sz w:val="24"/>
        </w:rPr>
        <w:t>II.-</w:t>
      </w:r>
      <w:r>
        <w:rPr>
          <w:rFonts w:ascii="Times New Roman" w:eastAsia="Times New Roman" w:hAnsi="Times New Roman"/>
        </w:rPr>
        <w:tab/>
      </w:r>
      <w:r>
        <w:rPr>
          <w:rFonts w:ascii="Arial" w:eastAsia="Arial" w:hAnsi="Arial"/>
          <w:b/>
          <w:color w:val="121212"/>
          <w:sz w:val="21"/>
        </w:rPr>
        <w:t>Prohibiciones y exenciones al deber de declarar</w:t>
      </w:r>
    </w:p>
    <w:p w:rsidR="00CB1F00" w:rsidRDefault="00CB1F00" w:rsidP="00CB1F00">
      <w:pPr>
        <w:spacing w:line="245" w:lineRule="exact"/>
        <w:rPr>
          <w:rFonts w:ascii="Times New Roman" w:eastAsia="Times New Roman" w:hAnsi="Times New Roman"/>
        </w:rPr>
      </w:pPr>
    </w:p>
    <w:p w:rsidR="00CB1F00" w:rsidRDefault="00CB1F00" w:rsidP="00CB1F00">
      <w:pPr>
        <w:spacing w:line="238" w:lineRule="auto"/>
        <w:ind w:left="100"/>
        <w:jc w:val="both"/>
        <w:rPr>
          <w:rFonts w:ascii="Arial" w:eastAsia="Arial" w:hAnsi="Arial"/>
          <w:color w:val="121212"/>
          <w:sz w:val="23"/>
        </w:rPr>
      </w:pPr>
      <w:r>
        <w:rPr>
          <w:rFonts w:ascii="Arial" w:eastAsia="Arial" w:hAnsi="Arial"/>
          <w:color w:val="121212"/>
          <w:sz w:val="23"/>
        </w:rPr>
        <w:t>El nuevo Código intenta facilitar al máximo la disponibilidad de la prueba testifical, no sólo apartándose de reglas del CPC derogado que impedían su proposición en juicio para determinados asuntos</w:t>
      </w:r>
      <w:r>
        <w:rPr>
          <w:rFonts w:ascii="Arial" w:eastAsia="Arial" w:hAnsi="Arial"/>
          <w:color w:val="121212"/>
          <w:sz w:val="13"/>
        </w:rPr>
        <w:t>277</w:t>
      </w:r>
      <w:r>
        <w:rPr>
          <w:rFonts w:ascii="Arial" w:eastAsia="Arial" w:hAnsi="Arial"/>
          <w:color w:val="121212"/>
          <w:sz w:val="23"/>
        </w:rPr>
        <w:t>, o que articulaban un sistema amplio de incapacidades que incluía circunstancias personales más propias de una sospecha de parcialidad</w:t>
      </w:r>
      <w:r>
        <w:rPr>
          <w:rFonts w:ascii="Arial" w:eastAsia="Arial" w:hAnsi="Arial"/>
          <w:color w:val="121212"/>
          <w:sz w:val="13"/>
        </w:rPr>
        <w:t>278</w:t>
      </w:r>
      <w:r>
        <w:rPr>
          <w:rFonts w:ascii="Arial" w:eastAsia="Arial" w:hAnsi="Arial"/>
          <w:color w:val="121212"/>
          <w:sz w:val="23"/>
        </w:rPr>
        <w:t>, cuando debía ser el juez quien valorase su concurrencia en cada caso. Ahora, la ley reduce el listado de motivos de prohibición a los estrictamente objetivos e ineludibles, sin dejar de atender a otra problemática, la de la colisión de intereses en el declarante. Veamos:</w:t>
      </w:r>
    </w:p>
    <w:p w:rsidR="00CB1F00" w:rsidRDefault="00CB1F00" w:rsidP="00CB1F00">
      <w:pPr>
        <w:spacing w:line="242" w:lineRule="exact"/>
        <w:rPr>
          <w:rFonts w:ascii="Times New Roman" w:eastAsia="Times New Roman" w:hAnsi="Times New Roman"/>
        </w:rPr>
      </w:pPr>
    </w:p>
    <w:p w:rsidR="00CB1F00" w:rsidRDefault="00CB1F00" w:rsidP="00CB1F00">
      <w:pPr>
        <w:numPr>
          <w:ilvl w:val="0"/>
          <w:numId w:val="1"/>
        </w:numPr>
        <w:tabs>
          <w:tab w:val="left" w:pos="660"/>
        </w:tabs>
        <w:spacing w:line="0" w:lineRule="atLeast"/>
        <w:ind w:left="660" w:hanging="566"/>
        <w:rPr>
          <w:rFonts w:ascii="Arial" w:eastAsia="Arial" w:hAnsi="Arial"/>
          <w:b/>
          <w:color w:val="121212"/>
          <w:sz w:val="24"/>
        </w:rPr>
      </w:pPr>
      <w:r>
        <w:rPr>
          <w:rFonts w:ascii="Arial" w:eastAsia="Arial" w:hAnsi="Arial"/>
          <w:b/>
          <w:color w:val="121212"/>
          <w:sz w:val="24"/>
        </w:rPr>
        <w:t>Prohibiciones</w:t>
      </w:r>
    </w:p>
    <w:p w:rsidR="00CB1F00" w:rsidRDefault="00CB1F00" w:rsidP="00CB1F00">
      <w:pPr>
        <w:spacing w:line="244" w:lineRule="exact"/>
        <w:rPr>
          <w:rFonts w:ascii="Times New Roman" w:eastAsia="Times New Roman" w:hAnsi="Times New Roman"/>
        </w:rPr>
      </w:pPr>
    </w:p>
    <w:p w:rsidR="00CB1F00" w:rsidRDefault="00CB1F00" w:rsidP="00CB1F00">
      <w:pPr>
        <w:spacing w:line="0" w:lineRule="atLeast"/>
        <w:ind w:left="100"/>
        <w:rPr>
          <w:rFonts w:ascii="Arial" w:eastAsia="Arial" w:hAnsi="Arial"/>
          <w:b/>
          <w:color w:val="121212"/>
          <w:sz w:val="24"/>
        </w:rPr>
      </w:pPr>
      <w:r>
        <w:rPr>
          <w:rFonts w:ascii="Arial" w:eastAsia="Arial" w:hAnsi="Arial"/>
          <w:b/>
          <w:color w:val="121212"/>
          <w:sz w:val="24"/>
        </w:rPr>
        <w:t>1.1.- Por su incapacidad</w:t>
      </w:r>
    </w:p>
    <w:p w:rsidR="00CB1F00" w:rsidRDefault="00CB1F00" w:rsidP="00CB1F00">
      <w:pPr>
        <w:spacing w:line="245" w:lineRule="exact"/>
        <w:rPr>
          <w:rFonts w:ascii="Times New Roman" w:eastAsia="Times New Roman" w:hAnsi="Times New Roman"/>
        </w:rPr>
      </w:pPr>
    </w:p>
    <w:p w:rsidR="00CB1F00" w:rsidRDefault="00CB1F00" w:rsidP="00CB1F00">
      <w:pPr>
        <w:spacing w:line="227" w:lineRule="auto"/>
        <w:ind w:left="100"/>
        <w:jc w:val="both"/>
        <w:rPr>
          <w:rFonts w:ascii="Arial" w:eastAsia="Arial" w:hAnsi="Arial"/>
          <w:color w:val="121212"/>
          <w:sz w:val="24"/>
        </w:rPr>
      </w:pPr>
      <w:r>
        <w:rPr>
          <w:rFonts w:ascii="Arial" w:eastAsia="Arial" w:hAnsi="Arial"/>
          <w:color w:val="121212"/>
          <w:sz w:val="24"/>
        </w:rPr>
        <w:t>No puede ser testigo (y si se le recibe testimonio, éste no podrá surtir efecto probatorio alguno) quienes se hallen “permanentemente privados de razón o del sentido indispensable para tener conocimiento de los hechos que son objeto de la prueba”. En todos los casos deberá exigirse una acreditación médica o en su caso certificación administrativa o judicial (declarando la incapacidad) que así lo sostenga, a fin de evitar engaños al tribunal (el falso enajenado, el falso sordo, entre otros). Hay que tener presente no obstante dos cosas: de un lado, que como bien señala el Código si se trata de la ausencia de un sentido habrá que determinar si éste resultaba precisamente útil o necesario para captar los hechos, porque podría no ser así (por ej. si sólo se requería visualizar los hechos, es irrelevante que el testigo fuese mudo o sordo).</w:t>
      </w:r>
    </w:p>
    <w:p w:rsidR="00CB1F00" w:rsidRDefault="00CB1F00" w:rsidP="00CB1F00">
      <w:pPr>
        <w:spacing w:line="248" w:lineRule="exact"/>
        <w:rPr>
          <w:rFonts w:ascii="Times New Roman" w:eastAsia="Times New Roman" w:hAnsi="Times New Roman"/>
        </w:rPr>
      </w:pPr>
    </w:p>
    <w:p w:rsidR="00CB1F00" w:rsidRDefault="00CB1F00" w:rsidP="00CB1F00">
      <w:pPr>
        <w:spacing w:line="256" w:lineRule="auto"/>
        <w:ind w:left="100"/>
        <w:jc w:val="both"/>
        <w:rPr>
          <w:rFonts w:ascii="Arial" w:eastAsia="Arial" w:hAnsi="Arial"/>
          <w:color w:val="121212"/>
          <w:sz w:val="22"/>
        </w:rPr>
      </w:pPr>
      <w:r>
        <w:rPr>
          <w:rFonts w:ascii="Arial" w:eastAsia="Arial" w:hAnsi="Arial"/>
          <w:color w:val="121212"/>
          <w:sz w:val="22"/>
        </w:rPr>
        <w:t>De otro lado, la incapacidad sensorial podría resultar no total sino parcial, y entonces el problema no sería ya de prohibición para ser testigo, sino de si llegó a percibir los hechos o no pudo hacerlo debido al grado de su minusvalía: aquí el control debería operarse más bien en la fase final de valoración judicial, ponderando los</w:t>
      </w:r>
    </w:p>
    <w:p w:rsidR="00CB1F00" w:rsidRDefault="00CB1F00" w:rsidP="00CB1F00">
      <w:pPr>
        <w:spacing w:line="20" w:lineRule="exact"/>
        <w:rPr>
          <w:rFonts w:ascii="Times New Roman" w:eastAsia="Times New Roman" w:hAnsi="Times New Roman"/>
        </w:rPr>
      </w:pPr>
      <w:r>
        <w:rPr>
          <w:rFonts w:ascii="Arial" w:eastAsia="Arial" w:hAnsi="Arial"/>
          <w:noProof/>
          <w:color w:val="121212"/>
          <w:sz w:val="22"/>
        </w:rPr>
        <mc:AlternateContent>
          <mc:Choice Requires="wps">
            <w:drawing>
              <wp:anchor distT="0" distB="0" distL="114300" distR="114300" simplePos="0" relativeHeight="251664384" behindDoc="1" locked="0" layoutInCell="1" allowOverlap="1">
                <wp:simplePos x="0" y="0"/>
                <wp:positionH relativeFrom="column">
                  <wp:posOffset>59055</wp:posOffset>
                </wp:positionH>
                <wp:positionV relativeFrom="paragraph">
                  <wp:posOffset>450215</wp:posOffset>
                </wp:positionV>
                <wp:extent cx="1080135" cy="0"/>
                <wp:effectExtent l="5080" t="10795" r="10160" b="8255"/>
                <wp:wrapNone/>
                <wp:docPr id="40" name="Conector rec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FDD42" id="Conector recto 4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35.45pt" to="89.7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coJgIAAE0EAAAOAAAAZHJzL2Uyb0RvYy54bWysVMGO2yAQvVfqPyDuWduJk2atOKvKTnrZ&#10;tpF2+wEEcIyKAQGJE1X99w44jrLtpaoqSzAww+PNzMOrp3Mn0YlbJ7QqcfaQYsQV1UyoQ4m/vW4n&#10;S4ycJ4oRqRUv8YU7/LR+/27Vm4JPdasl4xYBiHJFb0rcem+KJHG05R1xD9pwBc5G2454WNpDwizp&#10;Ab2TyTRNF0mvLTNWU+4c7NaDE68jftNw6r82jeMeyRIDNx9HG8d9GJP1ihQHS0wr6JUG+QcWHREK&#10;Lr1B1cQTdLTiD6hOUKudbvwD1V2im0ZQHnOAbLL0t2xeWmJ4zAWK48ytTO7/wdIvp51FgpU4h/Io&#10;0kGPKugU9doiGyYEDqhSb1wBwZXa2ZAnPasX86zpd4eUrlqiDjyyfb0YQMjCieTNkbBwBu7a9581&#10;gxhy9DqW7NzYLkBCMdA5duZy6ww/e0RhM0uXaTabY0RHX0KK8aCxzn/iukPBKLEUKhSNFOT07Hwg&#10;QooxJGwrvRVSxsZLhfoSL2bzNB5wWgoWnCHM2cO+khadCEgnm4YvZgWe+7CAXBPXDnHRNYjK6qNi&#10;8ZaWE7a52p4IOdjASqpwEeQIPK/WIJofj+njZrlZ5pN8uthM8rSuJx+3VT5ZbLMP83pWV1Wd/Qyc&#10;s7xoBWNcBdqjgLP87wRyfUqD9G4SvtUneYseCwlkxzmSjk0OfR0UstfssrNj80GzMfj6vsKjuF+D&#10;ff8XWP8CAAD//wMAUEsDBBQABgAIAAAAIQDwfpol2QAAAAcBAAAPAAAAZHJzL2Rvd25yZXYueG1s&#10;TI5NTsMwEIX3SNzBGiR21C5UtAlxKoRUsYwaOMA0HhJDPE5jtw2cHlcs6PL96L2vWE+uF0cag/Ws&#10;YT5TIIgbbyy3Gt7fNncrECEiG+w9k4ZvCrAur68KzI0/8ZaOdWxFGuGQo4YuxiGXMjQdOQwzPxCn&#10;7MOPDmOSYyvNiKc07np5r9SjdGg5PXQ40EtHzVd9cBrcqtr8LCqrprr6fJ3XuG/sdq/17c30/AQi&#10;0hT/y3DGT+hQJqadP7AJoteQPaSihqXKQJzjZbYAsfszZFnIS/7yFwAA//8DAFBLAQItABQABgAI&#10;AAAAIQC2gziS/gAAAOEBAAATAAAAAAAAAAAAAAAAAAAAAABbQ29udGVudF9UeXBlc10ueG1sUEsB&#10;Ai0AFAAGAAgAAAAhADj9If/WAAAAlAEAAAsAAAAAAAAAAAAAAAAALwEAAF9yZWxzLy5yZWxzUEsB&#10;Ai0AFAAGAAgAAAAhAAlsJygmAgAATQQAAA4AAAAAAAAAAAAAAAAALgIAAGRycy9lMm9Eb2MueG1s&#10;UEsBAi0AFAAGAAgAAAAhAPB+miXZAAAABwEAAA8AAAAAAAAAAAAAAAAAgAQAAGRycy9kb3ducmV2&#10;LnhtbFBLBQYAAAAABAAEAPMAAACGBQAAAAA=&#10;" strokecolor="#121212" strokeweight=".5pt"/>
            </w:pict>
          </mc:Fallback>
        </mc:AlternateContent>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321" w:lineRule="exact"/>
        <w:rPr>
          <w:rFonts w:ascii="Times New Roman" w:eastAsia="Times New Roman" w:hAnsi="Times New Roman"/>
        </w:rPr>
      </w:pPr>
    </w:p>
    <w:p w:rsidR="00CB1F00" w:rsidRDefault="00CB1F00" w:rsidP="00CB1F00">
      <w:pPr>
        <w:numPr>
          <w:ilvl w:val="0"/>
          <w:numId w:val="1"/>
        </w:numPr>
        <w:tabs>
          <w:tab w:val="left" w:pos="460"/>
        </w:tabs>
        <w:spacing w:line="0" w:lineRule="atLeast"/>
        <w:ind w:left="460" w:hanging="366"/>
        <w:rPr>
          <w:rFonts w:ascii="Arial" w:eastAsia="Arial" w:hAnsi="Arial"/>
          <w:color w:val="121212"/>
          <w:sz w:val="16"/>
        </w:rPr>
      </w:pPr>
      <w:r>
        <w:rPr>
          <w:rFonts w:ascii="Arial" w:eastAsia="Arial" w:hAnsi="Arial"/>
          <w:color w:val="121212"/>
          <w:sz w:val="16"/>
        </w:rPr>
        <w:t>Al efecto, art. 292 CPC.</w:t>
      </w:r>
    </w:p>
    <w:p w:rsidR="00CB1F00" w:rsidRDefault="00CB1F00" w:rsidP="00CB1F00">
      <w:pPr>
        <w:spacing w:line="121" w:lineRule="exact"/>
        <w:rPr>
          <w:rFonts w:ascii="Arial" w:eastAsia="Arial" w:hAnsi="Arial"/>
          <w:color w:val="121212"/>
          <w:sz w:val="16"/>
        </w:rPr>
      </w:pPr>
    </w:p>
    <w:p w:rsidR="00CB1F00" w:rsidRDefault="00CB1F00" w:rsidP="00CB1F00">
      <w:pPr>
        <w:numPr>
          <w:ilvl w:val="0"/>
          <w:numId w:val="1"/>
        </w:numPr>
        <w:tabs>
          <w:tab w:val="left" w:pos="480"/>
        </w:tabs>
        <w:spacing w:line="0" w:lineRule="atLeast"/>
        <w:ind w:left="480" w:hanging="386"/>
        <w:rPr>
          <w:rFonts w:ascii="Arial" w:eastAsia="Arial" w:hAnsi="Arial"/>
          <w:color w:val="121212"/>
          <w:sz w:val="16"/>
        </w:rPr>
      </w:pPr>
      <w:r>
        <w:rPr>
          <w:rFonts w:ascii="Arial" w:eastAsia="Arial" w:hAnsi="Arial"/>
          <w:color w:val="121212"/>
          <w:sz w:val="16"/>
        </w:rPr>
        <w:t>De esta especie, el art. 294 CPC, especialmente en sus apartados 4º a 10º CPC.</w:t>
      </w:r>
    </w:p>
    <w:p w:rsidR="00CB1F00" w:rsidRDefault="00CB1F00" w:rsidP="00CB1F00">
      <w:pPr>
        <w:tabs>
          <w:tab w:val="left" w:pos="480"/>
        </w:tabs>
        <w:spacing w:line="0" w:lineRule="atLeast"/>
        <w:ind w:left="480" w:hanging="386"/>
        <w:rPr>
          <w:rFonts w:ascii="Arial" w:eastAsia="Arial" w:hAnsi="Arial"/>
          <w:color w:val="121212"/>
          <w:sz w:val="16"/>
        </w:rPr>
        <w:sectPr w:rsidR="00CB1F00">
          <w:pgSz w:w="10780" w:h="14173"/>
          <w:pgMar w:top="406" w:right="1132" w:bottom="546" w:left="433" w:header="0" w:footer="0" w:gutter="0"/>
          <w:cols w:num="2" w:space="0" w:equalWidth="0">
            <w:col w:w="195" w:space="412"/>
            <w:col w:w="8600"/>
          </w:cols>
          <w:docGrid w:linePitch="360"/>
        </w:sectPr>
      </w:pPr>
    </w:p>
    <w:tbl>
      <w:tblPr>
        <w:tblW w:w="0" w:type="auto"/>
        <w:tblInd w:w="4826" w:type="dxa"/>
        <w:tblLayout w:type="fixed"/>
        <w:tblCellMar>
          <w:left w:w="0" w:type="dxa"/>
          <w:right w:w="0" w:type="dxa"/>
        </w:tblCellMar>
        <w:tblLook w:val="0000" w:firstRow="0" w:lastRow="0" w:firstColumn="0" w:lastColumn="0" w:noHBand="0" w:noVBand="0"/>
      </w:tblPr>
      <w:tblGrid>
        <w:gridCol w:w="3200"/>
        <w:gridCol w:w="600"/>
      </w:tblGrid>
      <w:tr w:rsidR="00CB1F00" w:rsidTr="000F66D3">
        <w:trPr>
          <w:trHeight w:val="736"/>
        </w:trPr>
        <w:tc>
          <w:tcPr>
            <w:tcW w:w="3200" w:type="dxa"/>
            <w:tcBorders>
              <w:right w:val="single" w:sz="8" w:space="0" w:color="121212"/>
            </w:tcBorders>
            <w:shd w:val="clear" w:color="auto" w:fill="auto"/>
            <w:vAlign w:val="bottom"/>
          </w:tcPr>
          <w:p w:rsidR="00CB1F00" w:rsidRDefault="00CB1F00" w:rsidP="000F66D3">
            <w:pPr>
              <w:spacing w:line="0" w:lineRule="atLeast"/>
              <w:rPr>
                <w:rFonts w:ascii="Arial" w:eastAsia="Arial" w:hAnsi="Arial"/>
                <w:color w:val="888A8A"/>
              </w:rPr>
            </w:pPr>
            <w:bookmarkStart w:id="2" w:name="page436"/>
            <w:bookmarkEnd w:id="2"/>
            <w:r>
              <w:rPr>
                <w:rFonts w:ascii="Arial" w:eastAsia="Arial" w:hAnsi="Arial"/>
                <w:color w:val="888A8A"/>
              </w:rPr>
              <w:lastRenderedPageBreak/>
              <w:t>Consejo Nacional de la Judicatura</w:t>
            </w:r>
          </w:p>
        </w:tc>
        <w:tc>
          <w:tcPr>
            <w:tcW w:w="600" w:type="dxa"/>
            <w:shd w:val="clear" w:color="auto" w:fill="auto"/>
            <w:vAlign w:val="bottom"/>
          </w:tcPr>
          <w:p w:rsidR="00CB1F00" w:rsidRDefault="00CB1F00" w:rsidP="000F66D3">
            <w:pPr>
              <w:spacing w:line="0" w:lineRule="atLeast"/>
              <w:jc w:val="right"/>
              <w:rPr>
                <w:rFonts w:ascii="Arial" w:eastAsia="Arial" w:hAnsi="Arial"/>
                <w:color w:val="121212"/>
                <w:sz w:val="28"/>
              </w:rPr>
            </w:pPr>
            <w:r>
              <w:rPr>
                <w:rFonts w:ascii="Arial" w:eastAsia="Arial" w:hAnsi="Arial"/>
                <w:color w:val="121212"/>
                <w:sz w:val="28"/>
              </w:rPr>
              <w:t>401</w:t>
            </w:r>
          </w:p>
        </w:tc>
      </w:tr>
    </w:tbl>
    <w:p w:rsidR="00CB1F00" w:rsidRDefault="00CB1F00" w:rsidP="00CB1F00">
      <w:pPr>
        <w:spacing w:line="378" w:lineRule="exact"/>
        <w:rPr>
          <w:rFonts w:ascii="Times New Roman" w:eastAsia="Times New Roman" w:hAnsi="Times New Roman"/>
        </w:rPr>
      </w:pPr>
    </w:p>
    <w:p w:rsidR="00CB1F00" w:rsidRDefault="00CB1F00" w:rsidP="00CB1F00">
      <w:pPr>
        <w:spacing w:line="276" w:lineRule="auto"/>
        <w:ind w:left="6" w:right="120"/>
        <w:jc w:val="both"/>
        <w:rPr>
          <w:rFonts w:ascii="Arial" w:eastAsia="Arial" w:hAnsi="Arial"/>
          <w:color w:val="121212"/>
          <w:sz w:val="22"/>
        </w:rPr>
      </w:pPr>
      <w:proofErr w:type="gramStart"/>
      <w:r>
        <w:rPr>
          <w:rFonts w:ascii="Arial" w:eastAsia="Arial" w:hAnsi="Arial"/>
          <w:color w:val="121212"/>
          <w:sz w:val="22"/>
        </w:rPr>
        <w:t>datos</w:t>
      </w:r>
      <w:proofErr w:type="gramEnd"/>
      <w:r>
        <w:rPr>
          <w:rFonts w:ascii="Arial" w:eastAsia="Arial" w:hAnsi="Arial"/>
          <w:color w:val="121212"/>
          <w:sz w:val="22"/>
        </w:rPr>
        <w:t xml:space="preserve"> recabados a favor y en contra de la credibilidad del testigo, por un déficit (que no ausencia) real o no de percepción sensorial en la aprehensión de los hechos.</w:t>
      </w:r>
    </w:p>
    <w:p w:rsidR="00CB1F00" w:rsidRDefault="00CB1F00" w:rsidP="00CB1F00">
      <w:pPr>
        <w:spacing w:line="198" w:lineRule="exact"/>
        <w:rPr>
          <w:rFonts w:ascii="Times New Roman" w:eastAsia="Times New Roman" w:hAnsi="Times New Roman"/>
        </w:rPr>
      </w:pPr>
    </w:p>
    <w:p w:rsidR="00CB1F00" w:rsidRDefault="00CB1F00" w:rsidP="00CB1F00">
      <w:pPr>
        <w:spacing w:line="0" w:lineRule="atLeast"/>
        <w:ind w:left="6"/>
        <w:rPr>
          <w:rFonts w:ascii="Arial" w:eastAsia="Arial" w:hAnsi="Arial"/>
          <w:b/>
          <w:color w:val="121212"/>
          <w:sz w:val="24"/>
        </w:rPr>
      </w:pPr>
      <w:r>
        <w:rPr>
          <w:rFonts w:ascii="Arial" w:eastAsia="Arial" w:hAnsi="Arial"/>
          <w:b/>
          <w:color w:val="121212"/>
          <w:sz w:val="24"/>
        </w:rPr>
        <w:t>1.2.- Por la edad</w:t>
      </w:r>
    </w:p>
    <w:p w:rsidR="00CB1F00" w:rsidRDefault="00CB1F00" w:rsidP="00CB1F00">
      <w:pPr>
        <w:spacing w:line="245" w:lineRule="exact"/>
        <w:rPr>
          <w:rFonts w:ascii="Times New Roman" w:eastAsia="Times New Roman" w:hAnsi="Times New Roman"/>
        </w:rPr>
      </w:pPr>
    </w:p>
    <w:p w:rsidR="00CB1F00" w:rsidRDefault="00CB1F00" w:rsidP="00CB1F00">
      <w:pPr>
        <w:spacing w:line="227" w:lineRule="auto"/>
        <w:ind w:left="6" w:right="120"/>
        <w:jc w:val="both"/>
        <w:rPr>
          <w:rFonts w:ascii="Arial" w:eastAsia="Arial" w:hAnsi="Arial"/>
          <w:color w:val="121212"/>
          <w:sz w:val="24"/>
        </w:rPr>
      </w:pPr>
      <w:r>
        <w:rPr>
          <w:rFonts w:ascii="Arial" w:eastAsia="Arial" w:hAnsi="Arial"/>
          <w:color w:val="121212"/>
          <w:sz w:val="24"/>
        </w:rPr>
        <w:t>El Código en el art. 355 párrafo segundo ha mantenido el umbral de la capacidad de declarar en los doce años, pero sin impedir que pueda hacerlo quien todavía no haya alcanzado esta edad, al contrario de lo que preveía el derogado CPC</w:t>
      </w:r>
      <w:r>
        <w:rPr>
          <w:rFonts w:ascii="Arial" w:eastAsia="Arial" w:hAnsi="Arial"/>
          <w:color w:val="121212"/>
          <w:sz w:val="13"/>
        </w:rPr>
        <w:t>279</w:t>
      </w:r>
      <w:r>
        <w:rPr>
          <w:rFonts w:ascii="Arial" w:eastAsia="Arial" w:hAnsi="Arial"/>
          <w:color w:val="121212"/>
          <w:sz w:val="24"/>
        </w:rPr>
        <w:t>, y en línea con lo establecido en otros ordenamientos procesales más modernos</w:t>
      </w:r>
      <w:r>
        <w:rPr>
          <w:rFonts w:ascii="Arial" w:eastAsia="Arial" w:hAnsi="Arial"/>
          <w:color w:val="121212"/>
          <w:sz w:val="13"/>
        </w:rPr>
        <w:t>280</w:t>
      </w:r>
      <w:r>
        <w:rPr>
          <w:rFonts w:ascii="Arial" w:eastAsia="Arial" w:hAnsi="Arial"/>
          <w:color w:val="121212"/>
          <w:sz w:val="24"/>
        </w:rPr>
        <w:t>. De modo que en este último caso, y salvo situaciones extremas (donde el menor por ser tan pequeño ni siquiera puede comunicarse ni haya empezado a practicar el lenguaje), la prueba a priori debe admitirse, siendo el Juez en la audiencia probatoria quien, una vez comenzado el interrogatorio, decida si el menor ofrece visos de aptitud mental y sensorial para haber podido percibir los hechos sobre los que se le interroga, así como para transmitir una versión comprensible de ellos; si colige de manera clara que no los ofrece, debe suspender el interrogatorio y excluir su testimonio.</w:t>
      </w:r>
    </w:p>
    <w:p w:rsidR="00CB1F00" w:rsidRDefault="00CB1F00" w:rsidP="00CB1F00">
      <w:pPr>
        <w:spacing w:line="247" w:lineRule="exact"/>
        <w:rPr>
          <w:rFonts w:ascii="Times New Roman" w:eastAsia="Times New Roman" w:hAnsi="Times New Roman"/>
        </w:rPr>
      </w:pPr>
    </w:p>
    <w:p w:rsidR="00CB1F00" w:rsidRDefault="00CB1F00" w:rsidP="00CB1F00">
      <w:pPr>
        <w:spacing w:line="0" w:lineRule="atLeast"/>
        <w:ind w:left="6"/>
        <w:rPr>
          <w:rFonts w:ascii="Arial" w:eastAsia="Arial" w:hAnsi="Arial"/>
          <w:b/>
          <w:color w:val="121212"/>
          <w:sz w:val="24"/>
        </w:rPr>
      </w:pPr>
      <w:r>
        <w:rPr>
          <w:rFonts w:ascii="Arial" w:eastAsia="Arial" w:hAnsi="Arial"/>
          <w:b/>
          <w:color w:val="121212"/>
          <w:sz w:val="24"/>
        </w:rPr>
        <w:t>1.3.- Por no ofrecer una percepción directa del hecho</w:t>
      </w:r>
    </w:p>
    <w:p w:rsidR="00CB1F00" w:rsidRDefault="00CB1F00" w:rsidP="00CB1F00">
      <w:pPr>
        <w:spacing w:line="245" w:lineRule="exact"/>
        <w:rPr>
          <w:rFonts w:ascii="Times New Roman" w:eastAsia="Times New Roman" w:hAnsi="Times New Roman"/>
        </w:rPr>
      </w:pPr>
    </w:p>
    <w:p w:rsidR="00CB1F00" w:rsidRDefault="00CB1F00" w:rsidP="00CB1F00">
      <w:pPr>
        <w:spacing w:line="229" w:lineRule="auto"/>
        <w:ind w:left="6" w:right="120"/>
        <w:jc w:val="both"/>
        <w:rPr>
          <w:rFonts w:ascii="Arial" w:eastAsia="Arial" w:hAnsi="Arial"/>
          <w:color w:val="121212"/>
          <w:sz w:val="24"/>
        </w:rPr>
      </w:pPr>
      <w:r>
        <w:rPr>
          <w:rFonts w:ascii="Arial" w:eastAsia="Arial" w:hAnsi="Arial"/>
          <w:color w:val="121212"/>
          <w:sz w:val="24"/>
        </w:rPr>
        <w:t>El Código excluye el llamado testigo de referencia o indirecto en el art. 357 y lo hace de modo absoluto, sea cual fuere la clase de pleito entablado, lo que es un modo de cerrar el círculo definitorio de este medio de prueba con el art. 354 ya mencionado: el testimonio válido, es sólo el de la persona que ha presenciado directamente los hechos, no por habérselo dicho otro, o haberlo leído en alguna fuente de noticias, entre otros.</w:t>
      </w:r>
    </w:p>
    <w:p w:rsidR="00CB1F00" w:rsidRDefault="00CB1F00" w:rsidP="00CB1F00">
      <w:pPr>
        <w:spacing w:line="239" w:lineRule="exact"/>
        <w:rPr>
          <w:rFonts w:ascii="Times New Roman" w:eastAsia="Times New Roman" w:hAnsi="Times New Roman"/>
        </w:rPr>
      </w:pPr>
    </w:p>
    <w:p w:rsidR="00CB1F00" w:rsidRDefault="00CB1F00" w:rsidP="00CB1F00">
      <w:pPr>
        <w:numPr>
          <w:ilvl w:val="0"/>
          <w:numId w:val="1"/>
        </w:numPr>
        <w:tabs>
          <w:tab w:val="left" w:pos="566"/>
        </w:tabs>
        <w:spacing w:line="0" w:lineRule="atLeast"/>
        <w:ind w:left="566" w:hanging="566"/>
        <w:rPr>
          <w:rFonts w:ascii="Arial" w:eastAsia="Arial" w:hAnsi="Arial"/>
          <w:b/>
          <w:color w:val="121212"/>
          <w:sz w:val="24"/>
        </w:rPr>
      </w:pPr>
      <w:r>
        <w:rPr>
          <w:rFonts w:ascii="Arial" w:eastAsia="Arial" w:hAnsi="Arial"/>
          <w:b/>
          <w:color w:val="121212"/>
          <w:sz w:val="24"/>
        </w:rPr>
        <w:t>Exenciones al deber de declarar</w:t>
      </w:r>
    </w:p>
    <w:p w:rsidR="00CB1F00" w:rsidRDefault="00CB1F00" w:rsidP="00CB1F00">
      <w:pPr>
        <w:spacing w:line="245" w:lineRule="exact"/>
        <w:rPr>
          <w:rFonts w:ascii="Times New Roman" w:eastAsia="Times New Roman" w:hAnsi="Times New Roman"/>
        </w:rPr>
      </w:pPr>
    </w:p>
    <w:p w:rsidR="00CB1F00" w:rsidRDefault="00CB1F00" w:rsidP="00CB1F00">
      <w:pPr>
        <w:spacing w:line="250" w:lineRule="auto"/>
        <w:ind w:left="6" w:right="120"/>
        <w:jc w:val="both"/>
        <w:rPr>
          <w:rFonts w:ascii="Arial" w:eastAsia="Arial" w:hAnsi="Arial"/>
          <w:color w:val="121212"/>
          <w:sz w:val="22"/>
        </w:rPr>
      </w:pPr>
      <w:r>
        <w:rPr>
          <w:rFonts w:ascii="Arial" w:eastAsia="Arial" w:hAnsi="Arial"/>
          <w:color w:val="121212"/>
          <w:sz w:val="22"/>
        </w:rPr>
        <w:t>En ocasiones, la circunstancia en que se captan los hechos por un tercero que luego se convierte en potencial testigo, se enmarca en una relación profesional protegida con un deber de confidencialidad regulado a su vez por el ordenamiento jurídico. Su ruptura, al hilo de prestar un deber de colaboración con la Justicia como es el interrogatorio en juicio, crea sin embargo otro tipo de efectos negativos, que obligan a una ponderación previa por el legislador a fin de delimitar en qué supuestos debe ceder un bien jurídico (el susodicho deber de confidencialidad) u otro (la búsqueda de la verdad, y el no ocasionar indefensión a quien requiere de esos datos), teniendo en cuenta la índole de los conflictos jurídicos que se debaten.</w:t>
      </w:r>
    </w:p>
    <w:p w:rsidR="00CB1F00" w:rsidRDefault="00CB1F00" w:rsidP="00CB1F00">
      <w:pPr>
        <w:spacing w:line="228" w:lineRule="exact"/>
        <w:rPr>
          <w:rFonts w:ascii="Times New Roman" w:eastAsia="Times New Roman" w:hAnsi="Times New Roman"/>
        </w:rPr>
      </w:pPr>
    </w:p>
    <w:p w:rsidR="00CB1F00" w:rsidRDefault="00CB1F00" w:rsidP="00CB1F00">
      <w:pPr>
        <w:spacing w:line="244" w:lineRule="auto"/>
        <w:ind w:left="6" w:right="120"/>
        <w:jc w:val="both"/>
        <w:rPr>
          <w:rFonts w:ascii="Arial" w:eastAsia="Arial" w:hAnsi="Arial"/>
          <w:color w:val="121212"/>
          <w:sz w:val="23"/>
        </w:rPr>
      </w:pPr>
      <w:r>
        <w:rPr>
          <w:rFonts w:ascii="Arial" w:eastAsia="Arial" w:hAnsi="Arial"/>
          <w:color w:val="121212"/>
          <w:sz w:val="23"/>
        </w:rPr>
        <w:t>En esta situación, pues, el Código ha optado por imponer una regla general de dispensa de la obligación general de declarar, es decir, la persona puede declarar si quiere, pero también si prefiere puede negarse a ello, sin que le depare ninguna</w:t>
      </w:r>
    </w:p>
    <w:p w:rsidR="00CB1F00" w:rsidRDefault="00CB1F00" w:rsidP="00CB1F00">
      <w:pPr>
        <w:spacing w:line="20" w:lineRule="exact"/>
        <w:rPr>
          <w:rFonts w:ascii="Times New Roman" w:eastAsia="Times New Roman" w:hAnsi="Times New Roman"/>
        </w:rPr>
      </w:pPr>
      <w:r>
        <w:rPr>
          <w:rFonts w:ascii="Arial" w:eastAsia="Arial" w:hAnsi="Arial"/>
          <w:noProof/>
          <w:color w:val="121212"/>
          <w:sz w:val="23"/>
        </w:rPr>
        <mc:AlternateContent>
          <mc:Choice Requires="wps">
            <w:drawing>
              <wp:anchor distT="0" distB="0" distL="114300" distR="114300" simplePos="0" relativeHeight="251665408" behindDoc="1" locked="0" layoutInCell="1" allowOverlap="1">
                <wp:simplePos x="0" y="0"/>
                <wp:positionH relativeFrom="column">
                  <wp:posOffset>0</wp:posOffset>
                </wp:positionH>
                <wp:positionV relativeFrom="paragraph">
                  <wp:posOffset>293370</wp:posOffset>
                </wp:positionV>
                <wp:extent cx="1079500" cy="0"/>
                <wp:effectExtent l="5715" t="11430" r="10160" b="762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914E" id="Conector recto 3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1pt" to="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heJwIAAE0EAAAOAAAAZHJzL2Uyb0RvYy54bWysVMGO2yAQvVfqPyDuWduJk02sOKvKTnrZ&#10;diPt9gMI4BgVAwISJ6r67x1wEmXbS1VVlmBghsebmYeXT6dOoiO3TmhV4uwhxYgrqplQ+xJ/e9uM&#10;5hg5TxQjUite4jN3+Gn18cOyNwUf61ZLxi0CEOWK3pS49d4USeJoyzviHrThCpyNth3xsLT7hFnS&#10;A3onk3GazpJeW2asptw52K0HJ15F/Kbh1L80jeMeyRIDNx9HG8ddGJPVkhR7S0wr6IUG+QcWHREK&#10;Lr1B1cQTdLDiD6hOUKudbvwD1V2im0ZQHnOAbLL0t2xeW2J4zAWK48ytTO7/wdKvx61FgpV4ssBI&#10;kQ56VEGnqNcW2TAhcECVeuMKCK7U1oY86Um9mmdNvzukdNUSteeR7dvZAEIWTiTvjoSFM3DXrv+i&#10;GcSQg9exZKfGdgESioFOsTPnW2f4ySMKm1n6uJim0EB69SWkuB401vnPXHcoGCWWQoWikYIcn50P&#10;REhxDQnbSm+ElLHxUqG+xLPJNI0HnJaCBWcIc3a/q6RFRwLSycbhi1mB5z4sINfEtUNcdA2isvqg&#10;WLyl5YStL7YnQg42sJIqXAQ5As+LNYjmxyJdrOfreT7Kx7P1KE/revRpU+Wj2SZ7nNaTuqrq7Gfg&#10;nOVFKxjjKtC+CjjL/04gl6c0SO8m4Vt9kvfosZBA9jpH0rHJoa+DQnaanbf22nzQbAy+vK/wKO7X&#10;YN//BVa/AAAA//8DAFBLAwQUAAYACAAAACEA8Ax529kAAAAGAQAADwAAAGRycy9kb3ducmV2Lnht&#10;bEyPwW7CMBBE75X6D9ZW6q3YIERRiIMqJMQxIu0HLPGSmMbrEBtI+/U16qE9zsxq5m2+Hl0nrjQE&#10;61nDdKJAENfeWG40fLxvX5YgQkQ22HkmDV8UYF08PuSYGX/jPV2r2IhUwiFDDW2MfSZlqFtyGCa+&#10;J07Z0Q8OY5JDI82At1TuOjlTaiEdWk4LLfa0aan+rC5Og1uW2+95adVYlafdtMJzbfdnrZ+fxrcV&#10;iEhj/DuGO35ChyIxHfyFTRCdhvRI1DBfzEDc01eVjMOvIYtc/scvfgAAAP//AwBQSwECLQAUAAYA&#10;CAAAACEAtoM4kv4AAADhAQAAEwAAAAAAAAAAAAAAAAAAAAAAW0NvbnRlbnRfVHlwZXNdLnhtbFBL&#10;AQItABQABgAIAAAAIQA4/SH/1gAAAJQBAAALAAAAAAAAAAAAAAAAAC8BAABfcmVscy8ucmVsc1BL&#10;AQItABQABgAIAAAAIQATPuheJwIAAE0EAAAOAAAAAAAAAAAAAAAAAC4CAABkcnMvZTJvRG9jLnht&#10;bFBLAQItABQABgAIAAAAIQDwDHnb2QAAAAYBAAAPAAAAAAAAAAAAAAAAAIEEAABkcnMvZG93bnJl&#10;di54bWxQSwUGAAAAAAQABADzAAAAhwUAAAAA&#10;" strokecolor="#121212" strokeweight=".5pt"/>
            </w:pict>
          </mc:Fallback>
        </mc:AlternateContent>
      </w:r>
    </w:p>
    <w:p w:rsidR="00CB1F00" w:rsidRDefault="00CB1F00" w:rsidP="00CB1F00">
      <w:pPr>
        <w:spacing w:line="200" w:lineRule="exact"/>
        <w:rPr>
          <w:rFonts w:ascii="Times New Roman" w:eastAsia="Times New Roman" w:hAnsi="Times New Roman"/>
        </w:rPr>
      </w:pPr>
    </w:p>
    <w:p w:rsidR="00CB1F00" w:rsidRDefault="00CB1F00" w:rsidP="00CB1F00">
      <w:pPr>
        <w:spacing w:line="274" w:lineRule="exact"/>
        <w:rPr>
          <w:rFonts w:ascii="Times New Roman" w:eastAsia="Times New Roman" w:hAnsi="Times New Roman"/>
        </w:rPr>
      </w:pPr>
    </w:p>
    <w:p w:rsidR="00CB1F00" w:rsidRDefault="00CB1F00" w:rsidP="00CB1F00">
      <w:pPr>
        <w:numPr>
          <w:ilvl w:val="0"/>
          <w:numId w:val="1"/>
        </w:numPr>
        <w:tabs>
          <w:tab w:val="left" w:pos="386"/>
        </w:tabs>
        <w:spacing w:line="0" w:lineRule="atLeast"/>
        <w:ind w:left="386" w:hanging="386"/>
        <w:rPr>
          <w:rFonts w:ascii="Arial" w:eastAsia="Arial" w:hAnsi="Arial"/>
          <w:color w:val="121212"/>
          <w:sz w:val="16"/>
        </w:rPr>
      </w:pPr>
      <w:r>
        <w:rPr>
          <w:rFonts w:ascii="Arial" w:eastAsia="Arial" w:hAnsi="Arial"/>
          <w:color w:val="121212"/>
          <w:sz w:val="16"/>
        </w:rPr>
        <w:t>Ya previsto en el art. 294.3º del derogado CPC.</w:t>
      </w:r>
    </w:p>
    <w:p w:rsidR="00CB1F00" w:rsidRDefault="00CB1F00" w:rsidP="00CB1F00">
      <w:pPr>
        <w:spacing w:line="121" w:lineRule="exact"/>
        <w:rPr>
          <w:rFonts w:ascii="Arial" w:eastAsia="Arial" w:hAnsi="Arial"/>
          <w:color w:val="121212"/>
          <w:sz w:val="16"/>
        </w:rPr>
      </w:pPr>
    </w:p>
    <w:p w:rsidR="00CB1F00" w:rsidRPr="00CB1F00" w:rsidRDefault="00CB1F00" w:rsidP="00CB1F00">
      <w:pPr>
        <w:numPr>
          <w:ilvl w:val="0"/>
          <w:numId w:val="1"/>
        </w:numPr>
        <w:tabs>
          <w:tab w:val="left" w:pos="386"/>
        </w:tabs>
        <w:spacing w:line="0" w:lineRule="atLeast"/>
        <w:ind w:left="386" w:hanging="386"/>
        <w:rPr>
          <w:rFonts w:ascii="Arial" w:eastAsia="Arial" w:hAnsi="Arial"/>
          <w:color w:val="121212"/>
          <w:sz w:val="16"/>
          <w:lang w:val="en-US"/>
        </w:rPr>
      </w:pPr>
      <w:proofErr w:type="spellStart"/>
      <w:r w:rsidRPr="00CB1F00">
        <w:rPr>
          <w:rFonts w:ascii="Arial" w:eastAsia="Arial" w:hAnsi="Arial"/>
          <w:color w:val="121212"/>
          <w:sz w:val="16"/>
          <w:lang w:val="en-US"/>
        </w:rPr>
        <w:t>Ver</w:t>
      </w:r>
      <w:proofErr w:type="spellEnd"/>
      <w:r w:rsidRPr="00CB1F00">
        <w:rPr>
          <w:rFonts w:ascii="Arial" w:eastAsia="Arial" w:hAnsi="Arial"/>
          <w:color w:val="121212"/>
          <w:sz w:val="16"/>
          <w:lang w:val="en-US"/>
        </w:rPr>
        <w:t xml:space="preserve"> arts. 7. </w:t>
      </w:r>
      <w:proofErr w:type="gramStart"/>
      <w:r w:rsidRPr="00CB1F00">
        <w:rPr>
          <w:rFonts w:ascii="Arial" w:eastAsia="Arial" w:hAnsi="Arial"/>
          <w:color w:val="121212"/>
          <w:sz w:val="16"/>
          <w:lang w:val="en-US"/>
        </w:rPr>
        <w:t>j</w:t>
      </w:r>
      <w:proofErr w:type="gramEnd"/>
      <w:r w:rsidRPr="00CB1F00">
        <w:rPr>
          <w:rFonts w:ascii="Arial" w:eastAsia="Arial" w:hAnsi="Arial"/>
          <w:color w:val="121212"/>
          <w:sz w:val="16"/>
          <w:lang w:val="en-US"/>
        </w:rPr>
        <w:t xml:space="preserve"> y 195 in fine LPF.</w:t>
      </w:r>
    </w:p>
    <w:p w:rsidR="00CB1F00" w:rsidRPr="00CB1F00" w:rsidRDefault="00CB1F00" w:rsidP="00CB1F00">
      <w:pPr>
        <w:spacing w:line="200" w:lineRule="exact"/>
        <w:rPr>
          <w:rFonts w:ascii="Times New Roman" w:eastAsia="Times New Roman" w:hAnsi="Times New Roman"/>
          <w:lang w:val="en-US"/>
        </w:rPr>
      </w:pPr>
      <w:r w:rsidRPr="00CB1F00">
        <w:rPr>
          <w:rFonts w:ascii="Arial" w:eastAsia="Arial" w:hAnsi="Arial"/>
          <w:color w:val="121212"/>
          <w:sz w:val="16"/>
          <w:lang w:val="en-US"/>
        </w:rPr>
        <w:br w:type="column"/>
      </w: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00" w:lineRule="exact"/>
        <w:rPr>
          <w:rFonts w:ascii="Times New Roman" w:eastAsia="Times New Roman" w:hAnsi="Times New Roman"/>
          <w:lang w:val="en-US"/>
        </w:rPr>
      </w:pPr>
    </w:p>
    <w:p w:rsidR="00CB1F00" w:rsidRPr="00CB1F00" w:rsidRDefault="00CB1F00" w:rsidP="00CB1F00">
      <w:pPr>
        <w:spacing w:line="213" w:lineRule="exact"/>
        <w:rPr>
          <w:rFonts w:ascii="Times New Roman" w:eastAsia="Times New Roman" w:hAnsi="Times New Roman"/>
          <w:lang w:val="en-US"/>
        </w:rPr>
      </w:pPr>
    </w:p>
    <w:tbl>
      <w:tblPr>
        <w:tblW w:w="0" w:type="auto"/>
        <w:tblLayout w:type="fixed"/>
        <w:tblCellMar>
          <w:left w:w="0" w:type="dxa"/>
          <w:right w:w="0" w:type="dxa"/>
        </w:tblCellMar>
        <w:tblLook w:val="0000" w:firstRow="0" w:lastRow="0" w:firstColumn="0" w:lastColumn="0" w:noHBand="0" w:noVBand="0"/>
      </w:tblPr>
      <w:tblGrid>
        <w:gridCol w:w="264"/>
      </w:tblGrid>
      <w:tr w:rsidR="00CB1F00" w:rsidTr="000F66D3">
        <w:trPr>
          <w:trHeight w:val="1940"/>
        </w:trPr>
        <w:tc>
          <w:tcPr>
            <w:tcW w:w="264" w:type="dxa"/>
            <w:shd w:val="clear" w:color="auto" w:fill="auto"/>
            <w:textDirection w:val="btLr"/>
            <w:vAlign w:val="bottom"/>
          </w:tcPr>
          <w:p w:rsidR="00CB1F00" w:rsidRDefault="00CB1F00" w:rsidP="000F66D3">
            <w:pPr>
              <w:spacing w:line="0" w:lineRule="atLeast"/>
              <w:rPr>
                <w:rFonts w:ascii="Arial" w:eastAsia="Arial" w:hAnsi="Arial"/>
                <w:b/>
                <w:color w:val="FFFFFF"/>
                <w:sz w:val="23"/>
              </w:rPr>
            </w:pPr>
            <w:r>
              <w:rPr>
                <w:rFonts w:ascii="Arial" w:eastAsia="Arial" w:hAnsi="Arial"/>
                <w:color w:val="FFFFFF"/>
                <w:sz w:val="23"/>
              </w:rPr>
              <w:t xml:space="preserve">LIBRO </w:t>
            </w:r>
            <w:r>
              <w:rPr>
                <w:rFonts w:ascii="Arial" w:eastAsia="Arial" w:hAnsi="Arial"/>
                <w:b/>
                <w:color w:val="FFFFFF"/>
                <w:sz w:val="23"/>
              </w:rPr>
              <w:t>SEGUNDO</w:t>
            </w:r>
          </w:p>
        </w:tc>
      </w:tr>
    </w:tbl>
    <w:p w:rsidR="00CB1F00" w:rsidRDefault="00CB1F00" w:rsidP="00CB1F00">
      <w:pPr>
        <w:spacing w:line="20" w:lineRule="exact"/>
        <w:rPr>
          <w:rFonts w:ascii="Times New Roman" w:eastAsia="Times New Roman" w:hAnsi="Times New Roman"/>
        </w:rPr>
      </w:pPr>
      <w:r>
        <w:rPr>
          <w:rFonts w:ascii="Arial" w:eastAsia="Arial" w:hAnsi="Arial"/>
          <w:b/>
          <w:noProof/>
          <w:color w:val="FFFFFF"/>
          <w:sz w:val="23"/>
        </w:rPr>
        <w:drawing>
          <wp:anchor distT="0" distB="0" distL="114300" distR="114300" simplePos="0" relativeHeight="251666432" behindDoc="1" locked="0" layoutInCell="1" allowOverlap="1">
            <wp:simplePos x="0" y="0"/>
            <wp:positionH relativeFrom="column">
              <wp:posOffset>-49530</wp:posOffset>
            </wp:positionH>
            <wp:positionV relativeFrom="paragraph">
              <wp:posOffset>-1355090</wp:posOffset>
            </wp:positionV>
            <wp:extent cx="419735" cy="1465580"/>
            <wp:effectExtent l="0" t="0" r="0" b="127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35"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spacing w:line="20" w:lineRule="exact"/>
        <w:rPr>
          <w:rFonts w:ascii="Times New Roman" w:eastAsia="Times New Roman" w:hAnsi="Times New Roman"/>
        </w:rPr>
        <w:sectPr w:rsidR="00CB1F00">
          <w:pgSz w:w="10780" w:h="14173"/>
          <w:pgMar w:top="20" w:right="317" w:bottom="546" w:left="1134" w:header="0" w:footer="0" w:gutter="0"/>
          <w:cols w:num="2" w:space="0" w:equalWidth="0">
            <w:col w:w="8626" w:space="430"/>
            <w:col w:w="264"/>
          </w:cols>
          <w:docGrid w:linePitch="360"/>
        </w:sectPr>
      </w:pPr>
    </w:p>
    <w:p w:rsidR="00CB1F00" w:rsidRDefault="00CB1F00" w:rsidP="00CB1F00">
      <w:pPr>
        <w:spacing w:line="200" w:lineRule="exact"/>
        <w:rPr>
          <w:rFonts w:ascii="Times New Roman" w:eastAsia="Times New Roman" w:hAnsi="Times New Roman"/>
        </w:rPr>
      </w:pPr>
      <w:bookmarkStart w:id="3" w:name="page437"/>
      <w:bookmarkEnd w:id="3"/>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5"/>
      </w:tblGrid>
      <w:tr w:rsidR="00CB1F00" w:rsidTr="000F66D3">
        <w:trPr>
          <w:trHeight w:val="1440"/>
        </w:trPr>
        <w:tc>
          <w:tcPr>
            <w:tcW w:w="195" w:type="dxa"/>
            <w:shd w:val="clear" w:color="auto" w:fill="auto"/>
            <w:textDirection w:val="tbRl"/>
            <w:vAlign w:val="bottom"/>
          </w:tcPr>
          <w:p w:rsidR="00CB1F00" w:rsidRDefault="00CB1F00" w:rsidP="000F66D3">
            <w:pPr>
              <w:spacing w:line="0" w:lineRule="atLeast"/>
              <w:rPr>
                <w:rFonts w:ascii="Arial" w:eastAsia="Arial" w:hAnsi="Arial"/>
                <w:color w:val="FFFFFF"/>
                <w:sz w:val="17"/>
              </w:rPr>
            </w:pPr>
            <w:r>
              <w:rPr>
                <w:rFonts w:ascii="Arial" w:eastAsia="Arial" w:hAnsi="Arial"/>
                <w:b/>
                <w:color w:val="FFFFFF"/>
                <w:sz w:val="17"/>
              </w:rPr>
              <w:t>SEGUNDO</w:t>
            </w:r>
            <w:r>
              <w:rPr>
                <w:rFonts w:ascii="Arial" w:eastAsia="Arial" w:hAnsi="Arial"/>
                <w:color w:val="FFFFFF"/>
                <w:sz w:val="17"/>
              </w:rPr>
              <w:t>LIBRO</w:t>
            </w:r>
          </w:p>
        </w:tc>
      </w:tr>
    </w:tbl>
    <w:p w:rsidR="00CB1F00" w:rsidRDefault="00CB1F00" w:rsidP="00CB1F00">
      <w:pPr>
        <w:spacing w:line="20" w:lineRule="exact"/>
        <w:rPr>
          <w:rFonts w:ascii="Times New Roman" w:eastAsia="Times New Roman" w:hAnsi="Times New Roman"/>
        </w:rPr>
      </w:pPr>
      <w:r>
        <w:rPr>
          <w:rFonts w:ascii="Arial" w:eastAsia="Arial" w:hAnsi="Arial"/>
          <w:noProof/>
          <w:color w:val="FFFFFF"/>
          <w:sz w:val="17"/>
        </w:rPr>
        <w:drawing>
          <wp:anchor distT="0" distB="0" distL="114300" distR="114300" simplePos="0" relativeHeight="251667456" behindDoc="1" locked="0" layoutInCell="1" allowOverlap="1">
            <wp:simplePos x="0" y="0"/>
            <wp:positionH relativeFrom="column">
              <wp:posOffset>-274320</wp:posOffset>
            </wp:positionH>
            <wp:positionV relativeFrom="paragraph">
              <wp:posOffset>-554990</wp:posOffset>
            </wp:positionV>
            <wp:extent cx="435610" cy="1465580"/>
            <wp:effectExtent l="0" t="0" r="2540" b="127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tabs>
          <w:tab w:val="left" w:pos="680"/>
        </w:tabs>
        <w:spacing w:line="0" w:lineRule="atLeast"/>
        <w:rPr>
          <w:rFonts w:ascii="Arial" w:eastAsia="Arial" w:hAnsi="Arial"/>
          <w:color w:val="888A8A"/>
          <w:sz w:val="19"/>
        </w:rPr>
      </w:pPr>
      <w:r>
        <w:rPr>
          <w:rFonts w:ascii="Times New Roman" w:eastAsia="Times New Roman" w:hAnsi="Times New Roman"/>
        </w:rPr>
        <w:br w:type="column"/>
      </w:r>
      <w:r>
        <w:rPr>
          <w:rFonts w:ascii="Arial" w:eastAsia="Arial" w:hAnsi="Arial"/>
          <w:color w:val="121212"/>
          <w:sz w:val="28"/>
        </w:rPr>
        <w:t>402</w:t>
      </w:r>
      <w:r>
        <w:rPr>
          <w:rFonts w:ascii="Times New Roman" w:eastAsia="Times New Roman" w:hAnsi="Times New Roman"/>
        </w:rPr>
        <w:tab/>
      </w:r>
      <w:r>
        <w:rPr>
          <w:rFonts w:ascii="Arial" w:eastAsia="Arial" w:hAnsi="Arial"/>
          <w:color w:val="888A8A"/>
          <w:sz w:val="19"/>
        </w:rPr>
        <w:t>Código Procesal Civil y Mercantil Comentado</w:t>
      </w:r>
    </w:p>
    <w:p w:rsidR="00CB1F00" w:rsidRDefault="00CB1F00" w:rsidP="00CB1F00">
      <w:pPr>
        <w:spacing w:line="20" w:lineRule="exact"/>
        <w:rPr>
          <w:rFonts w:ascii="Times New Roman" w:eastAsia="Times New Roman" w:hAnsi="Times New Roman"/>
        </w:rPr>
      </w:pPr>
      <w:r>
        <w:rPr>
          <w:rFonts w:ascii="Arial" w:eastAsia="Arial" w:hAnsi="Arial"/>
          <w:noProof/>
          <w:color w:val="888A8A"/>
          <w:sz w:val="19"/>
        </w:rPr>
        <mc:AlternateContent>
          <mc:Choice Requires="wps">
            <w:drawing>
              <wp:anchor distT="0" distB="0" distL="114300" distR="114300" simplePos="0" relativeHeight="251668480" behindDoc="1" locked="0" layoutInCell="1" allowOverlap="1">
                <wp:simplePos x="0" y="0"/>
                <wp:positionH relativeFrom="column">
                  <wp:posOffset>371475</wp:posOffset>
                </wp:positionH>
                <wp:positionV relativeFrom="paragraph">
                  <wp:posOffset>-462280</wp:posOffset>
                </wp:positionV>
                <wp:extent cx="0" cy="479425"/>
                <wp:effectExtent l="12700" t="9525" r="6350" b="6350"/>
                <wp:wrapNone/>
                <wp:docPr id="36" name="Conector recto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2C462" id="Conector recto 3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6.4pt" to="2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eOJwIAAEwEAAAOAAAAZHJzL2Uyb0RvYy54bWysVMuO2yAU3VfqPyD2GduJk0msOKPKTrqZ&#10;diLN9AMI4BgVAwISJ6r6773gJG3aTVVVluDCPRzOfeDl06mT6MitE1qVOHtIMeKKaibUvsRf3jaj&#10;OUbOE8WI1IqX+Mwdflq9f7fsTcHHutWScYuARLmiNyVuvTdFkjja8o64B224AmejbUc8LO0+YZb0&#10;wN7JZJyms6TXlhmrKXcOduvBiVeRv2k49S9N47hHssSgzcfRxnEXxmS1JMXeEtMKepFB/kFFR4SC&#10;S29UNfEEHaz4g6oT1GqnG/9AdZfophGUxxggmiz9LZrXlhgeY4HkOHNLk/t/tPTzcWuRYCWezDBS&#10;pIMaVVAp6rVFNkwIHJCl3rgCwJXa2hAnPalX86zpV4eUrlqi9jyqfTsbYMjCieTuSFg4A3ft+k+a&#10;AYYcvI4pOzW2C5SQDHSKlTnfKsNPHtFhk8Ju/rjIx9NITorrOWOd/8h1h4JRYilUyBkpyPHZ+aCD&#10;FFdI2FZ6I6SMdZcK9SWeTaZpPOC0FCw4A8zZ/a6SFh0JdE42Dt/l3jtYYK6JawdcdAUYKaw+KBat&#10;lhO2vtieCDnYoEqqAIQQQefFGnrm2yJdrOfreT7Kx7P1KE/revRhU+Wj2SZ7nNaTuqrq7HvQnOVF&#10;KxjjKsi+9m+W/11/XF7S0Hm3Dr7lJ7lnj4kEsdc5io41DmUdGmSn2XlrQ85DuaFlI/jyvMKb+HUd&#10;UT9/AqsfAAAA//8DAFBLAwQUAAYACAAAACEAQAYgntsAAAAHAQAADwAAAGRycy9kb3ducmV2Lnht&#10;bEyPwU7DMAyG70i8Q2Qkblu6irGq1J0Q0sSxWuEBvMa0hcbpmmwrPD2BCxxtf/r9/cV2toM68+R7&#10;JwirZQKKpXGmlxbh9WW3yED5QGJocMIIn+xhW15fFZQbd5E9n+vQqhgiPieELoQx19o3HVvySzey&#10;xNubmyyFOE6tNhNdYrgddJok99pSL/FDRyM/ddx81CeLYLNq93VX9clcV+/Pq5qOTb8/It7ezI8P&#10;oALP4Q+GH/2oDmV0OriTGK8GhHW2jiTCYpPGChH4XRwQ0g3ostD//ctvAAAA//8DAFBLAQItABQA&#10;BgAIAAAAIQC2gziS/gAAAOEBAAATAAAAAAAAAAAAAAAAAAAAAABbQ29udGVudF9UeXBlc10ueG1s&#10;UEsBAi0AFAAGAAgAAAAhADj9If/WAAAAlAEAAAsAAAAAAAAAAAAAAAAALwEAAF9yZWxzLy5yZWxz&#10;UEsBAi0AFAAGAAgAAAAhAPEGR44nAgAATAQAAA4AAAAAAAAAAAAAAAAALgIAAGRycy9lMm9Eb2Mu&#10;eG1sUEsBAi0AFAAGAAgAAAAhAEAGIJ7bAAAABwEAAA8AAAAAAAAAAAAAAAAAgQQAAGRycy9kb3du&#10;cmV2LnhtbFBLBQYAAAAABAAEAPMAAACJBQAAAAA=&#10;" strokecolor="#121212" strokeweight=".5pt"/>
            </w:pict>
          </mc:Fallback>
        </mc:AlternateContent>
      </w:r>
    </w:p>
    <w:p w:rsidR="00CB1F00" w:rsidRDefault="00CB1F00" w:rsidP="00CB1F00">
      <w:pPr>
        <w:spacing w:line="386" w:lineRule="exact"/>
        <w:rPr>
          <w:rFonts w:ascii="Times New Roman" w:eastAsia="Times New Roman" w:hAnsi="Times New Roman"/>
        </w:rPr>
      </w:pPr>
    </w:p>
    <w:p w:rsidR="00CB1F00" w:rsidRDefault="00CB1F00" w:rsidP="00CB1F00">
      <w:pPr>
        <w:spacing w:line="228" w:lineRule="auto"/>
        <w:ind w:left="100"/>
        <w:jc w:val="both"/>
        <w:rPr>
          <w:rFonts w:ascii="Arial" w:eastAsia="Arial" w:hAnsi="Arial"/>
          <w:color w:val="121212"/>
          <w:sz w:val="24"/>
        </w:rPr>
      </w:pPr>
      <w:proofErr w:type="gramStart"/>
      <w:r>
        <w:rPr>
          <w:rFonts w:ascii="Arial" w:eastAsia="Arial" w:hAnsi="Arial"/>
          <w:color w:val="121212"/>
          <w:sz w:val="24"/>
        </w:rPr>
        <w:t>consecuencia</w:t>
      </w:r>
      <w:proofErr w:type="gramEnd"/>
      <w:r>
        <w:rPr>
          <w:rFonts w:ascii="Arial" w:eastAsia="Arial" w:hAnsi="Arial"/>
          <w:color w:val="121212"/>
          <w:sz w:val="24"/>
        </w:rPr>
        <w:t xml:space="preserve"> negativa en términos económicos o penales. Ahora bien, si declara, ello no le eximirá de otro tipo de consecuencias derivadas de la ruptura del deber de confidencialidad por quien resulte perjudicado. Lo que hace aquí el Código es simplemente permitir el testimonio, si se produce, y no emplear la coerción pública para que se haga, si la persona decide no hacerlo amparándose en aquel otro deber. Pero lo que no hace el Código es blindar la declaración de otro tipo de efectos, para lo cual la persona deberá tener todo ello en consideración si decide declarar.</w:t>
      </w:r>
    </w:p>
    <w:p w:rsidR="00CB1F00" w:rsidRDefault="00CB1F00" w:rsidP="00CB1F00">
      <w:pPr>
        <w:spacing w:line="242" w:lineRule="exact"/>
        <w:rPr>
          <w:rFonts w:ascii="Times New Roman" w:eastAsia="Times New Roman" w:hAnsi="Times New Roman"/>
        </w:rPr>
      </w:pPr>
    </w:p>
    <w:p w:rsidR="00CB1F00" w:rsidRDefault="00CB1F00" w:rsidP="00CB1F00">
      <w:pPr>
        <w:spacing w:line="230" w:lineRule="auto"/>
        <w:ind w:left="100"/>
        <w:jc w:val="both"/>
        <w:rPr>
          <w:rFonts w:ascii="Arial" w:eastAsia="Arial" w:hAnsi="Arial"/>
          <w:color w:val="121212"/>
          <w:sz w:val="24"/>
        </w:rPr>
      </w:pPr>
      <w:r>
        <w:rPr>
          <w:rFonts w:ascii="Arial" w:eastAsia="Arial" w:hAnsi="Arial"/>
          <w:color w:val="121212"/>
          <w:sz w:val="24"/>
        </w:rPr>
        <w:t>Frente a esa regla general, el Código introduce sin embargo diversas excepciones, en ámbitos donde la ponderación de bienes en juego se decanta a favor de la necesidad de contar con esa declaración. Cuando se apliquen las excepciones, ya no existe dispensa y la persona debe necesariamente declarar, o someterse a las sanciones previstas por no hacerlo:</w:t>
      </w:r>
    </w:p>
    <w:p w:rsidR="00CB1F00" w:rsidRDefault="00CB1F00" w:rsidP="00CB1F00">
      <w:pPr>
        <w:spacing w:line="237" w:lineRule="exact"/>
        <w:rPr>
          <w:rFonts w:ascii="Times New Roman" w:eastAsia="Times New Roman" w:hAnsi="Times New Roman"/>
        </w:rPr>
      </w:pPr>
    </w:p>
    <w:p w:rsidR="00CB1F00" w:rsidRDefault="00CB1F00" w:rsidP="00CB1F00">
      <w:pPr>
        <w:spacing w:line="0" w:lineRule="atLeast"/>
        <w:ind w:left="100"/>
        <w:rPr>
          <w:rFonts w:ascii="Arial" w:eastAsia="Arial" w:hAnsi="Arial"/>
          <w:b/>
          <w:color w:val="121212"/>
          <w:sz w:val="24"/>
        </w:rPr>
      </w:pPr>
      <w:r>
        <w:rPr>
          <w:rFonts w:ascii="Arial" w:eastAsia="Arial" w:hAnsi="Arial"/>
          <w:b/>
          <w:color w:val="121212"/>
          <w:sz w:val="24"/>
        </w:rPr>
        <w:t>2.1.- Regla general</w:t>
      </w:r>
    </w:p>
    <w:p w:rsidR="00CB1F00" w:rsidRDefault="00CB1F00" w:rsidP="00CB1F00">
      <w:pPr>
        <w:spacing w:line="245" w:lineRule="exact"/>
        <w:rPr>
          <w:rFonts w:ascii="Times New Roman" w:eastAsia="Times New Roman" w:hAnsi="Times New Roman"/>
        </w:rPr>
      </w:pPr>
    </w:p>
    <w:p w:rsidR="00CB1F00" w:rsidRDefault="00CB1F00" w:rsidP="00CB1F00">
      <w:pPr>
        <w:spacing w:line="229" w:lineRule="auto"/>
        <w:ind w:left="100"/>
        <w:jc w:val="both"/>
        <w:rPr>
          <w:rFonts w:ascii="Arial" w:eastAsia="Arial" w:hAnsi="Arial"/>
          <w:color w:val="121212"/>
          <w:sz w:val="24"/>
        </w:rPr>
      </w:pPr>
      <w:r>
        <w:rPr>
          <w:rFonts w:ascii="Arial" w:eastAsia="Arial" w:hAnsi="Arial"/>
          <w:color w:val="121212"/>
          <w:sz w:val="24"/>
        </w:rPr>
        <w:t xml:space="preserve">La dispensa del deber de declarar actúa siempre aquí en ambas direcciones, esto es, no solamente incumbe al profesional que por razón de su cargo u oficio ha tenido conocimiento de los hechos, sino que alcanza al cliente o paciente que ha contratado sus servicios (o los ha recibido del Estado: seguridad social, entre otros.) Y que, en el </w:t>
      </w:r>
      <w:proofErr w:type="spellStart"/>
      <w:r>
        <w:rPr>
          <w:rFonts w:ascii="Arial" w:eastAsia="Arial" w:hAnsi="Arial"/>
          <w:color w:val="121212"/>
          <w:sz w:val="24"/>
        </w:rPr>
        <w:t>iter</w:t>
      </w:r>
      <w:proofErr w:type="spellEnd"/>
      <w:r>
        <w:rPr>
          <w:rFonts w:ascii="Arial" w:eastAsia="Arial" w:hAnsi="Arial"/>
          <w:color w:val="121212"/>
          <w:sz w:val="24"/>
        </w:rPr>
        <w:t xml:space="preserve"> de esa relación personal, haya podido gracias a ello obtener información sobre aquél.</w:t>
      </w:r>
    </w:p>
    <w:p w:rsidR="00CB1F00" w:rsidRDefault="00CB1F00" w:rsidP="00CB1F00">
      <w:pPr>
        <w:spacing w:line="240" w:lineRule="exact"/>
        <w:rPr>
          <w:rFonts w:ascii="Times New Roman" w:eastAsia="Times New Roman" w:hAnsi="Times New Roman"/>
        </w:rPr>
      </w:pPr>
    </w:p>
    <w:p w:rsidR="00CB1F00" w:rsidRDefault="00CB1F00" w:rsidP="00CB1F00">
      <w:pPr>
        <w:spacing w:line="236" w:lineRule="auto"/>
        <w:ind w:left="100"/>
        <w:jc w:val="both"/>
        <w:rPr>
          <w:rFonts w:ascii="Arial" w:eastAsia="Arial" w:hAnsi="Arial"/>
          <w:color w:val="121212"/>
          <w:sz w:val="24"/>
        </w:rPr>
      </w:pPr>
      <w:r>
        <w:rPr>
          <w:rFonts w:ascii="Arial" w:eastAsia="Arial" w:hAnsi="Arial"/>
          <w:color w:val="121212"/>
          <w:sz w:val="24"/>
        </w:rPr>
        <w:t>En esa perspectiva, el Código se refiere a las relaciones profesionales e ideológicas siguientes:</w:t>
      </w:r>
    </w:p>
    <w:p w:rsidR="00CB1F00" w:rsidRDefault="00CB1F00" w:rsidP="00CB1F00">
      <w:pPr>
        <w:spacing w:line="237" w:lineRule="exact"/>
        <w:rPr>
          <w:rFonts w:ascii="Times New Roman" w:eastAsia="Times New Roman" w:hAnsi="Times New Roman"/>
        </w:rPr>
      </w:pPr>
    </w:p>
    <w:p w:rsidR="00CB1F00" w:rsidRDefault="00CB1F00" w:rsidP="00CB1F00">
      <w:pPr>
        <w:numPr>
          <w:ilvl w:val="0"/>
          <w:numId w:val="1"/>
        </w:numPr>
        <w:tabs>
          <w:tab w:val="left" w:pos="660"/>
        </w:tabs>
        <w:spacing w:line="0" w:lineRule="atLeast"/>
        <w:ind w:left="660" w:hanging="566"/>
        <w:rPr>
          <w:rFonts w:ascii="Arial" w:eastAsia="Arial" w:hAnsi="Arial"/>
          <w:b/>
          <w:color w:val="121212"/>
          <w:sz w:val="24"/>
        </w:rPr>
      </w:pPr>
      <w:r>
        <w:rPr>
          <w:rFonts w:ascii="Arial" w:eastAsia="Arial" w:hAnsi="Arial"/>
          <w:color w:val="121212"/>
          <w:sz w:val="24"/>
        </w:rPr>
        <w:t>La de las partes con su abogado o abogados (art. 370).</w:t>
      </w:r>
    </w:p>
    <w:p w:rsidR="00CB1F00" w:rsidRDefault="00CB1F00" w:rsidP="00CB1F00">
      <w:pPr>
        <w:spacing w:line="244" w:lineRule="exact"/>
        <w:rPr>
          <w:rFonts w:ascii="Arial" w:eastAsia="Arial" w:hAnsi="Arial"/>
          <w:b/>
          <w:color w:val="121212"/>
          <w:sz w:val="24"/>
        </w:rPr>
      </w:pPr>
    </w:p>
    <w:p w:rsidR="00CB1F00" w:rsidRDefault="00CB1F00" w:rsidP="00CB1F00">
      <w:pPr>
        <w:numPr>
          <w:ilvl w:val="0"/>
          <w:numId w:val="1"/>
        </w:numPr>
        <w:tabs>
          <w:tab w:val="left" w:pos="660"/>
        </w:tabs>
        <w:spacing w:line="231" w:lineRule="auto"/>
        <w:ind w:left="660" w:hanging="566"/>
        <w:jc w:val="both"/>
        <w:rPr>
          <w:rFonts w:ascii="Arial" w:eastAsia="Arial" w:hAnsi="Arial"/>
          <w:b/>
          <w:color w:val="121212"/>
          <w:sz w:val="24"/>
        </w:rPr>
      </w:pPr>
      <w:r>
        <w:rPr>
          <w:rFonts w:ascii="Arial" w:eastAsia="Arial" w:hAnsi="Arial"/>
          <w:color w:val="121212"/>
          <w:sz w:val="24"/>
        </w:rPr>
        <w:t>La del profesional de la medicina con su paciente (art. 371), de la que se desprende además el derecho de pedir la exclusión –que no dispensa- de la declaración de cualquier tercero que conociere una comunicación confidencial entre ambos (personal de enfermería, analistas, entre otros).</w:t>
      </w:r>
    </w:p>
    <w:p w:rsidR="00CB1F00" w:rsidRDefault="00CB1F00" w:rsidP="00CB1F00">
      <w:pPr>
        <w:spacing w:line="237" w:lineRule="exact"/>
        <w:rPr>
          <w:rFonts w:ascii="Arial" w:eastAsia="Arial" w:hAnsi="Arial"/>
          <w:b/>
          <w:color w:val="121212"/>
          <w:sz w:val="24"/>
        </w:rPr>
      </w:pPr>
    </w:p>
    <w:p w:rsidR="00CB1F00" w:rsidRDefault="00CB1F00" w:rsidP="00CB1F00">
      <w:pPr>
        <w:numPr>
          <w:ilvl w:val="0"/>
          <w:numId w:val="1"/>
        </w:numPr>
        <w:tabs>
          <w:tab w:val="left" w:pos="660"/>
        </w:tabs>
        <w:spacing w:line="256" w:lineRule="auto"/>
        <w:ind w:left="660" w:hanging="566"/>
        <w:jc w:val="both"/>
        <w:rPr>
          <w:rFonts w:ascii="Arial" w:eastAsia="Arial" w:hAnsi="Arial"/>
          <w:b/>
          <w:color w:val="121212"/>
          <w:sz w:val="22"/>
        </w:rPr>
      </w:pPr>
      <w:r>
        <w:rPr>
          <w:rFonts w:ascii="Arial" w:eastAsia="Arial" w:hAnsi="Arial"/>
          <w:color w:val="121212"/>
          <w:sz w:val="22"/>
        </w:rPr>
        <w:t>La del sacerdote o ministro de culto, autorizados por la legislación salvadoreña y por la autoridad competente, para impartir su actividad espiritual en el territorio nacional, respecto de los hechos conocidos bajo confesión o conocidos en todo caso gracias a su dedicación (art. 372 párrafo primero).</w:t>
      </w:r>
    </w:p>
    <w:p w:rsidR="00CB1F00" w:rsidRDefault="00CB1F00" w:rsidP="00CB1F00">
      <w:pPr>
        <w:spacing w:line="220" w:lineRule="exact"/>
        <w:rPr>
          <w:rFonts w:ascii="Arial" w:eastAsia="Arial" w:hAnsi="Arial"/>
          <w:b/>
          <w:color w:val="121212"/>
          <w:sz w:val="22"/>
        </w:rPr>
      </w:pPr>
    </w:p>
    <w:p w:rsidR="00CB1F00" w:rsidRDefault="00CB1F00" w:rsidP="00CB1F00">
      <w:pPr>
        <w:numPr>
          <w:ilvl w:val="0"/>
          <w:numId w:val="1"/>
        </w:numPr>
        <w:tabs>
          <w:tab w:val="left" w:pos="660"/>
        </w:tabs>
        <w:spacing w:line="242" w:lineRule="auto"/>
        <w:ind w:left="660" w:hanging="566"/>
        <w:jc w:val="both"/>
        <w:rPr>
          <w:rFonts w:ascii="Arial" w:eastAsia="Arial" w:hAnsi="Arial"/>
          <w:b/>
          <w:color w:val="121212"/>
          <w:sz w:val="23"/>
        </w:rPr>
      </w:pPr>
      <w:r>
        <w:rPr>
          <w:rFonts w:ascii="Arial" w:eastAsia="Arial" w:hAnsi="Arial"/>
          <w:color w:val="121212"/>
          <w:sz w:val="23"/>
        </w:rPr>
        <w:t>El propietario de un secreto comercial o de negocio</w:t>
      </w:r>
      <w:r>
        <w:rPr>
          <w:rFonts w:ascii="Arial" w:eastAsia="Arial" w:hAnsi="Arial"/>
          <w:color w:val="121212"/>
          <w:sz w:val="13"/>
        </w:rPr>
        <w:t>281</w:t>
      </w:r>
      <w:r>
        <w:rPr>
          <w:rFonts w:ascii="Arial" w:eastAsia="Arial" w:hAnsi="Arial"/>
          <w:color w:val="121212"/>
          <w:sz w:val="23"/>
        </w:rPr>
        <w:t xml:space="preserve"> y el propietario de una patente o su licenciatario, para revelar alguno de ellos (art. 372 párrafo tercero). Adquiere esta persona también el derecho a pedir la exclusión de la declaración de un empleado que tuviere conocimiento de ello, a quien</w:t>
      </w:r>
    </w:p>
    <w:p w:rsidR="00CB1F00" w:rsidRDefault="00CB1F00" w:rsidP="00CB1F00">
      <w:pPr>
        <w:spacing w:line="20" w:lineRule="exact"/>
        <w:rPr>
          <w:rFonts w:ascii="Times New Roman" w:eastAsia="Times New Roman" w:hAnsi="Times New Roman"/>
        </w:rPr>
      </w:pPr>
      <w:r>
        <w:rPr>
          <w:rFonts w:ascii="Arial" w:eastAsia="Arial" w:hAnsi="Arial"/>
          <w:b/>
          <w:noProof/>
          <w:color w:val="121212"/>
          <w:sz w:val="23"/>
        </w:rPr>
        <mc:AlternateContent>
          <mc:Choice Requires="wps">
            <w:drawing>
              <wp:anchor distT="0" distB="0" distL="114300" distR="114300" simplePos="0" relativeHeight="251669504" behindDoc="1" locked="0" layoutInCell="1" allowOverlap="1">
                <wp:simplePos x="0" y="0"/>
                <wp:positionH relativeFrom="column">
                  <wp:posOffset>59055</wp:posOffset>
                </wp:positionH>
                <wp:positionV relativeFrom="paragraph">
                  <wp:posOffset>321945</wp:posOffset>
                </wp:positionV>
                <wp:extent cx="1080135" cy="0"/>
                <wp:effectExtent l="5080" t="13335" r="10160" b="5715"/>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29D9E" id="Conector recto 3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5.35pt" to="89.7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8YJQIAAE0EAAAOAAAAZHJzL2Uyb0RvYy54bWysVMGO2yAQvVfqPyDuWduJk2atOKvKTnrZ&#10;tpF2+wEEcIyKAQGJE1X99w44jrLtpaoqSzAww+PNzMOrp3Mn0YlbJ7QqcfaQYsQV1UyoQ4m/vW4n&#10;S4ycJ4oRqRUv8YU7/LR+/27Vm4JPdasl4xYBiHJFb0rcem+KJHG05R1xD9pwBc5G2454WNpDwizp&#10;Ab2TyTRNF0mvLTNWU+4c7NaDE68jftNw6r82jeMeyRIDNx9HG8d9GJP1ihQHS0wr6JUG+QcWHREK&#10;Lr1B1cQTdLTiD6hOUKudbvwD1V2im0ZQHnOAbLL0t2xeWmJ4zAWK48ytTO7/wdIvp51FgpV4NsdI&#10;kQ56VEGnqNcW2TAhcECVeuMKCK7UzoY86Vm9mGdNvzukdNUSdeCR7evFAEIWTiRvjoSFM3DXvv+s&#10;GcSQo9exZOfGdgESioHOsTOXW2f42SMKm1m6TLPAkI6+hBTjQWOd/8R1h4JRYilUKBopyOnZ+UCE&#10;FGNI2FZ6K6SMjZcK9SVezOZpPOC0FCw4Q5izh30lLToRkE42DV/MCjz3YQG5Jq4d4qJrEJXVR8Xi&#10;LS0nbHO1PRFysIGVVOEiyBF4Xq1BND8e08fNcrPMJ/l0sZnkaV1PPm6rfLLYZh/m9ayuqjr7GThn&#10;edEKxrgKtEcBZ/nfCeT6lAbp3SR8q0/yFj0WEsiOcyQdmxz6Oihkr9llZ8fmg2Zj8PV9hUdxvwb7&#10;/i+w/gUAAP//AwBQSwMEFAAGAAgAAAAhAEzSIyzaAAAABwEAAA8AAABkcnMvZG93bnJldi54bWxM&#10;jk1OwzAQhfdI3MEaJHbULhTahjgVQqpYRg09wDSeJoZ4nMZuGzg9rljA8v3ovS9fja4TJxqC9axh&#10;OlEgiGtvLDcatu/ruwWIEJENdp5JwxcFWBXXVzlmxp95Q6cqNiKNcMhQQxtjn0kZ6pYchonviVO2&#10;94PDmOTQSDPgOY27Tt4r9SQdWk4PLfb02lL9WR2dBrco19+z0qqxKj/ephUears5aH17M748g4g0&#10;xr8yXPATOhSJaeePbILoNCwfUlHDo5qDuMTz5QzE7teQRS7/8xc/AAAA//8DAFBLAQItABQABgAI&#10;AAAAIQC2gziS/gAAAOEBAAATAAAAAAAAAAAAAAAAAAAAAABbQ29udGVudF9UeXBlc10ueG1sUEsB&#10;Ai0AFAAGAAgAAAAhADj9If/WAAAAlAEAAAsAAAAAAAAAAAAAAAAALwEAAF9yZWxzLy5yZWxzUEsB&#10;Ai0AFAAGAAgAAAAhAMTnvxglAgAATQQAAA4AAAAAAAAAAAAAAAAALgIAAGRycy9lMm9Eb2MueG1s&#10;UEsBAi0AFAAGAAgAAAAhAEzSIyzaAAAABwEAAA8AAAAAAAAAAAAAAAAAfwQAAGRycy9kb3ducmV2&#10;LnhtbFBLBQYAAAAABAAEAPMAAACGBQAAAAA=&#10;" strokecolor="#121212" strokeweight=".5pt"/>
            </w:pict>
          </mc:Fallback>
        </mc:AlternateContent>
      </w:r>
    </w:p>
    <w:p w:rsidR="00CB1F00" w:rsidRDefault="00CB1F00" w:rsidP="00CB1F00">
      <w:pPr>
        <w:spacing w:line="20" w:lineRule="exact"/>
        <w:rPr>
          <w:rFonts w:ascii="Times New Roman" w:eastAsia="Times New Roman" w:hAnsi="Times New Roman"/>
        </w:rPr>
        <w:sectPr w:rsidR="00CB1F00">
          <w:pgSz w:w="10780" w:h="14173"/>
          <w:pgMar w:top="406" w:right="1132" w:bottom="546" w:left="433" w:header="0" w:footer="0" w:gutter="0"/>
          <w:cols w:num="2" w:space="0" w:equalWidth="0">
            <w:col w:w="195" w:space="412"/>
            <w:col w:w="8600"/>
          </w:cols>
          <w:docGrid w:linePitch="360"/>
        </w:sectPr>
      </w:pPr>
    </w:p>
    <w:p w:rsidR="00CB1F00" w:rsidRDefault="00CB1F00" w:rsidP="00CB1F00">
      <w:pPr>
        <w:spacing w:line="200" w:lineRule="exact"/>
        <w:rPr>
          <w:rFonts w:ascii="Times New Roman" w:eastAsia="Times New Roman" w:hAnsi="Times New Roman"/>
        </w:rPr>
      </w:pPr>
    </w:p>
    <w:p w:rsidR="00CB1F00" w:rsidRDefault="00CB1F00" w:rsidP="00CB1F00">
      <w:pPr>
        <w:spacing w:line="339" w:lineRule="exact"/>
        <w:rPr>
          <w:rFonts w:ascii="Times New Roman" w:eastAsia="Times New Roman" w:hAnsi="Times New Roman"/>
        </w:rPr>
      </w:pPr>
    </w:p>
    <w:p w:rsidR="00CB1F00" w:rsidRDefault="00CB1F00" w:rsidP="00CB1F00">
      <w:pPr>
        <w:spacing w:line="0" w:lineRule="atLeast"/>
        <w:ind w:left="707"/>
        <w:rPr>
          <w:rFonts w:ascii="Arial" w:eastAsia="Arial" w:hAnsi="Arial"/>
          <w:color w:val="121212"/>
          <w:sz w:val="16"/>
        </w:rPr>
      </w:pPr>
      <w:r>
        <w:rPr>
          <w:rFonts w:ascii="Arial" w:eastAsia="Arial" w:hAnsi="Arial"/>
          <w:color w:val="121212"/>
          <w:sz w:val="16"/>
        </w:rPr>
        <w:t>281  Qué se entiende, y qué no, por secreto industrial o comercial, se determina en el art. 177 LPI.</w:t>
      </w:r>
    </w:p>
    <w:p w:rsidR="00CB1F00" w:rsidRDefault="00CB1F00" w:rsidP="00CB1F00">
      <w:pPr>
        <w:spacing w:line="0" w:lineRule="atLeast"/>
        <w:ind w:left="707"/>
        <w:rPr>
          <w:rFonts w:ascii="Arial" w:eastAsia="Arial" w:hAnsi="Arial"/>
          <w:color w:val="121212"/>
          <w:sz w:val="16"/>
        </w:rPr>
        <w:sectPr w:rsidR="00CB1F00">
          <w:type w:val="continuous"/>
          <w:pgSz w:w="10780" w:h="14173"/>
          <w:pgMar w:top="406" w:right="1132" w:bottom="546" w:left="433" w:header="0" w:footer="0" w:gutter="0"/>
          <w:cols w:space="0" w:equalWidth="0">
            <w:col w:w="9207"/>
          </w:cols>
          <w:docGrid w:linePitch="360"/>
        </w:sectPr>
      </w:pPr>
    </w:p>
    <w:tbl>
      <w:tblPr>
        <w:tblW w:w="0" w:type="auto"/>
        <w:tblInd w:w="4826" w:type="dxa"/>
        <w:tblLayout w:type="fixed"/>
        <w:tblCellMar>
          <w:left w:w="0" w:type="dxa"/>
          <w:right w:w="0" w:type="dxa"/>
        </w:tblCellMar>
        <w:tblLook w:val="0000" w:firstRow="0" w:lastRow="0" w:firstColumn="0" w:lastColumn="0" w:noHBand="0" w:noVBand="0"/>
      </w:tblPr>
      <w:tblGrid>
        <w:gridCol w:w="3200"/>
        <w:gridCol w:w="600"/>
      </w:tblGrid>
      <w:tr w:rsidR="00CB1F00" w:rsidTr="000F66D3">
        <w:trPr>
          <w:trHeight w:val="736"/>
        </w:trPr>
        <w:tc>
          <w:tcPr>
            <w:tcW w:w="3200" w:type="dxa"/>
            <w:tcBorders>
              <w:right w:val="single" w:sz="8" w:space="0" w:color="121212"/>
            </w:tcBorders>
            <w:shd w:val="clear" w:color="auto" w:fill="auto"/>
            <w:vAlign w:val="bottom"/>
          </w:tcPr>
          <w:p w:rsidR="00CB1F00" w:rsidRDefault="00CB1F00" w:rsidP="000F66D3">
            <w:pPr>
              <w:spacing w:line="0" w:lineRule="atLeast"/>
              <w:rPr>
                <w:rFonts w:ascii="Arial" w:eastAsia="Arial" w:hAnsi="Arial"/>
                <w:color w:val="888A8A"/>
              </w:rPr>
            </w:pPr>
            <w:bookmarkStart w:id="4" w:name="page438"/>
            <w:bookmarkEnd w:id="4"/>
            <w:r>
              <w:rPr>
                <w:rFonts w:ascii="Arial" w:eastAsia="Arial" w:hAnsi="Arial"/>
                <w:color w:val="888A8A"/>
              </w:rPr>
              <w:lastRenderedPageBreak/>
              <w:t>Consejo Nacional de la Judicatura</w:t>
            </w:r>
          </w:p>
        </w:tc>
        <w:tc>
          <w:tcPr>
            <w:tcW w:w="600" w:type="dxa"/>
            <w:shd w:val="clear" w:color="auto" w:fill="auto"/>
            <w:vAlign w:val="bottom"/>
          </w:tcPr>
          <w:p w:rsidR="00CB1F00" w:rsidRDefault="00CB1F00" w:rsidP="000F66D3">
            <w:pPr>
              <w:spacing w:line="0" w:lineRule="atLeast"/>
              <w:jc w:val="right"/>
              <w:rPr>
                <w:rFonts w:ascii="Arial" w:eastAsia="Arial" w:hAnsi="Arial"/>
                <w:color w:val="121212"/>
                <w:sz w:val="28"/>
              </w:rPr>
            </w:pPr>
            <w:r>
              <w:rPr>
                <w:rFonts w:ascii="Arial" w:eastAsia="Arial" w:hAnsi="Arial"/>
                <w:color w:val="121212"/>
                <w:sz w:val="28"/>
              </w:rPr>
              <w:t>403</w:t>
            </w:r>
          </w:p>
        </w:tc>
      </w:tr>
    </w:tbl>
    <w:p w:rsidR="00CB1F00" w:rsidRDefault="00CB1F00" w:rsidP="00CB1F00">
      <w:pPr>
        <w:spacing w:line="378" w:lineRule="exact"/>
        <w:rPr>
          <w:rFonts w:ascii="Times New Roman" w:eastAsia="Times New Roman" w:hAnsi="Times New Roman"/>
        </w:rPr>
      </w:pPr>
    </w:p>
    <w:p w:rsidR="00CB1F00" w:rsidRDefault="00CB1F00" w:rsidP="00CB1F00">
      <w:pPr>
        <w:spacing w:line="230" w:lineRule="auto"/>
        <w:ind w:left="566" w:right="120"/>
        <w:jc w:val="both"/>
        <w:rPr>
          <w:rFonts w:ascii="Arial" w:eastAsia="Arial" w:hAnsi="Arial"/>
          <w:color w:val="121212"/>
          <w:sz w:val="24"/>
        </w:rPr>
      </w:pPr>
      <w:proofErr w:type="gramStart"/>
      <w:r>
        <w:rPr>
          <w:rFonts w:ascii="Arial" w:eastAsia="Arial" w:hAnsi="Arial"/>
          <w:color w:val="121212"/>
          <w:sz w:val="24"/>
        </w:rPr>
        <w:t>según</w:t>
      </w:r>
      <w:proofErr w:type="gramEnd"/>
      <w:r>
        <w:rPr>
          <w:rFonts w:ascii="Arial" w:eastAsia="Arial" w:hAnsi="Arial"/>
          <w:color w:val="121212"/>
          <w:sz w:val="24"/>
        </w:rPr>
        <w:t xml:space="preserve"> la ley sustantiva le está prohibida también su revelación salvo “causa justificada”</w:t>
      </w:r>
      <w:r>
        <w:rPr>
          <w:rFonts w:ascii="Arial" w:eastAsia="Arial" w:hAnsi="Arial"/>
          <w:color w:val="121212"/>
          <w:sz w:val="13"/>
        </w:rPr>
        <w:t>282</w:t>
      </w:r>
      <w:r>
        <w:rPr>
          <w:rFonts w:ascii="Arial" w:eastAsia="Arial" w:hAnsi="Arial"/>
          <w:color w:val="121212"/>
          <w:sz w:val="24"/>
        </w:rPr>
        <w:t>. Esta última también determina la prohibición de revelar ese secreto a todo aquel tercero que haya entrado en contacto con dicha tecnología, incluso por haber contratado a algún empleado de la compañía propietaria de los derechos</w:t>
      </w:r>
      <w:r>
        <w:rPr>
          <w:rFonts w:ascii="Arial" w:eastAsia="Arial" w:hAnsi="Arial"/>
          <w:color w:val="121212"/>
          <w:sz w:val="13"/>
        </w:rPr>
        <w:t>283</w:t>
      </w:r>
      <w:r>
        <w:rPr>
          <w:rFonts w:ascii="Arial" w:eastAsia="Arial" w:hAnsi="Arial"/>
          <w:color w:val="121212"/>
          <w:sz w:val="24"/>
        </w:rPr>
        <w:t>.</w:t>
      </w:r>
    </w:p>
    <w:p w:rsidR="00CB1F00" w:rsidRDefault="00CB1F00" w:rsidP="00CB1F00">
      <w:pPr>
        <w:spacing w:line="237" w:lineRule="exact"/>
        <w:rPr>
          <w:rFonts w:ascii="Times New Roman" w:eastAsia="Times New Roman" w:hAnsi="Times New Roman"/>
        </w:rPr>
      </w:pPr>
    </w:p>
    <w:p w:rsidR="00CB1F00" w:rsidRDefault="00CB1F00" w:rsidP="00CB1F00">
      <w:pPr>
        <w:numPr>
          <w:ilvl w:val="0"/>
          <w:numId w:val="1"/>
        </w:numPr>
        <w:tabs>
          <w:tab w:val="left" w:pos="566"/>
        </w:tabs>
        <w:spacing w:line="231" w:lineRule="auto"/>
        <w:ind w:left="566" w:right="120" w:hanging="566"/>
        <w:jc w:val="both"/>
        <w:rPr>
          <w:rFonts w:ascii="Arial" w:eastAsia="Arial" w:hAnsi="Arial"/>
          <w:b/>
          <w:color w:val="121212"/>
          <w:sz w:val="24"/>
        </w:rPr>
      </w:pPr>
      <w:r>
        <w:rPr>
          <w:rFonts w:ascii="Arial" w:eastAsia="Arial" w:hAnsi="Arial"/>
          <w:color w:val="121212"/>
          <w:sz w:val="24"/>
        </w:rPr>
        <w:t xml:space="preserve">Cualquier otra persona que </w:t>
      </w:r>
      <w:r>
        <w:rPr>
          <w:rFonts w:ascii="Arial" w:eastAsia="Arial" w:hAnsi="Arial"/>
          <w:i/>
          <w:color w:val="121212"/>
          <w:sz w:val="24"/>
        </w:rPr>
        <w:t>“en razón de su profesión u oficio tengan obligación</w:t>
      </w:r>
      <w:r>
        <w:rPr>
          <w:rFonts w:ascii="Arial" w:eastAsia="Arial" w:hAnsi="Arial"/>
          <w:color w:val="121212"/>
          <w:sz w:val="24"/>
        </w:rPr>
        <w:t xml:space="preserve"> </w:t>
      </w:r>
      <w:r>
        <w:rPr>
          <w:rFonts w:ascii="Arial" w:eastAsia="Arial" w:hAnsi="Arial"/>
          <w:i/>
          <w:color w:val="121212"/>
          <w:sz w:val="24"/>
        </w:rPr>
        <w:t xml:space="preserve">de guardar secreto” </w:t>
      </w:r>
      <w:r>
        <w:rPr>
          <w:rFonts w:ascii="Arial" w:eastAsia="Arial" w:hAnsi="Arial"/>
          <w:color w:val="121212"/>
          <w:sz w:val="24"/>
        </w:rPr>
        <w:t>(art. 372 párrafo cuarto). Para que opere la exención se</w:t>
      </w:r>
      <w:r>
        <w:rPr>
          <w:rFonts w:ascii="Arial" w:eastAsia="Arial" w:hAnsi="Arial"/>
          <w:i/>
          <w:color w:val="121212"/>
          <w:sz w:val="24"/>
        </w:rPr>
        <w:t xml:space="preserve"> </w:t>
      </w:r>
      <w:r>
        <w:rPr>
          <w:rFonts w:ascii="Arial" w:eastAsia="Arial" w:hAnsi="Arial"/>
          <w:color w:val="121212"/>
          <w:sz w:val="24"/>
        </w:rPr>
        <w:t>precisará de una normativa (legal o reglamentaria) que establezca el carácter reservado o secreto de la información en cuestión.</w:t>
      </w:r>
    </w:p>
    <w:p w:rsidR="00CB1F00" w:rsidRDefault="00CB1F00" w:rsidP="00CB1F00">
      <w:pPr>
        <w:spacing w:line="238" w:lineRule="exact"/>
        <w:rPr>
          <w:rFonts w:ascii="Times New Roman" w:eastAsia="Times New Roman" w:hAnsi="Times New Roman"/>
        </w:rPr>
      </w:pPr>
    </w:p>
    <w:p w:rsidR="00CB1F00" w:rsidRDefault="00CB1F00" w:rsidP="00CB1F00">
      <w:pPr>
        <w:spacing w:line="0" w:lineRule="atLeast"/>
        <w:ind w:left="6"/>
        <w:rPr>
          <w:rFonts w:ascii="Arial" w:eastAsia="Arial" w:hAnsi="Arial"/>
          <w:b/>
          <w:color w:val="121212"/>
          <w:sz w:val="24"/>
        </w:rPr>
      </w:pPr>
      <w:r>
        <w:rPr>
          <w:rFonts w:ascii="Arial" w:eastAsia="Arial" w:hAnsi="Arial"/>
          <w:b/>
          <w:color w:val="121212"/>
          <w:sz w:val="24"/>
        </w:rPr>
        <w:t>2.2.- Excepción impropia</w:t>
      </w:r>
    </w:p>
    <w:p w:rsidR="00CB1F00" w:rsidRDefault="00CB1F00" w:rsidP="00CB1F00">
      <w:pPr>
        <w:spacing w:line="245" w:lineRule="exact"/>
        <w:rPr>
          <w:rFonts w:ascii="Times New Roman" w:eastAsia="Times New Roman" w:hAnsi="Times New Roman"/>
        </w:rPr>
      </w:pPr>
    </w:p>
    <w:p w:rsidR="00CB1F00" w:rsidRDefault="00CB1F00" w:rsidP="00CB1F00">
      <w:pPr>
        <w:spacing w:line="230" w:lineRule="auto"/>
        <w:ind w:left="6" w:right="120"/>
        <w:jc w:val="both"/>
        <w:rPr>
          <w:rFonts w:ascii="Arial" w:eastAsia="Arial" w:hAnsi="Arial"/>
          <w:color w:val="121212"/>
          <w:sz w:val="24"/>
        </w:rPr>
      </w:pPr>
      <w:r>
        <w:rPr>
          <w:rFonts w:ascii="Arial" w:eastAsia="Arial" w:hAnsi="Arial"/>
          <w:color w:val="121212"/>
          <w:sz w:val="24"/>
        </w:rPr>
        <w:t xml:space="preserve">Pese a su apariencia, no cabe incluir como exención del deber de declarar las relaciones entre auditor o contable y su cliente, pues a tenor de lo dispuesto en el art. 372 párrafo segundo del Código, independientemente de la relación </w:t>
      </w:r>
      <w:proofErr w:type="spellStart"/>
      <w:r>
        <w:rPr>
          <w:rFonts w:ascii="Arial" w:eastAsia="Arial" w:hAnsi="Arial"/>
          <w:color w:val="121212"/>
          <w:sz w:val="24"/>
        </w:rPr>
        <w:t>intuitu</w:t>
      </w:r>
      <w:proofErr w:type="spellEnd"/>
      <w:r>
        <w:rPr>
          <w:rFonts w:ascii="Arial" w:eastAsia="Arial" w:hAnsi="Arial"/>
          <w:color w:val="121212"/>
          <w:sz w:val="24"/>
        </w:rPr>
        <w:t xml:space="preserve"> </w:t>
      </w:r>
      <w:proofErr w:type="spellStart"/>
      <w:r>
        <w:rPr>
          <w:rFonts w:ascii="Arial" w:eastAsia="Arial" w:hAnsi="Arial"/>
          <w:color w:val="121212"/>
          <w:sz w:val="24"/>
        </w:rPr>
        <w:t>personae</w:t>
      </w:r>
      <w:proofErr w:type="spellEnd"/>
      <w:r>
        <w:rPr>
          <w:rFonts w:ascii="Arial" w:eastAsia="Arial" w:hAnsi="Arial"/>
          <w:color w:val="121212"/>
          <w:sz w:val="24"/>
        </w:rPr>
        <w:t xml:space="preserve"> entre ambos, la información que se derive de ello “podrá ser divulgada por mandato de ley o por orden judicial”.</w:t>
      </w:r>
    </w:p>
    <w:p w:rsidR="00CB1F00" w:rsidRDefault="00CB1F00" w:rsidP="00CB1F00">
      <w:pPr>
        <w:spacing w:line="237" w:lineRule="exact"/>
        <w:rPr>
          <w:rFonts w:ascii="Times New Roman" w:eastAsia="Times New Roman" w:hAnsi="Times New Roman"/>
        </w:rPr>
      </w:pPr>
    </w:p>
    <w:p w:rsidR="00CB1F00" w:rsidRDefault="00CB1F00" w:rsidP="00CB1F00">
      <w:pPr>
        <w:spacing w:line="252" w:lineRule="auto"/>
        <w:ind w:left="6" w:right="120"/>
        <w:jc w:val="both"/>
        <w:rPr>
          <w:rFonts w:ascii="Arial" w:eastAsia="Arial" w:hAnsi="Arial"/>
          <w:color w:val="121212"/>
          <w:sz w:val="22"/>
        </w:rPr>
      </w:pPr>
      <w:r>
        <w:rPr>
          <w:rFonts w:ascii="Arial" w:eastAsia="Arial" w:hAnsi="Arial"/>
          <w:color w:val="121212"/>
          <w:sz w:val="22"/>
        </w:rPr>
        <w:t>Por lo tanto, no se trata de que el juez deba calibrar si la importancia del asunto justifica o no tener acceso a esa información contable y a la situación financiera de la empresa, sino que basta que la misma aparezca como pertinente y útil a los efectos de un proceso para que se expida “orden judicial” que llevará a su divulgación. Esto es, tanto la aportación de los libros contables (prueba documental) como, en lo que aquí importa, tomarle interrogatorio al profesional sobre esos hechos.</w:t>
      </w:r>
    </w:p>
    <w:p w:rsidR="00CB1F00" w:rsidRDefault="00CB1F00" w:rsidP="00CB1F00">
      <w:pPr>
        <w:spacing w:line="226" w:lineRule="exact"/>
        <w:rPr>
          <w:rFonts w:ascii="Times New Roman" w:eastAsia="Times New Roman" w:hAnsi="Times New Roman"/>
        </w:rPr>
      </w:pPr>
    </w:p>
    <w:p w:rsidR="00CB1F00" w:rsidRDefault="00CB1F00" w:rsidP="00CB1F00">
      <w:pPr>
        <w:spacing w:line="0" w:lineRule="atLeast"/>
        <w:ind w:left="6"/>
        <w:rPr>
          <w:rFonts w:ascii="Arial" w:eastAsia="Arial" w:hAnsi="Arial"/>
          <w:b/>
          <w:color w:val="121212"/>
          <w:sz w:val="24"/>
        </w:rPr>
      </w:pPr>
      <w:r>
        <w:rPr>
          <w:rFonts w:ascii="Arial" w:eastAsia="Arial" w:hAnsi="Arial"/>
          <w:b/>
          <w:color w:val="121212"/>
          <w:sz w:val="24"/>
        </w:rPr>
        <w:t>2.3.- Excepciones</w:t>
      </w:r>
    </w:p>
    <w:p w:rsidR="00CB1F00" w:rsidRDefault="00CB1F00" w:rsidP="00CB1F00">
      <w:pPr>
        <w:spacing w:line="245" w:lineRule="exact"/>
        <w:rPr>
          <w:rFonts w:ascii="Times New Roman" w:eastAsia="Times New Roman" w:hAnsi="Times New Roman"/>
        </w:rPr>
      </w:pPr>
    </w:p>
    <w:p w:rsidR="00CB1F00" w:rsidRDefault="00CB1F00" w:rsidP="00CB1F00">
      <w:pPr>
        <w:spacing w:line="276" w:lineRule="auto"/>
        <w:ind w:left="6" w:right="120"/>
        <w:jc w:val="both"/>
        <w:rPr>
          <w:rFonts w:ascii="Arial" w:eastAsia="Arial" w:hAnsi="Arial"/>
          <w:color w:val="121212"/>
          <w:sz w:val="22"/>
        </w:rPr>
      </w:pPr>
      <w:r>
        <w:rPr>
          <w:rFonts w:ascii="Arial" w:eastAsia="Arial" w:hAnsi="Arial"/>
          <w:color w:val="121212"/>
          <w:sz w:val="22"/>
        </w:rPr>
        <w:t>Siguiendo el orden de los sujetos eximidos del deber de declarar, el Código suspende dicha exención en los términos siguientes (reproducimos la letra de la ley):</w:t>
      </w:r>
    </w:p>
    <w:p w:rsidR="00CB1F00" w:rsidRDefault="00CB1F00" w:rsidP="00CB1F00">
      <w:pPr>
        <w:spacing w:line="181" w:lineRule="exact"/>
        <w:rPr>
          <w:rFonts w:ascii="Times New Roman" w:eastAsia="Times New Roman" w:hAnsi="Times New Roman"/>
        </w:rPr>
      </w:pPr>
    </w:p>
    <w:p w:rsidR="00CB1F00" w:rsidRDefault="00CB1F00" w:rsidP="00CB1F00">
      <w:pPr>
        <w:numPr>
          <w:ilvl w:val="0"/>
          <w:numId w:val="1"/>
        </w:numPr>
        <w:tabs>
          <w:tab w:val="left" w:pos="566"/>
        </w:tabs>
        <w:spacing w:line="0" w:lineRule="atLeast"/>
        <w:ind w:left="566" w:hanging="566"/>
        <w:rPr>
          <w:rFonts w:ascii="Arial" w:eastAsia="Arial" w:hAnsi="Arial"/>
          <w:b/>
          <w:color w:val="121212"/>
          <w:sz w:val="24"/>
        </w:rPr>
      </w:pPr>
      <w:r>
        <w:rPr>
          <w:rFonts w:ascii="Arial" w:eastAsia="Arial" w:hAnsi="Arial"/>
          <w:color w:val="121212"/>
          <w:sz w:val="24"/>
        </w:rPr>
        <w:t>En los abogados, cuando (art. 370):</w:t>
      </w:r>
    </w:p>
    <w:p w:rsidR="00CB1F00" w:rsidRDefault="00CB1F00" w:rsidP="00CB1F00">
      <w:pPr>
        <w:spacing w:line="226" w:lineRule="auto"/>
        <w:ind w:left="566" w:right="120"/>
        <w:rPr>
          <w:rFonts w:ascii="Arial" w:eastAsia="Arial" w:hAnsi="Arial"/>
          <w:i/>
          <w:color w:val="121212"/>
          <w:sz w:val="24"/>
        </w:rPr>
      </w:pPr>
      <w:r>
        <w:rPr>
          <w:rFonts w:ascii="Arial" w:eastAsia="Arial" w:hAnsi="Arial"/>
          <w:color w:val="121212"/>
          <w:sz w:val="24"/>
        </w:rPr>
        <w:t>“</w:t>
      </w:r>
      <w:r>
        <w:rPr>
          <w:rFonts w:ascii="Arial" w:eastAsia="Arial" w:hAnsi="Arial"/>
          <w:i/>
          <w:color w:val="121212"/>
          <w:sz w:val="24"/>
        </w:rPr>
        <w:t>1° Los servicios (...) hubieran sido solicitados o realizados para planear o</w:t>
      </w:r>
      <w:r>
        <w:rPr>
          <w:rFonts w:ascii="Arial" w:eastAsia="Arial" w:hAnsi="Arial"/>
          <w:color w:val="121212"/>
          <w:sz w:val="24"/>
        </w:rPr>
        <w:t xml:space="preserve"> </w:t>
      </w:r>
      <w:r>
        <w:rPr>
          <w:rFonts w:ascii="Arial" w:eastAsia="Arial" w:hAnsi="Arial"/>
          <w:i/>
          <w:color w:val="121212"/>
          <w:sz w:val="24"/>
        </w:rPr>
        <w:t>cometer un delito o un acto que violente la ley;</w:t>
      </w:r>
    </w:p>
    <w:p w:rsidR="00CB1F00" w:rsidRDefault="00CB1F00" w:rsidP="00CB1F00">
      <w:pPr>
        <w:spacing w:line="226" w:lineRule="auto"/>
        <w:ind w:left="566" w:right="120"/>
        <w:jc w:val="both"/>
        <w:rPr>
          <w:rFonts w:ascii="Arial" w:eastAsia="Arial" w:hAnsi="Arial"/>
          <w:i/>
          <w:color w:val="121212"/>
          <w:sz w:val="24"/>
        </w:rPr>
      </w:pPr>
      <w:r>
        <w:rPr>
          <w:rFonts w:ascii="Arial" w:eastAsia="Arial" w:hAnsi="Arial"/>
          <w:i/>
          <w:color w:val="121212"/>
          <w:sz w:val="24"/>
        </w:rPr>
        <w:t>2° La comunicación resulte pertinente en una controversia en que se pretenda demostrar que el abogado violó su deber de confidencialidad para con su cliente; o</w:t>
      </w:r>
    </w:p>
    <w:p w:rsidR="00CB1F00" w:rsidRDefault="00CB1F00" w:rsidP="00CB1F00">
      <w:pPr>
        <w:spacing w:line="0" w:lineRule="atLeast"/>
        <w:ind w:left="566"/>
        <w:rPr>
          <w:rFonts w:ascii="Arial" w:eastAsia="Arial" w:hAnsi="Arial"/>
          <w:i/>
          <w:color w:val="121212"/>
          <w:sz w:val="24"/>
        </w:rPr>
      </w:pPr>
      <w:r>
        <w:rPr>
          <w:rFonts w:ascii="Arial" w:eastAsia="Arial" w:hAnsi="Arial"/>
          <w:i/>
          <w:color w:val="121212"/>
          <w:sz w:val="24"/>
        </w:rPr>
        <w:t>3° El cliente hubiera relevado a su abogado del deber de confidencialidad”.</w:t>
      </w:r>
    </w:p>
    <w:p w:rsidR="00CB1F00" w:rsidRDefault="00CB1F00" w:rsidP="00CB1F00">
      <w:pPr>
        <w:spacing w:line="228" w:lineRule="exact"/>
        <w:rPr>
          <w:rFonts w:ascii="Arial" w:eastAsia="Arial" w:hAnsi="Arial"/>
          <w:b/>
          <w:color w:val="121212"/>
          <w:sz w:val="24"/>
        </w:rPr>
      </w:pPr>
    </w:p>
    <w:p w:rsidR="00CB1F00" w:rsidRDefault="00CB1F00" w:rsidP="00CB1F00">
      <w:pPr>
        <w:numPr>
          <w:ilvl w:val="0"/>
          <w:numId w:val="1"/>
        </w:numPr>
        <w:tabs>
          <w:tab w:val="left" w:pos="566"/>
        </w:tabs>
        <w:spacing w:line="0" w:lineRule="atLeast"/>
        <w:ind w:left="566" w:hanging="566"/>
        <w:rPr>
          <w:rFonts w:ascii="Arial" w:eastAsia="Arial" w:hAnsi="Arial"/>
          <w:b/>
          <w:color w:val="121212"/>
          <w:sz w:val="24"/>
        </w:rPr>
      </w:pPr>
      <w:r>
        <w:rPr>
          <w:rFonts w:ascii="Arial" w:eastAsia="Arial" w:hAnsi="Arial"/>
          <w:color w:val="121212"/>
          <w:sz w:val="24"/>
        </w:rPr>
        <w:t>En el profesional de la medicina, cuando (art. 371):</w:t>
      </w:r>
    </w:p>
    <w:p w:rsidR="00CB1F00" w:rsidRDefault="00CB1F00" w:rsidP="00CB1F00">
      <w:pPr>
        <w:spacing w:line="236" w:lineRule="auto"/>
        <w:ind w:left="566" w:right="120"/>
        <w:rPr>
          <w:rFonts w:ascii="Arial" w:eastAsia="Arial" w:hAnsi="Arial"/>
          <w:i/>
          <w:color w:val="121212"/>
          <w:sz w:val="24"/>
        </w:rPr>
      </w:pPr>
      <w:r>
        <w:rPr>
          <w:rFonts w:ascii="Arial" w:eastAsia="Arial" w:hAnsi="Arial"/>
          <w:i/>
          <w:color w:val="121212"/>
          <w:sz w:val="24"/>
        </w:rPr>
        <w:t>“1°. Los servicios de un médico fueron solicitados u obtenidos para planear o cometer un delito o un acto que violente la ley;</w:t>
      </w:r>
    </w:p>
    <w:p w:rsidR="00CB1F00" w:rsidRDefault="00CB1F00" w:rsidP="00CB1F00">
      <w:pPr>
        <w:spacing w:line="20" w:lineRule="exact"/>
        <w:rPr>
          <w:rFonts w:ascii="Times New Roman" w:eastAsia="Times New Roman" w:hAnsi="Times New Roman"/>
        </w:rPr>
      </w:pPr>
      <w:r>
        <w:rPr>
          <w:rFonts w:ascii="Arial" w:eastAsia="Arial" w:hAnsi="Arial"/>
          <w:i/>
          <w:noProof/>
          <w:color w:val="121212"/>
          <w:sz w:val="24"/>
        </w:rPr>
        <mc:AlternateContent>
          <mc:Choice Requires="wps">
            <w:drawing>
              <wp:anchor distT="0" distB="0" distL="114300" distR="114300" simplePos="0" relativeHeight="251670528" behindDoc="1" locked="0" layoutInCell="1" allowOverlap="1">
                <wp:simplePos x="0" y="0"/>
                <wp:positionH relativeFrom="column">
                  <wp:posOffset>0</wp:posOffset>
                </wp:positionH>
                <wp:positionV relativeFrom="paragraph">
                  <wp:posOffset>296545</wp:posOffset>
                </wp:positionV>
                <wp:extent cx="1079500" cy="0"/>
                <wp:effectExtent l="5715" t="11430" r="10160" b="762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74D19" id="Conector recto 3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wFJwIAAE0EAAAOAAAAZHJzL2Uyb0RvYy54bWysVMGO2yAQvVfqPyDuWduJk02sOKvKTnrZ&#10;diPt9gMI4BgVAwISJ6r67x1wEmXbS1VVlmBghsebmYeXT6dOoiO3TmhV4uwhxYgrqplQ+xJ/e9uM&#10;5hg5TxQjUite4jN3+Gn18cOyNwUf61ZLxi0CEOWK3pS49d4USeJoyzviHrThCpyNth3xsLT7hFnS&#10;A3onk3GazpJeW2asptw52K0HJ15F/Kbh1L80jeMeyRIDNx9HG8ddGJPVkhR7S0wr6IUG+QcWHREK&#10;Lr1B1cQTdLDiD6hOUKudbvwD1V2im0ZQHnOAbLL0t2xeW2J4zAWK48ytTO7/wdKvx61FgpV4kmOk&#10;SAc9qqBT1GuLbJgQOKBKvXEFBFdqa0Oe9KRezbOm3x1SumqJ2vPI9u1sACELJ5J3R8LCGbhr13/R&#10;DGLIwetYslNjuwAJxUCn2JnzrTP85BGFzSx9XExTaCC9+hJSXA8a6/xnrjsUjBJLoULRSEGOz84H&#10;IqS4hoRtpTdCyth4qVBf4tlkmsYDTkvBgjOEObvfVdKiIwHpZOPwxazAcx8WkGvi2iEuugZRWX1Q&#10;LN7ScsLWF9sTIQcbWEkVLoIcgefFGkTzY5Eu1vP1PB/l49l6lKd1Pfq0qfLRbJM9TutJXVV19jNw&#10;zvKiFYxxFWhfBZzlfyeQy1MapHeT8K0+yXv0WEgge50j6djk0NdBITvNzlt7bT5oNgZf3ld4FPdr&#10;sO//AqtfAAAA//8DAFBLAwQUAAYACAAAACEASA3TSNkAAAAGAQAADwAAAGRycy9kb3ducmV2Lnht&#10;bEyPwW7CMBBE75X4B2uReis2CAFK46AKCfUYkfYDlnhJ3MbrEBtI+/U16qE9zsxq5m2+HV0nrjQE&#10;61nDfKZAENfeWG40vL/tnzYgQkQ22HkmDV8UYFtMHnLMjL/xga5VbEQq4ZChhjbGPpMy1C05DDPf&#10;E6fs5AeHMcmhkWbAWyp3nVwotZIOLaeFFnvatVR/VhenwW3K/feytGqsyo/XeYXn2h7OWj9Ox5dn&#10;EJHG+HcMd/yEDkViOvoLmyA6DemRqGG5WoO4p2uVjOOvIYtc/scvfgAAAP//AwBQSwECLQAUAAYA&#10;CAAAACEAtoM4kv4AAADhAQAAEwAAAAAAAAAAAAAAAAAAAAAAW0NvbnRlbnRfVHlwZXNdLnhtbFBL&#10;AQItABQABgAIAAAAIQA4/SH/1gAAAJQBAAALAAAAAAAAAAAAAAAAAC8BAABfcmVscy8ucmVsc1BL&#10;AQItABQABgAIAAAAIQBrKCwFJwIAAE0EAAAOAAAAAAAAAAAAAAAAAC4CAABkcnMvZTJvRG9jLnht&#10;bFBLAQItABQABgAIAAAAIQBIDdNI2QAAAAYBAAAPAAAAAAAAAAAAAAAAAIEEAABkcnMvZG93bnJl&#10;di54bWxQSwUGAAAAAAQABADzAAAAhwUAAAAA&#10;" strokecolor="#121212" strokeweight=".5pt"/>
            </w:pict>
          </mc:Fallback>
        </mc:AlternateContent>
      </w:r>
    </w:p>
    <w:p w:rsidR="00CB1F00" w:rsidRDefault="00CB1F00" w:rsidP="00CB1F00">
      <w:pPr>
        <w:spacing w:line="200" w:lineRule="exact"/>
        <w:rPr>
          <w:rFonts w:ascii="Times New Roman" w:eastAsia="Times New Roman" w:hAnsi="Times New Roman"/>
        </w:rPr>
      </w:pPr>
    </w:p>
    <w:p w:rsidR="00CB1F00" w:rsidRDefault="00CB1F00" w:rsidP="00CB1F00">
      <w:pPr>
        <w:spacing w:line="289" w:lineRule="exact"/>
        <w:rPr>
          <w:rFonts w:ascii="Times New Roman" w:eastAsia="Times New Roman" w:hAnsi="Times New Roman"/>
        </w:rPr>
      </w:pPr>
    </w:p>
    <w:p w:rsidR="00CB1F00" w:rsidRDefault="00CB1F00" w:rsidP="00CB1F00">
      <w:pPr>
        <w:numPr>
          <w:ilvl w:val="0"/>
          <w:numId w:val="1"/>
        </w:numPr>
        <w:tabs>
          <w:tab w:val="left" w:pos="386"/>
        </w:tabs>
        <w:spacing w:line="0" w:lineRule="atLeast"/>
        <w:ind w:left="386" w:hanging="386"/>
        <w:rPr>
          <w:rFonts w:ascii="Arial" w:eastAsia="Arial" w:hAnsi="Arial"/>
          <w:color w:val="121212"/>
          <w:sz w:val="16"/>
        </w:rPr>
      </w:pPr>
      <w:r>
        <w:rPr>
          <w:rFonts w:ascii="Times New Roman" w:eastAsia="Times New Roman" w:hAnsi="Times New Roman"/>
          <w:color w:val="121212"/>
          <w:sz w:val="16"/>
        </w:rPr>
        <w:t>Ver art. 180 LPI.</w:t>
      </w:r>
    </w:p>
    <w:p w:rsidR="00CB1F00" w:rsidRDefault="00CB1F00" w:rsidP="00CB1F00">
      <w:pPr>
        <w:spacing w:line="110" w:lineRule="exact"/>
        <w:rPr>
          <w:rFonts w:ascii="Arial" w:eastAsia="Arial" w:hAnsi="Arial"/>
          <w:color w:val="121212"/>
          <w:sz w:val="16"/>
        </w:rPr>
      </w:pPr>
    </w:p>
    <w:p w:rsidR="00CB1F00" w:rsidRDefault="00CB1F00" w:rsidP="00CB1F00">
      <w:pPr>
        <w:numPr>
          <w:ilvl w:val="0"/>
          <w:numId w:val="1"/>
        </w:numPr>
        <w:spacing w:line="0" w:lineRule="atLeast"/>
        <w:ind w:left="366" w:hanging="366"/>
        <w:rPr>
          <w:rFonts w:ascii="Arial" w:eastAsia="Arial" w:hAnsi="Arial"/>
          <w:color w:val="121212"/>
          <w:sz w:val="16"/>
        </w:rPr>
      </w:pPr>
      <w:r>
        <w:rPr>
          <w:rFonts w:ascii="Arial" w:eastAsia="Arial" w:hAnsi="Arial"/>
          <w:color w:val="121212"/>
          <w:sz w:val="16"/>
        </w:rPr>
        <w:t>Arts. 179 y 181, haciéndose por ello responsables de los daños y perjuicios ocasionados con su infracción.</w:t>
      </w:r>
    </w:p>
    <w:p w:rsidR="00CB1F00" w:rsidRDefault="00CB1F00" w:rsidP="00CB1F00">
      <w:pPr>
        <w:spacing w:line="200" w:lineRule="exact"/>
        <w:rPr>
          <w:rFonts w:ascii="Times New Roman" w:eastAsia="Times New Roman" w:hAnsi="Times New Roman"/>
        </w:rPr>
      </w:pPr>
      <w:r>
        <w:rPr>
          <w:rFonts w:ascii="Arial" w:eastAsia="Arial" w:hAnsi="Arial"/>
          <w:color w:val="121212"/>
          <w:sz w:val="16"/>
        </w:rPr>
        <w:br w:type="column"/>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1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4"/>
      </w:tblGrid>
      <w:tr w:rsidR="00CB1F00" w:rsidTr="000F66D3">
        <w:trPr>
          <w:trHeight w:val="1940"/>
        </w:trPr>
        <w:tc>
          <w:tcPr>
            <w:tcW w:w="264" w:type="dxa"/>
            <w:shd w:val="clear" w:color="auto" w:fill="auto"/>
            <w:textDirection w:val="btLr"/>
            <w:vAlign w:val="bottom"/>
          </w:tcPr>
          <w:p w:rsidR="00CB1F00" w:rsidRDefault="00CB1F00" w:rsidP="000F66D3">
            <w:pPr>
              <w:spacing w:line="0" w:lineRule="atLeast"/>
              <w:rPr>
                <w:rFonts w:ascii="Arial" w:eastAsia="Arial" w:hAnsi="Arial"/>
                <w:b/>
                <w:color w:val="FFFFFF"/>
                <w:sz w:val="23"/>
              </w:rPr>
            </w:pPr>
            <w:r>
              <w:rPr>
                <w:rFonts w:ascii="Arial" w:eastAsia="Arial" w:hAnsi="Arial"/>
                <w:color w:val="FFFFFF"/>
                <w:sz w:val="23"/>
              </w:rPr>
              <w:t xml:space="preserve">LIBRO </w:t>
            </w:r>
            <w:r>
              <w:rPr>
                <w:rFonts w:ascii="Arial" w:eastAsia="Arial" w:hAnsi="Arial"/>
                <w:b/>
                <w:color w:val="FFFFFF"/>
                <w:sz w:val="23"/>
              </w:rPr>
              <w:t>SEGUNDO</w:t>
            </w:r>
          </w:p>
        </w:tc>
      </w:tr>
    </w:tbl>
    <w:p w:rsidR="00CB1F00" w:rsidRDefault="00CB1F00" w:rsidP="00CB1F00">
      <w:pPr>
        <w:spacing w:line="20" w:lineRule="exact"/>
        <w:rPr>
          <w:rFonts w:ascii="Times New Roman" w:eastAsia="Times New Roman" w:hAnsi="Times New Roman"/>
        </w:rPr>
      </w:pPr>
      <w:r>
        <w:rPr>
          <w:rFonts w:ascii="Arial" w:eastAsia="Arial" w:hAnsi="Arial"/>
          <w:b/>
          <w:noProof/>
          <w:color w:val="FFFFFF"/>
          <w:sz w:val="23"/>
        </w:rPr>
        <w:drawing>
          <wp:anchor distT="0" distB="0" distL="114300" distR="114300" simplePos="0" relativeHeight="251671552" behindDoc="1" locked="0" layoutInCell="1" allowOverlap="1">
            <wp:simplePos x="0" y="0"/>
            <wp:positionH relativeFrom="column">
              <wp:posOffset>-49530</wp:posOffset>
            </wp:positionH>
            <wp:positionV relativeFrom="paragraph">
              <wp:posOffset>-1355090</wp:posOffset>
            </wp:positionV>
            <wp:extent cx="419735" cy="1465580"/>
            <wp:effectExtent l="0" t="0" r="0" b="127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35"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spacing w:line="20" w:lineRule="exact"/>
        <w:rPr>
          <w:rFonts w:ascii="Times New Roman" w:eastAsia="Times New Roman" w:hAnsi="Times New Roman"/>
        </w:rPr>
        <w:sectPr w:rsidR="00CB1F00">
          <w:pgSz w:w="10780" w:h="14173"/>
          <w:pgMar w:top="20" w:right="317" w:bottom="546" w:left="1134" w:header="0" w:footer="0" w:gutter="0"/>
          <w:cols w:num="2" w:space="0" w:equalWidth="0">
            <w:col w:w="8626" w:space="430"/>
            <w:col w:w="264"/>
          </w:cols>
          <w:docGrid w:linePitch="360"/>
        </w:sectPr>
      </w:pPr>
    </w:p>
    <w:p w:rsidR="00CB1F00" w:rsidRDefault="00CB1F00" w:rsidP="00CB1F00">
      <w:pPr>
        <w:spacing w:line="200" w:lineRule="exact"/>
        <w:rPr>
          <w:rFonts w:ascii="Times New Roman" w:eastAsia="Times New Roman" w:hAnsi="Times New Roman"/>
        </w:rPr>
      </w:pPr>
      <w:bookmarkStart w:id="5" w:name="page439"/>
      <w:bookmarkEnd w:id="5"/>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5"/>
      </w:tblGrid>
      <w:tr w:rsidR="00CB1F00" w:rsidTr="000F66D3">
        <w:trPr>
          <w:trHeight w:val="1440"/>
        </w:trPr>
        <w:tc>
          <w:tcPr>
            <w:tcW w:w="195" w:type="dxa"/>
            <w:shd w:val="clear" w:color="auto" w:fill="auto"/>
            <w:textDirection w:val="tbRl"/>
            <w:vAlign w:val="bottom"/>
          </w:tcPr>
          <w:p w:rsidR="00CB1F00" w:rsidRDefault="00CB1F00" w:rsidP="000F66D3">
            <w:pPr>
              <w:spacing w:line="0" w:lineRule="atLeast"/>
              <w:rPr>
                <w:rFonts w:ascii="Arial" w:eastAsia="Arial" w:hAnsi="Arial"/>
                <w:color w:val="FFFFFF"/>
                <w:sz w:val="17"/>
              </w:rPr>
            </w:pPr>
            <w:r>
              <w:rPr>
                <w:rFonts w:ascii="Arial" w:eastAsia="Arial" w:hAnsi="Arial"/>
                <w:b/>
                <w:color w:val="FFFFFF"/>
                <w:sz w:val="17"/>
              </w:rPr>
              <w:t>SEGUNDO</w:t>
            </w:r>
            <w:r>
              <w:rPr>
                <w:rFonts w:ascii="Arial" w:eastAsia="Arial" w:hAnsi="Arial"/>
                <w:color w:val="FFFFFF"/>
                <w:sz w:val="17"/>
              </w:rPr>
              <w:t>LIBRO</w:t>
            </w:r>
          </w:p>
        </w:tc>
      </w:tr>
    </w:tbl>
    <w:p w:rsidR="00CB1F00" w:rsidRDefault="00CB1F00" w:rsidP="00CB1F00">
      <w:pPr>
        <w:spacing w:line="20" w:lineRule="exact"/>
        <w:rPr>
          <w:rFonts w:ascii="Times New Roman" w:eastAsia="Times New Roman" w:hAnsi="Times New Roman"/>
        </w:rPr>
      </w:pPr>
      <w:r>
        <w:rPr>
          <w:rFonts w:ascii="Arial" w:eastAsia="Arial" w:hAnsi="Arial"/>
          <w:noProof/>
          <w:color w:val="FFFFFF"/>
          <w:sz w:val="17"/>
        </w:rPr>
        <w:drawing>
          <wp:anchor distT="0" distB="0" distL="114300" distR="114300" simplePos="0" relativeHeight="251672576" behindDoc="1" locked="0" layoutInCell="1" allowOverlap="1">
            <wp:simplePos x="0" y="0"/>
            <wp:positionH relativeFrom="column">
              <wp:posOffset>-274320</wp:posOffset>
            </wp:positionH>
            <wp:positionV relativeFrom="paragraph">
              <wp:posOffset>-554990</wp:posOffset>
            </wp:positionV>
            <wp:extent cx="435610" cy="1465580"/>
            <wp:effectExtent l="0" t="0" r="2540" b="127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tabs>
          <w:tab w:val="left" w:pos="680"/>
        </w:tabs>
        <w:spacing w:line="0" w:lineRule="atLeast"/>
        <w:rPr>
          <w:rFonts w:ascii="Arial" w:eastAsia="Arial" w:hAnsi="Arial"/>
          <w:color w:val="888A8A"/>
          <w:sz w:val="19"/>
        </w:rPr>
      </w:pPr>
      <w:r>
        <w:rPr>
          <w:rFonts w:ascii="Times New Roman" w:eastAsia="Times New Roman" w:hAnsi="Times New Roman"/>
        </w:rPr>
        <w:br w:type="column"/>
      </w:r>
      <w:r>
        <w:rPr>
          <w:rFonts w:ascii="Arial" w:eastAsia="Arial" w:hAnsi="Arial"/>
          <w:color w:val="121212"/>
          <w:sz w:val="28"/>
        </w:rPr>
        <w:t>404</w:t>
      </w:r>
      <w:r>
        <w:rPr>
          <w:rFonts w:ascii="Times New Roman" w:eastAsia="Times New Roman" w:hAnsi="Times New Roman"/>
        </w:rPr>
        <w:tab/>
      </w:r>
      <w:r>
        <w:rPr>
          <w:rFonts w:ascii="Arial" w:eastAsia="Arial" w:hAnsi="Arial"/>
          <w:color w:val="888A8A"/>
          <w:sz w:val="19"/>
        </w:rPr>
        <w:t>Código Procesal Civil y Mercantil Comentado</w:t>
      </w:r>
    </w:p>
    <w:p w:rsidR="00CB1F00" w:rsidRDefault="00CB1F00" w:rsidP="00CB1F00">
      <w:pPr>
        <w:spacing w:line="20" w:lineRule="exact"/>
        <w:rPr>
          <w:rFonts w:ascii="Times New Roman" w:eastAsia="Times New Roman" w:hAnsi="Times New Roman"/>
        </w:rPr>
      </w:pPr>
      <w:r>
        <w:rPr>
          <w:rFonts w:ascii="Arial" w:eastAsia="Arial" w:hAnsi="Arial"/>
          <w:noProof/>
          <w:color w:val="888A8A"/>
          <w:sz w:val="19"/>
        </w:rPr>
        <mc:AlternateContent>
          <mc:Choice Requires="wps">
            <w:drawing>
              <wp:anchor distT="0" distB="0" distL="114300" distR="114300" simplePos="0" relativeHeight="251673600" behindDoc="1" locked="0" layoutInCell="1" allowOverlap="1">
                <wp:simplePos x="0" y="0"/>
                <wp:positionH relativeFrom="column">
                  <wp:posOffset>371475</wp:posOffset>
                </wp:positionH>
                <wp:positionV relativeFrom="paragraph">
                  <wp:posOffset>-462280</wp:posOffset>
                </wp:positionV>
                <wp:extent cx="0" cy="479425"/>
                <wp:effectExtent l="12700" t="9525" r="6350" b="6350"/>
                <wp:wrapNone/>
                <wp:docPr id="31"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A2700" id="Conector recto 3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6.4pt" to="2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Z4JgIAAEwEAAAOAAAAZHJzL2Uyb0RvYy54bWysVNuO2jAQfa/Uf7D8ziaBwEJEWFUJ9GXb&#10;RdrtBxjbIVYd27INAVX9944doKV9qaoqkm8zPnPmzDjLp1Mn0ZFbJ7QqcfaQYsQV1UyofYm/vG1G&#10;c4ycJ4oRqRUv8Zk7/LR6/27Zm4KPdasl4xYBiHJFb0rcem+KJHG05R1xD9pwBcZG24542Np9wizp&#10;Ab2TyThNZ0mvLTNWU+4cnNaDEa8iftNw6l+axnGPZImBm4+jjeMujMlqSYq9JaYV9EKD/AOLjggF&#10;QW9QNfEEHaz4A6oT1GqnG/9AdZfophGUxxwgmyz9LZvXlhgecwFxnLnJ5P4fLP183FokWIknGUaK&#10;dFCjCipFvbbIhgmBAVTqjSvAuVJbG/KkJ/VqnjX96pDSVUvUnke2b2cDCPFGcnclbJyBWLv+k2bg&#10;Qw5eR8lOje0CJIiBTrEy51tl+MkjOhxSOM0fF/l4GugkpLjeM9b5j1x3KCxKLIUKmpGCHJ+dH1yv&#10;LuFY6Y2QMtZdKtSXeDaZpvGC01KwYAxuzu53lbToSKBzsnH4LnHv3AJyTVw7+EXT0FNWHxSLUVpO&#10;2Pqy9kTIYQ0JSBUCQYrA87IaeubbIl2s5+t5PsrHs/UoT+t69GFT5aPZJnuc1pO6qurse+Cc5UUr&#10;GOMq0L72b5b/XX9cXtLQebcOvumT3KNHzYHsdY6kY41DWYcG2Wl23tqgeSg3tGx0vjyv8CZ+3Uev&#10;nz+B1Q8AAAD//wMAUEsDBBQABgAIAAAAIQBABiCe2wAAAAcBAAAPAAAAZHJzL2Rvd25yZXYueG1s&#10;TI/BTsMwDIbvSLxDZCRuW7qKsarUnRDSxLFa4QG8xrSFxumabCs8PYELHG1/+v39xXa2gzrz5Hsn&#10;CKtlAoqlcaaXFuH1ZbfIQPlAYmhwwgif7GFbXl8VlBt3kT2f69CqGCI+J4QuhDHX2jcdW/JLN7LE&#10;25ubLIU4Tq02E11iuB10miT32lIv8UNHIz913HzUJ4tgs2r3dVf1yVxX78+rmo5Nvz8i3t7Mjw+g&#10;As/hD4Yf/agOZXQ6uJMYrwaEdbaOJMJik8YKEfhdHBDSDeiy0P/9y28AAAD//wMAUEsBAi0AFAAG&#10;AAgAAAAhALaDOJL+AAAA4QEAABMAAAAAAAAAAAAAAAAAAAAAAFtDb250ZW50X1R5cGVzXS54bWxQ&#10;SwECLQAUAAYACAAAACEAOP0h/9YAAACUAQAACwAAAAAAAAAAAAAAAAAvAQAAX3JlbHMvLnJlbHNQ&#10;SwECLQAUAAYACAAAACEATnRGeCYCAABMBAAADgAAAAAAAAAAAAAAAAAuAgAAZHJzL2Uyb0RvYy54&#10;bWxQSwECLQAUAAYACAAAACEAQAYgntsAAAAHAQAADwAAAAAAAAAAAAAAAACABAAAZHJzL2Rvd25y&#10;ZXYueG1sUEsFBgAAAAAEAAQA8wAAAIgFAAAAAA==&#10;" strokecolor="#121212" strokeweight=".5pt"/>
            </w:pict>
          </mc:Fallback>
        </mc:AlternateContent>
      </w:r>
    </w:p>
    <w:p w:rsidR="00CB1F00" w:rsidRDefault="00CB1F00" w:rsidP="00CB1F00">
      <w:pPr>
        <w:spacing w:line="386" w:lineRule="exact"/>
        <w:rPr>
          <w:rFonts w:ascii="Times New Roman" w:eastAsia="Times New Roman" w:hAnsi="Times New Roman"/>
        </w:rPr>
      </w:pPr>
    </w:p>
    <w:p w:rsidR="00CB1F00" w:rsidRDefault="00CB1F00" w:rsidP="00CB1F00">
      <w:pPr>
        <w:spacing w:line="226" w:lineRule="auto"/>
        <w:ind w:left="660"/>
        <w:jc w:val="both"/>
        <w:rPr>
          <w:rFonts w:ascii="Arial" w:eastAsia="Arial" w:hAnsi="Arial"/>
          <w:i/>
          <w:color w:val="121212"/>
          <w:sz w:val="24"/>
        </w:rPr>
      </w:pPr>
      <w:r>
        <w:rPr>
          <w:rFonts w:ascii="Arial" w:eastAsia="Arial" w:hAnsi="Arial"/>
          <w:i/>
          <w:color w:val="121212"/>
          <w:sz w:val="24"/>
        </w:rPr>
        <w:t>2°. La información fuere esencial para decidir una controversia sobre el estado o capacidad mental de un paciente;</w:t>
      </w:r>
    </w:p>
    <w:p w:rsidR="00CB1F00" w:rsidRDefault="00CB1F00" w:rsidP="00CB1F00">
      <w:pPr>
        <w:spacing w:line="226" w:lineRule="auto"/>
        <w:ind w:left="660"/>
        <w:jc w:val="both"/>
        <w:rPr>
          <w:rFonts w:ascii="Arial" w:eastAsia="Arial" w:hAnsi="Arial"/>
          <w:i/>
          <w:color w:val="121212"/>
          <w:sz w:val="24"/>
        </w:rPr>
      </w:pPr>
      <w:r>
        <w:rPr>
          <w:rFonts w:ascii="Arial" w:eastAsia="Arial" w:hAnsi="Arial"/>
          <w:i/>
          <w:color w:val="121212"/>
          <w:sz w:val="24"/>
        </w:rPr>
        <w:t>3°. Fuera necesario revelar la comunicación como prueba sobre la conducta de un demandado o demandante en el litigio;</w:t>
      </w:r>
    </w:p>
    <w:p w:rsidR="00CB1F00" w:rsidRDefault="00CB1F00" w:rsidP="00CB1F00">
      <w:pPr>
        <w:spacing w:line="226" w:lineRule="auto"/>
        <w:ind w:left="660"/>
        <w:jc w:val="both"/>
        <w:rPr>
          <w:rFonts w:ascii="Arial" w:eastAsia="Arial" w:hAnsi="Arial"/>
          <w:i/>
          <w:color w:val="121212"/>
          <w:sz w:val="24"/>
        </w:rPr>
      </w:pPr>
      <w:r>
        <w:rPr>
          <w:rFonts w:ascii="Arial" w:eastAsia="Arial" w:hAnsi="Arial"/>
          <w:i/>
          <w:color w:val="121212"/>
          <w:sz w:val="24"/>
        </w:rPr>
        <w:t>4°. La información fuera esencial en casos de responsabilidad civil por mala praxis médica;</w:t>
      </w:r>
    </w:p>
    <w:p w:rsidR="00CB1F00" w:rsidRDefault="00CB1F00" w:rsidP="00CB1F00">
      <w:pPr>
        <w:spacing w:line="226" w:lineRule="auto"/>
        <w:ind w:left="660"/>
        <w:jc w:val="both"/>
        <w:rPr>
          <w:rFonts w:ascii="Arial" w:eastAsia="Arial" w:hAnsi="Arial"/>
          <w:i/>
          <w:color w:val="121212"/>
          <w:sz w:val="24"/>
        </w:rPr>
      </w:pPr>
      <w:r>
        <w:rPr>
          <w:rFonts w:ascii="Arial" w:eastAsia="Arial" w:hAnsi="Arial"/>
          <w:i/>
          <w:color w:val="121212"/>
          <w:sz w:val="24"/>
        </w:rPr>
        <w:t>5°. La comunicación fuera pertinente para resolver una controversia en la que se reclamen obligaciones emanadas de un servicio de atención médica, exista o no contrato, y cuando se refiera a un seguro con cobertura de cualquier servicio médico o médico-quirúrgico;</w:t>
      </w:r>
    </w:p>
    <w:p w:rsidR="00CB1F00" w:rsidRDefault="00CB1F00" w:rsidP="00CB1F00">
      <w:pPr>
        <w:spacing w:line="235" w:lineRule="auto"/>
        <w:ind w:left="660"/>
        <w:jc w:val="both"/>
        <w:rPr>
          <w:rFonts w:ascii="Arial" w:eastAsia="Arial" w:hAnsi="Arial"/>
          <w:i/>
          <w:color w:val="121212"/>
          <w:sz w:val="23"/>
        </w:rPr>
      </w:pPr>
      <w:r>
        <w:rPr>
          <w:rFonts w:ascii="Arial" w:eastAsia="Arial" w:hAnsi="Arial"/>
          <w:i/>
          <w:color w:val="121212"/>
          <w:sz w:val="23"/>
        </w:rPr>
        <w:t>6°. La comunicación fuera pertinente en una controversia en la cual el médico hubiera violado su deber de confidencialidad para con su paciente; y,</w:t>
      </w:r>
    </w:p>
    <w:p w:rsidR="00CB1F00" w:rsidRDefault="00CB1F00" w:rsidP="00CB1F00">
      <w:pPr>
        <w:spacing w:line="2" w:lineRule="exact"/>
        <w:rPr>
          <w:rFonts w:ascii="Times New Roman" w:eastAsia="Times New Roman" w:hAnsi="Times New Roman"/>
        </w:rPr>
      </w:pPr>
    </w:p>
    <w:p w:rsidR="00CB1F00" w:rsidRDefault="00CB1F00" w:rsidP="00CB1F00">
      <w:pPr>
        <w:spacing w:line="0" w:lineRule="atLeast"/>
        <w:ind w:left="660"/>
        <w:rPr>
          <w:rFonts w:ascii="Arial" w:eastAsia="Arial" w:hAnsi="Arial"/>
          <w:i/>
          <w:color w:val="121212"/>
          <w:sz w:val="24"/>
        </w:rPr>
      </w:pPr>
      <w:r>
        <w:rPr>
          <w:rFonts w:ascii="Arial" w:eastAsia="Arial" w:hAnsi="Arial"/>
          <w:i/>
          <w:color w:val="121212"/>
          <w:sz w:val="24"/>
        </w:rPr>
        <w:t>7°. El cliente hubiera relevado a su médico del deber de confidencialidad”.</w:t>
      </w:r>
    </w:p>
    <w:p w:rsidR="00CB1F00" w:rsidRDefault="00CB1F00" w:rsidP="00CB1F00">
      <w:pPr>
        <w:spacing w:line="240" w:lineRule="exact"/>
        <w:rPr>
          <w:rFonts w:ascii="Times New Roman" w:eastAsia="Times New Roman" w:hAnsi="Times New Roman"/>
        </w:rPr>
      </w:pPr>
    </w:p>
    <w:p w:rsidR="00CB1F00" w:rsidRDefault="00CB1F00" w:rsidP="00CB1F00">
      <w:pPr>
        <w:numPr>
          <w:ilvl w:val="0"/>
          <w:numId w:val="1"/>
        </w:numPr>
        <w:tabs>
          <w:tab w:val="left" w:pos="660"/>
        </w:tabs>
        <w:spacing w:line="0" w:lineRule="atLeast"/>
        <w:ind w:left="660" w:hanging="566"/>
        <w:rPr>
          <w:rFonts w:ascii="Arial" w:eastAsia="Arial" w:hAnsi="Arial"/>
          <w:b/>
          <w:color w:val="121212"/>
          <w:sz w:val="23"/>
        </w:rPr>
      </w:pPr>
      <w:r>
        <w:rPr>
          <w:rFonts w:ascii="Arial" w:eastAsia="Arial" w:hAnsi="Arial"/>
          <w:color w:val="121212"/>
          <w:sz w:val="23"/>
        </w:rPr>
        <w:t>En materia de secretos comerciales o industriales (art. 372 párrafo tercero):</w:t>
      </w:r>
    </w:p>
    <w:p w:rsidR="00CB1F00" w:rsidRDefault="00CB1F00" w:rsidP="00CB1F00">
      <w:pPr>
        <w:spacing w:line="230" w:lineRule="auto"/>
        <w:ind w:left="660"/>
        <w:jc w:val="both"/>
        <w:rPr>
          <w:rFonts w:ascii="Arial" w:eastAsia="Arial" w:hAnsi="Arial"/>
          <w:i/>
          <w:color w:val="121212"/>
          <w:sz w:val="24"/>
        </w:rPr>
      </w:pPr>
      <w:r>
        <w:rPr>
          <w:rFonts w:ascii="Arial" w:eastAsia="Arial" w:hAnsi="Arial"/>
          <w:i/>
          <w:color w:val="121212"/>
          <w:sz w:val="24"/>
        </w:rPr>
        <w:t>“Se admitirá testimonio sobre dicho secreto cuando fuere necesario para probar un fraude de ley, un delito, una violación a la legislación sobre propiedad intelectual o industrial o para resolver cualquier otra controversia, a juicio prudencial del juez o tribunal en función de descubrir la verdad sobre los hechos en disputa”.</w:t>
      </w:r>
    </w:p>
    <w:p w:rsidR="00CB1F00" w:rsidRDefault="00CB1F00" w:rsidP="00CB1F00">
      <w:pPr>
        <w:spacing w:line="238" w:lineRule="exact"/>
        <w:rPr>
          <w:rFonts w:ascii="Times New Roman" w:eastAsia="Times New Roman" w:hAnsi="Times New Roman"/>
        </w:rPr>
      </w:pPr>
    </w:p>
    <w:p w:rsidR="00CB1F00" w:rsidRDefault="00CB1F00" w:rsidP="00CB1F00">
      <w:pPr>
        <w:spacing w:line="236" w:lineRule="auto"/>
        <w:ind w:left="100"/>
        <w:rPr>
          <w:rFonts w:ascii="Arial" w:eastAsia="Arial" w:hAnsi="Arial"/>
          <w:color w:val="121212"/>
          <w:sz w:val="24"/>
        </w:rPr>
      </w:pPr>
      <w:r>
        <w:rPr>
          <w:rFonts w:ascii="Arial" w:eastAsia="Arial" w:hAnsi="Arial"/>
          <w:color w:val="121212"/>
          <w:sz w:val="24"/>
        </w:rPr>
        <w:t>En todos estos casos, pues, la persona deberá declarar, con las consecuencias legales inherentes a una negativa injustificada, como ahora mismo se explica.</w:t>
      </w:r>
    </w:p>
    <w:p w:rsidR="00CB1F00" w:rsidRDefault="00CB1F00" w:rsidP="00CB1F00">
      <w:pPr>
        <w:spacing w:line="237" w:lineRule="exact"/>
        <w:rPr>
          <w:rFonts w:ascii="Times New Roman" w:eastAsia="Times New Roman" w:hAnsi="Times New Roman"/>
        </w:rPr>
      </w:pPr>
    </w:p>
    <w:p w:rsidR="00CB1F00" w:rsidRDefault="00CB1F00" w:rsidP="00CB1F00">
      <w:pPr>
        <w:spacing w:line="0" w:lineRule="atLeast"/>
        <w:ind w:left="100"/>
        <w:rPr>
          <w:rFonts w:ascii="Arial" w:eastAsia="Arial" w:hAnsi="Arial"/>
          <w:b/>
          <w:color w:val="121212"/>
          <w:sz w:val="24"/>
        </w:rPr>
      </w:pPr>
      <w:r>
        <w:rPr>
          <w:rFonts w:ascii="Arial" w:eastAsia="Arial" w:hAnsi="Arial"/>
          <w:b/>
          <w:color w:val="121212"/>
          <w:sz w:val="24"/>
        </w:rPr>
        <w:t>III.-  Obligaciones y derechos del testigo</w:t>
      </w:r>
    </w:p>
    <w:p w:rsidR="00CB1F00" w:rsidRDefault="00CB1F00" w:rsidP="00CB1F00">
      <w:pPr>
        <w:spacing w:line="244" w:lineRule="exact"/>
        <w:rPr>
          <w:rFonts w:ascii="Times New Roman" w:eastAsia="Times New Roman" w:hAnsi="Times New Roman"/>
        </w:rPr>
      </w:pPr>
    </w:p>
    <w:p w:rsidR="00CB1F00" w:rsidRDefault="00CB1F00" w:rsidP="00CB1F00">
      <w:pPr>
        <w:numPr>
          <w:ilvl w:val="0"/>
          <w:numId w:val="1"/>
        </w:numPr>
        <w:tabs>
          <w:tab w:val="left" w:pos="660"/>
        </w:tabs>
        <w:spacing w:line="0" w:lineRule="atLeast"/>
        <w:ind w:left="660" w:hanging="566"/>
        <w:rPr>
          <w:rFonts w:ascii="Arial" w:eastAsia="Arial" w:hAnsi="Arial"/>
          <w:b/>
          <w:color w:val="121212"/>
          <w:sz w:val="24"/>
        </w:rPr>
      </w:pPr>
      <w:r>
        <w:rPr>
          <w:rFonts w:ascii="Arial" w:eastAsia="Arial" w:hAnsi="Arial"/>
          <w:b/>
          <w:color w:val="121212"/>
          <w:sz w:val="24"/>
        </w:rPr>
        <w:t>Obligaciones</w:t>
      </w:r>
    </w:p>
    <w:p w:rsidR="00CB1F00" w:rsidRDefault="00CB1F00" w:rsidP="00CB1F00">
      <w:pPr>
        <w:spacing w:line="244" w:lineRule="exact"/>
        <w:rPr>
          <w:rFonts w:ascii="Times New Roman" w:eastAsia="Times New Roman" w:hAnsi="Times New Roman"/>
        </w:rPr>
      </w:pPr>
    </w:p>
    <w:p w:rsidR="00CB1F00" w:rsidRDefault="00CB1F00" w:rsidP="00CB1F00">
      <w:pPr>
        <w:spacing w:line="237" w:lineRule="auto"/>
        <w:ind w:left="660" w:hanging="566"/>
        <w:jc w:val="both"/>
        <w:rPr>
          <w:rFonts w:ascii="Arial" w:eastAsia="Arial" w:hAnsi="Arial"/>
          <w:color w:val="121212"/>
          <w:sz w:val="23"/>
        </w:rPr>
      </w:pPr>
      <w:r>
        <w:rPr>
          <w:rFonts w:ascii="Arial" w:eastAsia="Arial" w:hAnsi="Arial"/>
          <w:b/>
          <w:color w:val="121212"/>
          <w:sz w:val="23"/>
        </w:rPr>
        <w:t xml:space="preserve">1.1.- </w:t>
      </w:r>
      <w:r>
        <w:rPr>
          <w:rFonts w:ascii="Arial" w:eastAsia="Arial" w:hAnsi="Arial"/>
          <w:color w:val="121212"/>
          <w:sz w:val="23"/>
        </w:rPr>
        <w:t>Desde el momento en que el tercero es llamado como testigo a un proceso,</w:t>
      </w:r>
      <w:r>
        <w:rPr>
          <w:rFonts w:ascii="Arial" w:eastAsia="Arial" w:hAnsi="Arial"/>
          <w:b/>
          <w:color w:val="121212"/>
          <w:sz w:val="23"/>
        </w:rPr>
        <w:t xml:space="preserve"> </w:t>
      </w:r>
      <w:r>
        <w:rPr>
          <w:rFonts w:ascii="Arial" w:eastAsia="Arial" w:hAnsi="Arial"/>
          <w:color w:val="121212"/>
          <w:sz w:val="23"/>
        </w:rPr>
        <w:t>se generan para él una serie de obligaciones vinculadas a la función que cumple como medio de prueba. En primer término, tiene la de comparecer en el lugar y fecha que se le indica para tomársele declaración, sin poderse negar a ello sino por causa justificada legalmente (incapacidad o exención del deber de declarar), art. 362 CPCM. No toca al testigo decidir por sí mismo si su aportación al proceso puede ser relevante, pues su pertinencia y utilidad ya ha sido analizada por el juez y por tanto no tiene margen para negarse a comparecer, tampoco por los perjuicios o molestias que eso le pueda provocar, al resultar compensado por ello como ahora diremos. La ausencia del testigo, salvo por imposibilidad material (“debida justificación”) le acarreará una multa de entre uno y tres salarios mínimos urbanos más altos vigente. Si persiste en ello se le imputará por delito de desobediencia a mandato judicial (art. 313 CP), el cual tiene aparejada una condena de treinta a sesenta días multa.</w:t>
      </w:r>
    </w:p>
    <w:p w:rsidR="00CB1F00" w:rsidRDefault="00CB1F00" w:rsidP="00CB1F00">
      <w:pPr>
        <w:spacing w:line="237" w:lineRule="auto"/>
        <w:ind w:left="660" w:hanging="566"/>
        <w:jc w:val="both"/>
        <w:rPr>
          <w:rFonts w:ascii="Arial" w:eastAsia="Arial" w:hAnsi="Arial"/>
          <w:color w:val="121212"/>
          <w:sz w:val="23"/>
        </w:rPr>
        <w:sectPr w:rsidR="00CB1F00">
          <w:pgSz w:w="10780" w:h="14173"/>
          <w:pgMar w:top="406" w:right="1132" w:bottom="1440" w:left="433" w:header="0" w:footer="0" w:gutter="0"/>
          <w:cols w:num="2" w:space="0" w:equalWidth="0">
            <w:col w:w="195" w:space="412"/>
            <w:col w:w="8600"/>
          </w:cols>
          <w:docGrid w:linePitch="360"/>
        </w:sectPr>
      </w:pPr>
    </w:p>
    <w:tbl>
      <w:tblPr>
        <w:tblW w:w="0" w:type="auto"/>
        <w:tblInd w:w="4826" w:type="dxa"/>
        <w:tblLayout w:type="fixed"/>
        <w:tblCellMar>
          <w:left w:w="0" w:type="dxa"/>
          <w:right w:w="0" w:type="dxa"/>
        </w:tblCellMar>
        <w:tblLook w:val="0000" w:firstRow="0" w:lastRow="0" w:firstColumn="0" w:lastColumn="0" w:noHBand="0" w:noVBand="0"/>
      </w:tblPr>
      <w:tblGrid>
        <w:gridCol w:w="3200"/>
        <w:gridCol w:w="600"/>
      </w:tblGrid>
      <w:tr w:rsidR="00CB1F00" w:rsidTr="000F66D3">
        <w:trPr>
          <w:trHeight w:val="736"/>
        </w:trPr>
        <w:tc>
          <w:tcPr>
            <w:tcW w:w="3200" w:type="dxa"/>
            <w:tcBorders>
              <w:right w:val="single" w:sz="8" w:space="0" w:color="121212"/>
            </w:tcBorders>
            <w:shd w:val="clear" w:color="auto" w:fill="auto"/>
            <w:vAlign w:val="bottom"/>
          </w:tcPr>
          <w:p w:rsidR="00CB1F00" w:rsidRDefault="00CB1F00" w:rsidP="000F66D3">
            <w:pPr>
              <w:spacing w:line="0" w:lineRule="atLeast"/>
              <w:rPr>
                <w:rFonts w:ascii="Arial" w:eastAsia="Arial" w:hAnsi="Arial"/>
                <w:color w:val="888A8A"/>
              </w:rPr>
            </w:pPr>
            <w:bookmarkStart w:id="6" w:name="page440"/>
            <w:bookmarkEnd w:id="6"/>
            <w:r>
              <w:rPr>
                <w:rFonts w:ascii="Arial" w:eastAsia="Arial" w:hAnsi="Arial"/>
                <w:color w:val="888A8A"/>
              </w:rPr>
              <w:lastRenderedPageBreak/>
              <w:t>Consejo Nacional de la Judicatura</w:t>
            </w:r>
          </w:p>
        </w:tc>
        <w:tc>
          <w:tcPr>
            <w:tcW w:w="600" w:type="dxa"/>
            <w:shd w:val="clear" w:color="auto" w:fill="auto"/>
            <w:vAlign w:val="bottom"/>
          </w:tcPr>
          <w:p w:rsidR="00CB1F00" w:rsidRDefault="00CB1F00" w:rsidP="000F66D3">
            <w:pPr>
              <w:spacing w:line="0" w:lineRule="atLeast"/>
              <w:jc w:val="right"/>
              <w:rPr>
                <w:rFonts w:ascii="Arial" w:eastAsia="Arial" w:hAnsi="Arial"/>
                <w:color w:val="121212"/>
                <w:sz w:val="28"/>
              </w:rPr>
            </w:pPr>
            <w:r>
              <w:rPr>
                <w:rFonts w:ascii="Arial" w:eastAsia="Arial" w:hAnsi="Arial"/>
                <w:color w:val="121212"/>
                <w:sz w:val="28"/>
              </w:rPr>
              <w:t>405</w:t>
            </w:r>
          </w:p>
        </w:tc>
      </w:tr>
    </w:tbl>
    <w:p w:rsidR="00CB1F00" w:rsidRDefault="00CB1F00" w:rsidP="00CB1F00">
      <w:pPr>
        <w:spacing w:line="378" w:lineRule="exact"/>
        <w:rPr>
          <w:rFonts w:ascii="Times New Roman" w:eastAsia="Times New Roman" w:hAnsi="Times New Roman"/>
        </w:rPr>
      </w:pPr>
    </w:p>
    <w:p w:rsidR="00CB1F00" w:rsidRDefault="00CB1F00" w:rsidP="00CB1F00">
      <w:pPr>
        <w:spacing w:line="226" w:lineRule="auto"/>
        <w:ind w:left="6" w:right="120"/>
        <w:jc w:val="right"/>
        <w:rPr>
          <w:rFonts w:ascii="Arial" w:eastAsia="Arial" w:hAnsi="Arial"/>
          <w:color w:val="121212"/>
          <w:sz w:val="24"/>
        </w:rPr>
      </w:pPr>
      <w:r>
        <w:rPr>
          <w:rFonts w:ascii="Arial" w:eastAsia="Arial" w:hAnsi="Arial"/>
          <w:b/>
          <w:color w:val="121212"/>
          <w:sz w:val="24"/>
        </w:rPr>
        <w:t xml:space="preserve">1.2.- </w:t>
      </w:r>
      <w:r>
        <w:rPr>
          <w:rFonts w:ascii="Arial" w:eastAsia="Arial" w:hAnsi="Arial"/>
          <w:color w:val="121212"/>
          <w:sz w:val="24"/>
        </w:rPr>
        <w:t>Una vez personado para ser interrogado, surgen otras dos obligaciones</w:t>
      </w:r>
      <w:r>
        <w:rPr>
          <w:rFonts w:ascii="Arial" w:eastAsia="Arial" w:hAnsi="Arial"/>
          <w:b/>
          <w:color w:val="121212"/>
          <w:sz w:val="24"/>
        </w:rPr>
        <w:t xml:space="preserve"> </w:t>
      </w:r>
      <w:r>
        <w:rPr>
          <w:rFonts w:ascii="Arial" w:eastAsia="Arial" w:hAnsi="Arial"/>
          <w:color w:val="121212"/>
          <w:sz w:val="24"/>
        </w:rPr>
        <w:t>principales, la primera de ellas como correlato de la anteriormente mencionada:</w:t>
      </w:r>
    </w:p>
    <w:p w:rsidR="00CB1F00" w:rsidRDefault="00CB1F00" w:rsidP="00CB1F00">
      <w:pPr>
        <w:spacing w:line="1" w:lineRule="exact"/>
        <w:rPr>
          <w:rFonts w:ascii="Times New Roman" w:eastAsia="Times New Roman" w:hAnsi="Times New Roman"/>
        </w:rPr>
      </w:pPr>
    </w:p>
    <w:p w:rsidR="00CB1F00" w:rsidRDefault="00CB1F00" w:rsidP="00CB1F00">
      <w:pPr>
        <w:spacing w:line="235" w:lineRule="auto"/>
        <w:ind w:left="566" w:right="120"/>
        <w:jc w:val="both"/>
        <w:rPr>
          <w:rFonts w:ascii="Arial" w:eastAsia="Arial" w:hAnsi="Arial"/>
          <w:color w:val="121212"/>
          <w:sz w:val="23"/>
        </w:rPr>
      </w:pPr>
      <w:r>
        <w:rPr>
          <w:rFonts w:ascii="Arial" w:eastAsia="Arial" w:hAnsi="Arial"/>
          <w:color w:val="121212"/>
          <w:sz w:val="23"/>
        </w:rPr>
        <w:t>a) el testigo no puede negarse a contestar las preguntas que se le hagan, bajo riesgo de incurrir en el delito mencionado del art. 313 CP; b) tiene asimismo la obligación de declarar la verdad de lo que conociere, sin cometer por tanto mendacidad, so pena de cometer delito de falso testimonio (art. 305</w:t>
      </w:r>
    </w:p>
    <w:p w:rsidR="00CB1F00" w:rsidRDefault="00CB1F00" w:rsidP="00CB1F00">
      <w:pPr>
        <w:spacing w:line="3" w:lineRule="exact"/>
        <w:rPr>
          <w:rFonts w:ascii="Times New Roman" w:eastAsia="Times New Roman" w:hAnsi="Times New Roman"/>
        </w:rPr>
      </w:pPr>
    </w:p>
    <w:p w:rsidR="00CB1F00" w:rsidRDefault="00CB1F00" w:rsidP="00CB1F00">
      <w:pPr>
        <w:spacing w:line="233" w:lineRule="auto"/>
        <w:ind w:left="566" w:right="120"/>
        <w:jc w:val="both"/>
        <w:rPr>
          <w:rFonts w:ascii="Arial" w:eastAsia="Arial" w:hAnsi="Arial"/>
          <w:color w:val="121212"/>
          <w:sz w:val="24"/>
        </w:rPr>
      </w:pPr>
      <w:r>
        <w:rPr>
          <w:rFonts w:ascii="Arial" w:eastAsia="Arial" w:hAnsi="Arial"/>
          <w:color w:val="121212"/>
          <w:sz w:val="24"/>
        </w:rPr>
        <w:t xml:space="preserve">CP) y ser castigado con pena de prisión de dos a cinco años. De todas estas obligaciones, y de las consecuencias penales de su incumplimiento, se le advertirá ya en la propia esquela de citación (art. 362 </w:t>
      </w:r>
      <w:r>
        <w:rPr>
          <w:rFonts w:ascii="Arial" w:eastAsia="Arial" w:hAnsi="Arial"/>
          <w:i/>
          <w:color w:val="121212"/>
          <w:sz w:val="24"/>
        </w:rPr>
        <w:t>in fine</w:t>
      </w:r>
      <w:r>
        <w:rPr>
          <w:rFonts w:ascii="Arial" w:eastAsia="Arial" w:hAnsi="Arial"/>
          <w:color w:val="121212"/>
          <w:sz w:val="24"/>
        </w:rPr>
        <w:t xml:space="preserve"> CPCM).</w:t>
      </w:r>
    </w:p>
    <w:p w:rsidR="00CB1F00" w:rsidRDefault="00CB1F00" w:rsidP="00CB1F00">
      <w:pPr>
        <w:spacing w:line="235" w:lineRule="exact"/>
        <w:rPr>
          <w:rFonts w:ascii="Times New Roman" w:eastAsia="Times New Roman" w:hAnsi="Times New Roman"/>
        </w:rPr>
      </w:pPr>
    </w:p>
    <w:p w:rsidR="00CB1F00" w:rsidRDefault="00CB1F00" w:rsidP="00CB1F00">
      <w:pPr>
        <w:numPr>
          <w:ilvl w:val="0"/>
          <w:numId w:val="1"/>
        </w:numPr>
        <w:tabs>
          <w:tab w:val="left" w:pos="566"/>
        </w:tabs>
        <w:spacing w:line="0" w:lineRule="atLeast"/>
        <w:ind w:left="566" w:hanging="566"/>
        <w:rPr>
          <w:rFonts w:ascii="Arial" w:eastAsia="Arial" w:hAnsi="Arial"/>
          <w:b/>
          <w:color w:val="121212"/>
          <w:sz w:val="24"/>
        </w:rPr>
      </w:pPr>
      <w:r>
        <w:rPr>
          <w:rFonts w:ascii="Arial" w:eastAsia="Arial" w:hAnsi="Arial"/>
          <w:b/>
          <w:color w:val="121212"/>
          <w:sz w:val="24"/>
        </w:rPr>
        <w:t>Derechos</w:t>
      </w:r>
    </w:p>
    <w:p w:rsidR="00CB1F00" w:rsidRDefault="00CB1F00" w:rsidP="00CB1F00">
      <w:pPr>
        <w:spacing w:line="245" w:lineRule="exact"/>
        <w:rPr>
          <w:rFonts w:ascii="Times New Roman" w:eastAsia="Times New Roman" w:hAnsi="Times New Roman"/>
        </w:rPr>
      </w:pPr>
    </w:p>
    <w:p w:rsidR="00CB1F00" w:rsidRDefault="00CB1F00" w:rsidP="00CB1F00">
      <w:pPr>
        <w:spacing w:line="249" w:lineRule="auto"/>
        <w:ind w:left="6" w:right="120"/>
        <w:jc w:val="both"/>
        <w:rPr>
          <w:rFonts w:ascii="Arial" w:eastAsia="Arial" w:hAnsi="Arial"/>
          <w:color w:val="121212"/>
          <w:sz w:val="22"/>
        </w:rPr>
      </w:pPr>
      <w:r>
        <w:rPr>
          <w:rFonts w:ascii="Arial" w:eastAsia="Arial" w:hAnsi="Arial"/>
          <w:color w:val="121212"/>
          <w:sz w:val="22"/>
        </w:rPr>
        <w:t>El testigo presta una colaboración con la justicia que tiene el deber jurídico de soportar, pero sin que ello le produzca un perjuicio propio, de tal manera que la ley le garantiza el derecho a ser indemnizado por los gastos que le ocasionare la comparecencia en juicio, esto es, una vez realizada la declaración y no antes como exigencia para acudir. En esos gastos, conforme a los principios generales de responsabilidad civil y a la lógica de las cosas, la indemnización debe comprender no solamente los estrictamente materiales (de transporte y manutención ese día, o los que dure su declaración), sino también el lucro cesante, al menos tratándose de trabajadores por cuenta ajena o empleados públicos cuyo salario pueda serle detraído por el empleador o entidad pública esa jornada, al no ir a trabajar; y en el caso de ser autónomos, si se dedican a una actividad continuada sin poder dejar a nadie a cargo (un taxista, un prestador de servicios, entre otros).</w:t>
      </w:r>
    </w:p>
    <w:p w:rsidR="00CB1F00" w:rsidRDefault="00CB1F00" w:rsidP="00CB1F00">
      <w:pPr>
        <w:spacing w:line="230" w:lineRule="exact"/>
        <w:rPr>
          <w:rFonts w:ascii="Times New Roman" w:eastAsia="Times New Roman" w:hAnsi="Times New Roman"/>
        </w:rPr>
      </w:pPr>
    </w:p>
    <w:p w:rsidR="00CB1F00" w:rsidRDefault="00CB1F00" w:rsidP="00CB1F00">
      <w:pPr>
        <w:spacing w:line="0" w:lineRule="atLeast"/>
        <w:ind w:left="6" w:right="120"/>
        <w:jc w:val="both"/>
        <w:rPr>
          <w:rFonts w:ascii="Arial" w:eastAsia="Arial" w:hAnsi="Arial"/>
          <w:color w:val="121212"/>
          <w:sz w:val="23"/>
        </w:rPr>
      </w:pPr>
      <w:r>
        <w:rPr>
          <w:rFonts w:ascii="Arial" w:eastAsia="Arial" w:hAnsi="Arial"/>
          <w:color w:val="121212"/>
          <w:sz w:val="23"/>
        </w:rPr>
        <w:t xml:space="preserve">La indemnización no corre a cargo del Estado sino de la parte que lo propone, y de no abonar el importe que se justifique debidamente en el plazo de quince días, puede dar lugar a su exacción “por la vía de ejecución que corresponda” (art. 363 CPCM); </w:t>
      </w:r>
      <w:proofErr w:type="spellStart"/>
      <w:r>
        <w:rPr>
          <w:rFonts w:ascii="Arial" w:eastAsia="Arial" w:hAnsi="Arial"/>
          <w:color w:val="121212"/>
          <w:sz w:val="23"/>
        </w:rPr>
        <w:t>vgr</w:t>
      </w:r>
      <w:proofErr w:type="spellEnd"/>
      <w:r>
        <w:rPr>
          <w:rFonts w:ascii="Arial" w:eastAsia="Arial" w:hAnsi="Arial"/>
          <w:color w:val="121212"/>
          <w:sz w:val="23"/>
        </w:rPr>
        <w:t>., a través de un proceso monitorio, o pidiendo al juez que dicte un auto fijando esa cantidad (a la vista de documental) y luego su ejecución forzosa.</w:t>
      </w:r>
    </w:p>
    <w:p w:rsidR="00CB1F00" w:rsidRDefault="00CB1F00" w:rsidP="00CB1F00">
      <w:pPr>
        <w:spacing w:line="237" w:lineRule="exact"/>
        <w:rPr>
          <w:rFonts w:ascii="Times New Roman" w:eastAsia="Times New Roman" w:hAnsi="Times New Roman"/>
        </w:rPr>
      </w:pPr>
    </w:p>
    <w:p w:rsidR="00CB1F00" w:rsidRDefault="00CB1F00" w:rsidP="00CB1F00">
      <w:pPr>
        <w:spacing w:line="244" w:lineRule="auto"/>
        <w:ind w:left="6" w:right="120"/>
        <w:jc w:val="both"/>
        <w:rPr>
          <w:rFonts w:ascii="Arial" w:eastAsia="Arial" w:hAnsi="Arial"/>
          <w:color w:val="121212"/>
          <w:sz w:val="23"/>
        </w:rPr>
      </w:pPr>
      <w:r>
        <w:rPr>
          <w:rFonts w:ascii="Arial" w:eastAsia="Arial" w:hAnsi="Arial"/>
          <w:color w:val="121212"/>
          <w:sz w:val="23"/>
        </w:rPr>
        <w:t>Si fueran varias partes las que proponen al testigo, la obligación de indemnizar es de todas, y según el Código resulta mancomunada y no solidaria (art. 363 in fine: “corresponderá a todas ellas, conjuntamente, el pago de la indemnización”).</w:t>
      </w:r>
    </w:p>
    <w:p w:rsidR="00CB1F00" w:rsidRDefault="00CB1F00" w:rsidP="00CB1F00">
      <w:pPr>
        <w:spacing w:line="233" w:lineRule="exact"/>
        <w:rPr>
          <w:rFonts w:ascii="Times New Roman" w:eastAsia="Times New Roman" w:hAnsi="Times New Roman"/>
        </w:rPr>
      </w:pPr>
    </w:p>
    <w:p w:rsidR="00CB1F00" w:rsidRDefault="00CB1F00" w:rsidP="00CB1F00">
      <w:pPr>
        <w:spacing w:line="0" w:lineRule="atLeast"/>
        <w:ind w:left="6"/>
        <w:rPr>
          <w:rFonts w:ascii="Arial" w:eastAsia="Arial" w:hAnsi="Arial"/>
          <w:b/>
          <w:color w:val="121212"/>
          <w:sz w:val="24"/>
        </w:rPr>
      </w:pPr>
      <w:r>
        <w:rPr>
          <w:rFonts w:ascii="Arial" w:eastAsia="Arial" w:hAnsi="Arial"/>
          <w:b/>
          <w:color w:val="121212"/>
          <w:sz w:val="24"/>
        </w:rPr>
        <w:t>IV.- Proposición y admisión</w:t>
      </w:r>
    </w:p>
    <w:p w:rsidR="00CB1F00" w:rsidRDefault="00CB1F00" w:rsidP="00CB1F00">
      <w:pPr>
        <w:spacing w:line="244" w:lineRule="exact"/>
        <w:rPr>
          <w:rFonts w:ascii="Times New Roman" w:eastAsia="Times New Roman" w:hAnsi="Times New Roman"/>
        </w:rPr>
      </w:pPr>
    </w:p>
    <w:p w:rsidR="00CB1F00" w:rsidRDefault="00CB1F00" w:rsidP="00CB1F00">
      <w:pPr>
        <w:tabs>
          <w:tab w:val="left" w:pos="546"/>
        </w:tabs>
        <w:spacing w:line="250" w:lineRule="auto"/>
        <w:ind w:left="566" w:right="120" w:hanging="566"/>
        <w:jc w:val="both"/>
        <w:rPr>
          <w:rFonts w:ascii="Arial" w:eastAsia="Arial" w:hAnsi="Arial"/>
          <w:color w:val="121212"/>
          <w:sz w:val="22"/>
        </w:rPr>
      </w:pPr>
      <w:r>
        <w:rPr>
          <w:rFonts w:ascii="Arial" w:eastAsia="Arial" w:hAnsi="Arial"/>
          <w:b/>
          <w:color w:val="121212"/>
          <w:sz w:val="24"/>
        </w:rPr>
        <w:t>1</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2"/>
        </w:rPr>
        <w:t>La prueba testifical se propondrá con el resto de medios de convicción que se pretenda practicar en juicio, en el acto procesal previsto para ello (audiencia preparatoria –proceso común- o la audiencia de prueba –proceso abreviado-), como indica el art. 359. Lo específico es que la parte proponente deberá suministrar todos los datos personales que conozca del testigo (nombre y apellido, profesión y otros) a fin de permitir su identificación. También deberá indicar el lugar donde pueda ser hallado el testigo en caso de precisarse su citación judicial, si se necesita que ésta la realice el tribunal, para lo cual</w:t>
      </w:r>
    </w:p>
    <w:p w:rsidR="00CB1F00" w:rsidRDefault="00CB1F00" w:rsidP="00CB1F00">
      <w:pPr>
        <w:spacing w:line="200" w:lineRule="exact"/>
        <w:rPr>
          <w:rFonts w:ascii="Times New Roman" w:eastAsia="Times New Roman" w:hAnsi="Times New Roman"/>
        </w:rPr>
      </w:pPr>
      <w:r>
        <w:rPr>
          <w:rFonts w:ascii="Arial" w:eastAsia="Arial" w:hAnsi="Arial"/>
          <w:color w:val="121212"/>
          <w:sz w:val="22"/>
        </w:rPr>
        <w:br w:type="column"/>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1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4"/>
      </w:tblGrid>
      <w:tr w:rsidR="00CB1F00" w:rsidTr="000F66D3">
        <w:trPr>
          <w:trHeight w:val="1940"/>
        </w:trPr>
        <w:tc>
          <w:tcPr>
            <w:tcW w:w="264" w:type="dxa"/>
            <w:shd w:val="clear" w:color="auto" w:fill="auto"/>
            <w:textDirection w:val="btLr"/>
            <w:vAlign w:val="bottom"/>
          </w:tcPr>
          <w:p w:rsidR="00CB1F00" w:rsidRDefault="00CB1F00" w:rsidP="000F66D3">
            <w:pPr>
              <w:spacing w:line="0" w:lineRule="atLeast"/>
              <w:rPr>
                <w:rFonts w:ascii="Arial" w:eastAsia="Arial" w:hAnsi="Arial"/>
                <w:b/>
                <w:color w:val="FFFFFF"/>
                <w:sz w:val="23"/>
              </w:rPr>
            </w:pPr>
            <w:r>
              <w:rPr>
                <w:rFonts w:ascii="Arial" w:eastAsia="Arial" w:hAnsi="Arial"/>
                <w:color w:val="FFFFFF"/>
                <w:sz w:val="23"/>
              </w:rPr>
              <w:t xml:space="preserve">LIBRO </w:t>
            </w:r>
            <w:r>
              <w:rPr>
                <w:rFonts w:ascii="Arial" w:eastAsia="Arial" w:hAnsi="Arial"/>
                <w:b/>
                <w:color w:val="FFFFFF"/>
                <w:sz w:val="23"/>
              </w:rPr>
              <w:t>SEGUNDO</w:t>
            </w:r>
          </w:p>
        </w:tc>
      </w:tr>
    </w:tbl>
    <w:p w:rsidR="00CB1F00" w:rsidRDefault="00CB1F00" w:rsidP="00CB1F00">
      <w:pPr>
        <w:spacing w:line="20" w:lineRule="exact"/>
        <w:rPr>
          <w:rFonts w:ascii="Times New Roman" w:eastAsia="Times New Roman" w:hAnsi="Times New Roman"/>
        </w:rPr>
      </w:pPr>
      <w:r>
        <w:rPr>
          <w:rFonts w:ascii="Arial" w:eastAsia="Arial" w:hAnsi="Arial"/>
          <w:b/>
          <w:noProof/>
          <w:color w:val="FFFFFF"/>
          <w:sz w:val="23"/>
        </w:rPr>
        <w:drawing>
          <wp:anchor distT="0" distB="0" distL="114300" distR="114300" simplePos="0" relativeHeight="251674624" behindDoc="1" locked="0" layoutInCell="1" allowOverlap="1">
            <wp:simplePos x="0" y="0"/>
            <wp:positionH relativeFrom="column">
              <wp:posOffset>-49530</wp:posOffset>
            </wp:positionH>
            <wp:positionV relativeFrom="paragraph">
              <wp:posOffset>-1355090</wp:posOffset>
            </wp:positionV>
            <wp:extent cx="419735" cy="1465580"/>
            <wp:effectExtent l="0" t="0" r="0" b="127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35"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spacing w:line="20" w:lineRule="exact"/>
        <w:rPr>
          <w:rFonts w:ascii="Times New Roman" w:eastAsia="Times New Roman" w:hAnsi="Times New Roman"/>
        </w:rPr>
        <w:sectPr w:rsidR="00CB1F00">
          <w:pgSz w:w="10780" w:h="14173"/>
          <w:pgMar w:top="20" w:right="317" w:bottom="748" w:left="1134" w:header="0" w:footer="0" w:gutter="0"/>
          <w:cols w:num="2" w:space="0" w:equalWidth="0">
            <w:col w:w="8626" w:space="430"/>
            <w:col w:w="264"/>
          </w:cols>
          <w:docGrid w:linePitch="360"/>
        </w:sectPr>
      </w:pPr>
    </w:p>
    <w:p w:rsidR="00CB1F00" w:rsidRDefault="00CB1F00" w:rsidP="00CB1F00">
      <w:pPr>
        <w:framePr w:w="7937" w:h="480" w:hRule="exact" w:wrap="auto" w:vAnchor="page" w:hAnchor="page" w:x="1702" w:y="12314"/>
        <w:spacing w:line="20" w:lineRule="exact"/>
        <w:rPr>
          <w:rFonts w:ascii="Times New Roman" w:eastAsia="Times New Roman" w:hAnsi="Times New Roman"/>
        </w:rPr>
      </w:pPr>
      <w:bookmarkStart w:id="7" w:name="page441"/>
      <w:bookmarkEnd w:id="7"/>
    </w:p>
    <w:p w:rsidR="00CB1F00" w:rsidRDefault="00CB1F00" w:rsidP="00CB1F00">
      <w:pPr>
        <w:framePr w:w="8020" w:h="480" w:hRule="exact" w:wrap="auto" w:vAnchor="page" w:hAnchor="page" w:x="1661" w:y="12314"/>
        <w:spacing w:line="227" w:lineRule="auto"/>
        <w:rPr>
          <w:rFonts w:ascii="Arial" w:eastAsia="Arial" w:hAnsi="Arial"/>
          <w:color w:val="121212"/>
          <w:sz w:val="22"/>
        </w:rPr>
      </w:pPr>
      <w:r>
        <w:rPr>
          <w:rFonts w:ascii="Arial" w:eastAsia="Arial" w:hAnsi="Arial"/>
          <w:color w:val="121212"/>
          <w:sz w:val="22"/>
        </w:rPr>
        <w:t>Propuesto el testigo o los testigos por cada una de las partes, el juez deberá desplegar, como es obligado, sus facultades de control para inadmitir aquellas</w:t>
      </w: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00" w:lineRule="exact"/>
        <w:rPr>
          <w:rFonts w:ascii="Arial" w:eastAsia="Arial" w:hAnsi="Arial"/>
          <w:color w:val="121212"/>
          <w:sz w:val="22"/>
        </w:rPr>
      </w:pPr>
    </w:p>
    <w:p w:rsidR="00CB1F00" w:rsidRDefault="00CB1F00" w:rsidP="00CB1F00">
      <w:pPr>
        <w:spacing w:line="267" w:lineRule="exact"/>
        <w:rPr>
          <w:rFonts w:ascii="Arial" w:eastAsia="Arial" w:hAnsi="Arial"/>
          <w:color w:val="121212"/>
          <w:sz w:val="22"/>
        </w:rPr>
      </w:pPr>
    </w:p>
    <w:tbl>
      <w:tblPr>
        <w:tblW w:w="0" w:type="auto"/>
        <w:tblLayout w:type="fixed"/>
        <w:tblCellMar>
          <w:left w:w="0" w:type="dxa"/>
          <w:right w:w="0" w:type="dxa"/>
        </w:tblCellMar>
        <w:tblLook w:val="0000" w:firstRow="0" w:lastRow="0" w:firstColumn="0" w:lastColumn="0" w:noHBand="0" w:noVBand="0"/>
      </w:tblPr>
      <w:tblGrid>
        <w:gridCol w:w="195"/>
      </w:tblGrid>
      <w:tr w:rsidR="00CB1F00" w:rsidTr="000F66D3">
        <w:trPr>
          <w:trHeight w:val="1440"/>
        </w:trPr>
        <w:tc>
          <w:tcPr>
            <w:tcW w:w="195" w:type="dxa"/>
            <w:shd w:val="clear" w:color="auto" w:fill="auto"/>
            <w:textDirection w:val="tbRl"/>
            <w:vAlign w:val="bottom"/>
          </w:tcPr>
          <w:p w:rsidR="00CB1F00" w:rsidRDefault="00CB1F00" w:rsidP="000F66D3">
            <w:pPr>
              <w:spacing w:line="0" w:lineRule="atLeast"/>
              <w:rPr>
                <w:rFonts w:ascii="Arial" w:eastAsia="Arial" w:hAnsi="Arial"/>
                <w:color w:val="FFFFFF"/>
                <w:sz w:val="17"/>
              </w:rPr>
            </w:pPr>
            <w:r>
              <w:rPr>
                <w:rFonts w:ascii="Arial" w:eastAsia="Arial" w:hAnsi="Arial"/>
                <w:b/>
                <w:color w:val="FFFFFF"/>
                <w:sz w:val="17"/>
              </w:rPr>
              <w:t>SEGUNDO</w:t>
            </w:r>
            <w:r>
              <w:rPr>
                <w:rFonts w:ascii="Arial" w:eastAsia="Arial" w:hAnsi="Arial"/>
                <w:color w:val="FFFFFF"/>
                <w:sz w:val="17"/>
              </w:rPr>
              <w:t>LIBRO</w:t>
            </w:r>
          </w:p>
        </w:tc>
      </w:tr>
    </w:tbl>
    <w:p w:rsidR="00CB1F00" w:rsidRDefault="00CB1F00" w:rsidP="00CB1F00">
      <w:pPr>
        <w:spacing w:line="20" w:lineRule="exact"/>
        <w:rPr>
          <w:rFonts w:ascii="Arial" w:eastAsia="Arial" w:hAnsi="Arial"/>
          <w:color w:val="121212"/>
          <w:sz w:val="22"/>
        </w:rPr>
      </w:pPr>
      <w:r>
        <w:rPr>
          <w:rFonts w:ascii="Arial" w:eastAsia="Arial" w:hAnsi="Arial"/>
          <w:noProof/>
          <w:color w:val="FFFFFF"/>
          <w:sz w:val="17"/>
        </w:rPr>
        <w:drawing>
          <wp:anchor distT="0" distB="0" distL="114300" distR="114300" simplePos="0" relativeHeight="251675648" behindDoc="1" locked="0" layoutInCell="1" allowOverlap="1">
            <wp:simplePos x="0" y="0"/>
            <wp:positionH relativeFrom="column">
              <wp:posOffset>-274320</wp:posOffset>
            </wp:positionH>
            <wp:positionV relativeFrom="paragraph">
              <wp:posOffset>-554990</wp:posOffset>
            </wp:positionV>
            <wp:extent cx="435610" cy="1465580"/>
            <wp:effectExtent l="0" t="0" r="2540" b="127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tabs>
          <w:tab w:val="left" w:pos="680"/>
        </w:tabs>
        <w:spacing w:line="0" w:lineRule="atLeast"/>
        <w:rPr>
          <w:rFonts w:ascii="Arial" w:eastAsia="Arial" w:hAnsi="Arial"/>
          <w:color w:val="888A8A"/>
          <w:sz w:val="19"/>
        </w:rPr>
      </w:pPr>
      <w:r>
        <w:rPr>
          <w:rFonts w:ascii="Arial" w:eastAsia="Arial" w:hAnsi="Arial"/>
          <w:color w:val="121212"/>
          <w:sz w:val="22"/>
        </w:rPr>
        <w:br w:type="column"/>
      </w:r>
      <w:r>
        <w:rPr>
          <w:rFonts w:ascii="Arial" w:eastAsia="Arial" w:hAnsi="Arial"/>
          <w:color w:val="121212"/>
          <w:sz w:val="28"/>
        </w:rPr>
        <w:t>406</w:t>
      </w:r>
      <w:r>
        <w:rPr>
          <w:rFonts w:ascii="Times New Roman" w:eastAsia="Times New Roman" w:hAnsi="Times New Roman"/>
        </w:rPr>
        <w:tab/>
      </w:r>
      <w:r>
        <w:rPr>
          <w:rFonts w:ascii="Arial" w:eastAsia="Arial" w:hAnsi="Arial"/>
          <w:color w:val="888A8A"/>
          <w:sz w:val="19"/>
        </w:rPr>
        <w:t>Código Procesal Civil y Mercantil Comentado</w:t>
      </w:r>
    </w:p>
    <w:p w:rsidR="00CB1F00" w:rsidRDefault="00CB1F00" w:rsidP="00CB1F00">
      <w:pPr>
        <w:spacing w:line="20" w:lineRule="exact"/>
        <w:rPr>
          <w:rFonts w:ascii="Arial" w:eastAsia="Arial" w:hAnsi="Arial"/>
          <w:color w:val="121212"/>
          <w:sz w:val="22"/>
        </w:rPr>
      </w:pPr>
      <w:r>
        <w:rPr>
          <w:rFonts w:ascii="Arial" w:eastAsia="Arial" w:hAnsi="Arial"/>
          <w:noProof/>
          <w:color w:val="888A8A"/>
          <w:sz w:val="19"/>
        </w:rPr>
        <mc:AlternateContent>
          <mc:Choice Requires="wps">
            <w:drawing>
              <wp:anchor distT="0" distB="0" distL="114300" distR="114300" simplePos="0" relativeHeight="251676672" behindDoc="1" locked="0" layoutInCell="1" allowOverlap="1">
                <wp:simplePos x="0" y="0"/>
                <wp:positionH relativeFrom="column">
                  <wp:posOffset>371475</wp:posOffset>
                </wp:positionH>
                <wp:positionV relativeFrom="paragraph">
                  <wp:posOffset>-462280</wp:posOffset>
                </wp:positionV>
                <wp:extent cx="0" cy="479425"/>
                <wp:effectExtent l="12700" t="9525" r="6350" b="63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3B9A" id="Conector recto 2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6.4pt" to="2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UfiJgIAAEwEAAAOAAAAZHJzL2Uyb0RvYy54bWysVMuO2yAU3VfqPyDvEz/GySRWnFFlJ91M&#10;O5Fm+gEEcIyKAQGJE1X9916wkzbtpqoqS3DhHg7nPvDq6dwJdGLGciXLKJ0mEWKSKMrloYy+vG0n&#10;iwhZhyXFQklWRhdmo6f1+3erXhcsU60SlBkEJNIWvS6j1jldxLElLeuwnSrNJDgbZTrsYGkOMTW4&#10;B/ZOxFmSzONeGaqNIsxa2K0HZ7QO/E3DiHtpGsscEmUE2lwYTRj3fozXK1wcDNYtJ6MM/A8qOswl&#10;XHqjqrHD6Gj4H1QdJ0ZZ1bgpUV2smoYTFmKAaNLkt2heW6xZiAWSY/UtTfb/0ZLPp51BnJZRBpWS&#10;uIMaVVAp4pRBxk8IHJClXtsCwJXcGR8nOctX/azIV4ukqlosDyyofbtoYEj9ifjuiF9YDXft+0+K&#10;AgYfnQopOzem85SQDHQOlbncKsPODpFhk8Bu/rjMs1kgx8X1nDbWfWSqQ94oI8Glzxku8OnZOq8D&#10;F1eI35Zqy4UIdRcS9WU0f5gl4YBVglPv9DBrDvtKGHTC0Dlp5r/x3juYZ66xbQdccHkYLow6Shqs&#10;lmG6GW2HuRhsUCWkB0KIoHO0hp75tkyWm8VmkU/ybL6Z5EldTz5sq3wy36aPs/qhrqo6/e41p3nR&#10;ckqZ9LKv/Zvmf9cf40saOu/Wwbf8xPfsIZEg9joH0aHGvqxDg+wVveyMz7kvN7RsAI/Py7+JX9cB&#10;9fMnsP4BAAD//wMAUEsDBBQABgAIAAAAIQBABiCe2wAAAAcBAAAPAAAAZHJzL2Rvd25yZXYueG1s&#10;TI/BTsMwDIbvSLxDZCRuW7qKsarUnRDSxLFa4QG8xrSFxumabCs8PYELHG1/+v39xXa2gzrz5Hsn&#10;CKtlAoqlcaaXFuH1ZbfIQPlAYmhwwgif7GFbXl8VlBt3kT2f69CqGCI+J4QuhDHX2jcdW/JLN7LE&#10;25ubLIU4Tq02E11iuB10miT32lIv8UNHIz913HzUJ4tgs2r3dVf1yVxX78+rmo5Nvz8i3t7Mjw+g&#10;As/hD4Yf/agOZXQ6uJMYrwaEdbaOJMJik8YKEfhdHBDSDeiy0P/9y28AAAD//wMAUEsBAi0AFAAG&#10;AAgAAAAhALaDOJL+AAAA4QEAABMAAAAAAAAAAAAAAAAAAAAAAFtDb250ZW50X1R5cGVzXS54bWxQ&#10;SwECLQAUAAYACAAAACEAOP0h/9YAAACUAQAACwAAAAAAAAAAAAAAAAAvAQAAX3JlbHMvLnJlbHNQ&#10;SwECLQAUAAYACAAAACEArN1H4iYCAABMBAAADgAAAAAAAAAAAAAAAAAuAgAAZHJzL2Uyb0RvYy54&#10;bWxQSwECLQAUAAYACAAAACEAQAYgntsAAAAHAQAADwAAAAAAAAAAAAAAAACABAAAZHJzL2Rvd25y&#10;ZXYueG1sUEsFBgAAAAAEAAQA8wAAAIgFAAAAAA==&#10;" strokecolor="#121212" strokeweight=".5pt"/>
            </w:pict>
          </mc:Fallback>
        </mc:AlternateContent>
      </w:r>
    </w:p>
    <w:p w:rsidR="00CB1F00" w:rsidRDefault="00CB1F00" w:rsidP="00CB1F00">
      <w:pPr>
        <w:spacing w:line="386" w:lineRule="exact"/>
        <w:rPr>
          <w:rFonts w:ascii="Arial" w:eastAsia="Arial" w:hAnsi="Arial"/>
          <w:color w:val="121212"/>
          <w:sz w:val="22"/>
        </w:rPr>
      </w:pPr>
    </w:p>
    <w:p w:rsidR="00CB1F00" w:rsidRDefault="00CB1F00" w:rsidP="00CB1F00">
      <w:pPr>
        <w:spacing w:line="233" w:lineRule="auto"/>
        <w:ind w:left="660"/>
        <w:jc w:val="both"/>
        <w:rPr>
          <w:rFonts w:ascii="Arial" w:eastAsia="Arial" w:hAnsi="Arial"/>
          <w:color w:val="121212"/>
          <w:sz w:val="24"/>
        </w:rPr>
      </w:pPr>
      <w:proofErr w:type="gramStart"/>
      <w:r>
        <w:rPr>
          <w:rFonts w:ascii="Arial" w:eastAsia="Arial" w:hAnsi="Arial"/>
          <w:color w:val="121212"/>
          <w:sz w:val="24"/>
        </w:rPr>
        <w:t>deberá</w:t>
      </w:r>
      <w:proofErr w:type="gramEnd"/>
      <w:r>
        <w:rPr>
          <w:rFonts w:ascii="Arial" w:eastAsia="Arial" w:hAnsi="Arial"/>
          <w:color w:val="121212"/>
          <w:sz w:val="24"/>
        </w:rPr>
        <w:t xml:space="preserve"> pedirlo expresamente. De lo contrario, se le dará la esquela de citación al procurador de la parte proponente para que éste se encargue directamente de entregarla al testigo (art. 360).</w:t>
      </w:r>
    </w:p>
    <w:p w:rsidR="00CB1F00" w:rsidRDefault="00CB1F00" w:rsidP="00CB1F00">
      <w:pPr>
        <w:spacing w:line="236" w:lineRule="exact"/>
        <w:rPr>
          <w:rFonts w:ascii="Arial" w:eastAsia="Arial" w:hAnsi="Arial"/>
          <w:color w:val="121212"/>
          <w:sz w:val="22"/>
        </w:rPr>
      </w:pPr>
    </w:p>
    <w:p w:rsidR="00CB1F00" w:rsidRDefault="00CB1F00" w:rsidP="00CB1F00">
      <w:pPr>
        <w:tabs>
          <w:tab w:val="left" w:pos="640"/>
        </w:tabs>
        <w:spacing w:line="230" w:lineRule="auto"/>
        <w:ind w:left="660" w:hanging="566"/>
        <w:jc w:val="both"/>
        <w:rPr>
          <w:rFonts w:ascii="Arial" w:eastAsia="Arial" w:hAnsi="Arial"/>
          <w:color w:val="121212"/>
          <w:sz w:val="24"/>
        </w:rPr>
      </w:pPr>
      <w:r>
        <w:rPr>
          <w:rFonts w:ascii="Arial" w:eastAsia="Arial" w:hAnsi="Arial"/>
          <w:b/>
          <w:color w:val="121212"/>
          <w:sz w:val="24"/>
        </w:rPr>
        <w:t>2</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4"/>
        </w:rPr>
        <w:t>El art. 361 CPCM, prevé en relación con el número de testigos admisibles para declarar sobre un mismo hecho en el proceso, el facultar al juez para que pueda considerar superflua la proposición de más testigos cuando ya haya admitido la citación de un número suficiente de ellos. Número que la ley no concreta, sino que deja al responsable arbitrio del juzgador.</w:t>
      </w:r>
    </w:p>
    <w:p w:rsidR="00CB1F00" w:rsidRDefault="00CB1F00" w:rsidP="00CB1F00">
      <w:pPr>
        <w:spacing w:line="238" w:lineRule="exact"/>
        <w:rPr>
          <w:rFonts w:ascii="Arial" w:eastAsia="Arial" w:hAnsi="Arial"/>
          <w:color w:val="121212"/>
          <w:sz w:val="22"/>
        </w:rPr>
      </w:pPr>
    </w:p>
    <w:p w:rsidR="00CB1F00" w:rsidRDefault="00CB1F00" w:rsidP="00CB1F00">
      <w:pPr>
        <w:spacing w:line="254" w:lineRule="auto"/>
        <w:ind w:left="100"/>
        <w:jc w:val="both"/>
        <w:rPr>
          <w:rFonts w:ascii="Arial" w:eastAsia="Arial" w:hAnsi="Arial"/>
          <w:color w:val="121212"/>
          <w:sz w:val="23"/>
        </w:rPr>
      </w:pPr>
      <w:r>
        <w:rPr>
          <w:rFonts w:ascii="Arial" w:eastAsia="Arial" w:hAnsi="Arial"/>
          <w:color w:val="121212"/>
          <w:sz w:val="23"/>
        </w:rPr>
        <w:t>En este caso la inutilidad de la prueba se deriva de su aspecto estrictamente cuantitativo, pero para aplicar la restricción deberá cerciorarse la autoridad judicial:</w:t>
      </w:r>
    </w:p>
    <w:p w:rsidR="00CB1F00" w:rsidRDefault="00CB1F00" w:rsidP="00CB1F00">
      <w:pPr>
        <w:spacing w:line="220" w:lineRule="exact"/>
        <w:rPr>
          <w:rFonts w:ascii="Arial" w:eastAsia="Arial" w:hAnsi="Arial"/>
          <w:color w:val="121212"/>
          <w:sz w:val="22"/>
        </w:rPr>
      </w:pPr>
    </w:p>
    <w:p w:rsidR="00CB1F00" w:rsidRDefault="00CB1F00" w:rsidP="00CB1F00">
      <w:pPr>
        <w:numPr>
          <w:ilvl w:val="0"/>
          <w:numId w:val="1"/>
        </w:numPr>
        <w:tabs>
          <w:tab w:val="left" w:pos="660"/>
        </w:tabs>
        <w:spacing w:line="233" w:lineRule="auto"/>
        <w:ind w:left="660" w:hanging="566"/>
        <w:jc w:val="both"/>
        <w:rPr>
          <w:rFonts w:ascii="Arial" w:eastAsia="Arial" w:hAnsi="Arial"/>
          <w:b/>
          <w:color w:val="121212"/>
          <w:sz w:val="24"/>
        </w:rPr>
      </w:pPr>
      <w:r>
        <w:rPr>
          <w:rFonts w:ascii="Arial" w:eastAsia="Arial" w:hAnsi="Arial"/>
          <w:color w:val="121212"/>
          <w:sz w:val="24"/>
        </w:rPr>
        <w:t>Que los testigos a rechazar son propuestos por la misma parte a la que ya se han admitido otros, no a la parte contraria, pues si así fuera previsiblemente vienen a aportar versiones distintas del hecho;</w:t>
      </w:r>
    </w:p>
    <w:p w:rsidR="00CB1F00" w:rsidRDefault="00CB1F00" w:rsidP="00CB1F00">
      <w:pPr>
        <w:spacing w:line="236" w:lineRule="exact"/>
        <w:rPr>
          <w:rFonts w:ascii="Arial" w:eastAsia="Arial" w:hAnsi="Arial"/>
          <w:b/>
          <w:color w:val="121212"/>
          <w:sz w:val="24"/>
        </w:rPr>
      </w:pPr>
    </w:p>
    <w:p w:rsidR="00CB1F00" w:rsidRDefault="00CB1F00" w:rsidP="00CB1F00">
      <w:pPr>
        <w:numPr>
          <w:ilvl w:val="0"/>
          <w:numId w:val="1"/>
        </w:numPr>
        <w:tabs>
          <w:tab w:val="left" w:pos="660"/>
        </w:tabs>
        <w:spacing w:line="233" w:lineRule="auto"/>
        <w:ind w:left="660" w:hanging="566"/>
        <w:jc w:val="both"/>
        <w:rPr>
          <w:rFonts w:ascii="Arial" w:eastAsia="Arial" w:hAnsi="Arial"/>
          <w:b/>
          <w:color w:val="121212"/>
          <w:sz w:val="24"/>
        </w:rPr>
      </w:pPr>
      <w:r>
        <w:rPr>
          <w:rFonts w:ascii="Arial" w:eastAsia="Arial" w:hAnsi="Arial"/>
          <w:color w:val="121212"/>
          <w:sz w:val="24"/>
        </w:rPr>
        <w:t>Que realmente todos ellos vienen a declarar sobre el mismo extremo fáctico, y no resulta previsible que puedan aportar más información (en cuyo caso ya no sería superfluo);</w:t>
      </w:r>
    </w:p>
    <w:p w:rsidR="00CB1F00" w:rsidRDefault="00CB1F00" w:rsidP="00CB1F00">
      <w:pPr>
        <w:spacing w:line="236" w:lineRule="exact"/>
        <w:rPr>
          <w:rFonts w:ascii="Arial" w:eastAsia="Arial" w:hAnsi="Arial"/>
          <w:b/>
          <w:color w:val="121212"/>
          <w:sz w:val="24"/>
        </w:rPr>
      </w:pPr>
    </w:p>
    <w:p w:rsidR="00CB1F00" w:rsidRDefault="00CB1F00" w:rsidP="00CB1F00">
      <w:pPr>
        <w:numPr>
          <w:ilvl w:val="0"/>
          <w:numId w:val="1"/>
        </w:numPr>
        <w:tabs>
          <w:tab w:val="left" w:pos="660"/>
        </w:tabs>
        <w:spacing w:line="254" w:lineRule="auto"/>
        <w:ind w:left="660" w:hanging="566"/>
        <w:jc w:val="both"/>
        <w:rPr>
          <w:rFonts w:ascii="Arial" w:eastAsia="Arial" w:hAnsi="Arial"/>
          <w:b/>
          <w:color w:val="121212"/>
          <w:sz w:val="22"/>
        </w:rPr>
      </w:pPr>
      <w:r>
        <w:rPr>
          <w:rFonts w:ascii="Arial" w:eastAsia="Arial" w:hAnsi="Arial"/>
          <w:color w:val="121212"/>
          <w:sz w:val="22"/>
        </w:rPr>
        <w:t>Que los testigos ya admitidos, al menos a priori, no presentan tacha de incapacidad ni tampoco de parcialidad que pueda hacer poco creíble su testimonio, pues llegado el momento de la sentencia podría suceder que unos testigos no valieran por sus circunstancias personales, y otros que no estaban afectados de ninguna objeción, no pudieron declarar porque no se les dejó;</w:t>
      </w:r>
    </w:p>
    <w:p w:rsidR="00CB1F00" w:rsidRDefault="00CB1F00" w:rsidP="00CB1F00">
      <w:pPr>
        <w:spacing w:line="221" w:lineRule="exact"/>
        <w:rPr>
          <w:rFonts w:ascii="Arial" w:eastAsia="Arial" w:hAnsi="Arial"/>
          <w:b/>
          <w:color w:val="121212"/>
          <w:sz w:val="22"/>
        </w:rPr>
      </w:pPr>
    </w:p>
    <w:p w:rsidR="00CB1F00" w:rsidRDefault="00CB1F00" w:rsidP="00CB1F00">
      <w:pPr>
        <w:numPr>
          <w:ilvl w:val="0"/>
          <w:numId w:val="1"/>
        </w:numPr>
        <w:tabs>
          <w:tab w:val="left" w:pos="660"/>
        </w:tabs>
        <w:spacing w:line="228" w:lineRule="auto"/>
        <w:ind w:left="660" w:hanging="566"/>
        <w:jc w:val="both"/>
        <w:rPr>
          <w:rFonts w:ascii="Arial" w:eastAsia="Arial" w:hAnsi="Arial"/>
          <w:b/>
          <w:color w:val="121212"/>
          <w:sz w:val="24"/>
        </w:rPr>
      </w:pPr>
      <w:r>
        <w:rPr>
          <w:rFonts w:ascii="Arial" w:eastAsia="Arial" w:hAnsi="Arial"/>
          <w:color w:val="121212"/>
          <w:sz w:val="24"/>
        </w:rPr>
        <w:t>En todo caso, la aplicación de esta regla no debe suponer que el juez prejuzgue el fondo de la prueba, ni dé por probado ya el hecho, lo que sería adelantar un juicio propio de la sentencia: lo que la ley quiere decir al señalar que el juez podrá rechazar a más testigos por considerarse “suficientemente ilustrado” sobre el hecho, es que, en hipótesis, y si ese hecho fuese cierto, bastaría con acreditarlo con los testigos que ya se han admitido y que serán citados para que declaren al respecto. Nada más que eso. Por tanto, insistimos, sin prejuzgar la sentencia en ese punto.</w:t>
      </w:r>
    </w:p>
    <w:p w:rsidR="00CB1F00" w:rsidRDefault="00CB1F00" w:rsidP="00CB1F00">
      <w:pPr>
        <w:spacing w:line="242" w:lineRule="exact"/>
        <w:rPr>
          <w:rFonts w:ascii="Arial" w:eastAsia="Arial" w:hAnsi="Arial"/>
          <w:color w:val="121212"/>
          <w:sz w:val="22"/>
        </w:rPr>
      </w:pPr>
    </w:p>
    <w:p w:rsidR="00CB1F00" w:rsidRDefault="00CB1F00" w:rsidP="00CB1F00">
      <w:pPr>
        <w:tabs>
          <w:tab w:val="left" w:pos="640"/>
        </w:tabs>
        <w:spacing w:line="231" w:lineRule="auto"/>
        <w:ind w:left="660" w:hanging="566"/>
        <w:jc w:val="both"/>
        <w:rPr>
          <w:rFonts w:ascii="Arial" w:eastAsia="Arial" w:hAnsi="Arial"/>
          <w:color w:val="121212"/>
          <w:sz w:val="24"/>
        </w:rPr>
      </w:pPr>
      <w:r>
        <w:rPr>
          <w:rFonts w:ascii="Arial" w:eastAsia="Arial" w:hAnsi="Arial"/>
          <w:b/>
          <w:color w:val="121212"/>
          <w:sz w:val="24"/>
        </w:rPr>
        <w:t>3</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4"/>
        </w:rPr>
        <w:t>Se entiende además que la parte deberá dar una justificación acerca de la pertinencia y utilidad del testigo o testigos que propone, es decir, señalar de manera concreta por qué conocen los hechos y sobre qué extremos van a declarar.</w:t>
      </w:r>
    </w:p>
    <w:p w:rsidR="00CB1F00" w:rsidRDefault="00CB1F00" w:rsidP="00CB1F00">
      <w:pPr>
        <w:spacing w:line="237" w:lineRule="exact"/>
        <w:rPr>
          <w:rFonts w:ascii="Arial" w:eastAsia="Arial" w:hAnsi="Arial"/>
          <w:color w:val="121212"/>
          <w:sz w:val="22"/>
        </w:rPr>
      </w:pPr>
    </w:p>
    <w:p w:rsidR="00CB1F00" w:rsidRDefault="00CB1F00" w:rsidP="00CB1F00">
      <w:pPr>
        <w:tabs>
          <w:tab w:val="left" w:pos="640"/>
        </w:tabs>
        <w:spacing w:line="0" w:lineRule="atLeast"/>
        <w:ind w:left="100"/>
        <w:rPr>
          <w:rFonts w:ascii="Arial" w:eastAsia="Arial" w:hAnsi="Arial"/>
          <w:b/>
          <w:color w:val="121212"/>
          <w:sz w:val="22"/>
        </w:rPr>
      </w:pPr>
      <w:r>
        <w:rPr>
          <w:rFonts w:ascii="Arial" w:eastAsia="Arial" w:hAnsi="Arial"/>
          <w:b/>
          <w:color w:val="121212"/>
          <w:sz w:val="24"/>
        </w:rPr>
        <w:t>V.-</w:t>
      </w:r>
      <w:r>
        <w:rPr>
          <w:rFonts w:ascii="Times New Roman" w:eastAsia="Times New Roman" w:hAnsi="Times New Roman"/>
        </w:rPr>
        <w:tab/>
      </w:r>
      <w:r>
        <w:rPr>
          <w:rFonts w:ascii="Arial" w:eastAsia="Arial" w:hAnsi="Arial"/>
          <w:b/>
          <w:color w:val="121212"/>
          <w:sz w:val="22"/>
        </w:rPr>
        <w:t>Control de la prueba testifical</w:t>
      </w:r>
    </w:p>
    <w:p w:rsidR="00CB1F00" w:rsidRDefault="00CB1F00" w:rsidP="00CB1F00">
      <w:pPr>
        <w:spacing w:line="244" w:lineRule="exact"/>
        <w:rPr>
          <w:rFonts w:ascii="Arial" w:eastAsia="Arial" w:hAnsi="Arial"/>
          <w:color w:val="121212"/>
          <w:sz w:val="22"/>
        </w:rPr>
      </w:pPr>
    </w:p>
    <w:p w:rsidR="00CB1F00" w:rsidRDefault="00CB1F00" w:rsidP="00CB1F00">
      <w:pPr>
        <w:spacing w:line="0" w:lineRule="atLeast"/>
        <w:ind w:left="100"/>
        <w:rPr>
          <w:rFonts w:ascii="Arial" w:eastAsia="Arial" w:hAnsi="Arial"/>
          <w:color w:val="121212"/>
          <w:sz w:val="24"/>
        </w:rPr>
      </w:pPr>
      <w:r>
        <w:rPr>
          <w:rFonts w:ascii="Arial" w:eastAsia="Arial" w:hAnsi="Arial"/>
          <w:b/>
          <w:color w:val="121212"/>
          <w:sz w:val="24"/>
        </w:rPr>
        <w:t>1</w:t>
      </w:r>
      <w:r>
        <w:rPr>
          <w:rFonts w:ascii="Arial" w:eastAsia="Arial" w:hAnsi="Arial"/>
          <w:color w:val="121212"/>
          <w:sz w:val="24"/>
        </w:rPr>
        <w:t>.</w:t>
      </w:r>
    </w:p>
    <w:p w:rsidR="00CB1F00" w:rsidRDefault="00CB1F00" w:rsidP="00CB1F00">
      <w:pPr>
        <w:spacing w:line="0" w:lineRule="atLeast"/>
        <w:ind w:left="100"/>
        <w:rPr>
          <w:rFonts w:ascii="Arial" w:eastAsia="Arial" w:hAnsi="Arial"/>
          <w:color w:val="121212"/>
          <w:sz w:val="24"/>
        </w:rPr>
        <w:sectPr w:rsidR="00CB1F00">
          <w:pgSz w:w="10780" w:h="14173"/>
          <w:pgMar w:top="406" w:right="1132" w:bottom="1021" w:left="433" w:header="0" w:footer="0" w:gutter="0"/>
          <w:cols w:num="2" w:space="0" w:equalWidth="0">
            <w:col w:w="195" w:space="412"/>
            <w:col w:w="8600"/>
          </w:cols>
          <w:docGrid w:linePitch="360"/>
        </w:sectPr>
      </w:pPr>
    </w:p>
    <w:tbl>
      <w:tblPr>
        <w:tblW w:w="0" w:type="auto"/>
        <w:tblInd w:w="4520" w:type="dxa"/>
        <w:tblLayout w:type="fixed"/>
        <w:tblCellMar>
          <w:left w:w="0" w:type="dxa"/>
          <w:right w:w="0" w:type="dxa"/>
        </w:tblCellMar>
        <w:tblLook w:val="0000" w:firstRow="0" w:lastRow="0" w:firstColumn="0" w:lastColumn="0" w:noHBand="0" w:noVBand="0"/>
      </w:tblPr>
      <w:tblGrid>
        <w:gridCol w:w="3200"/>
        <w:gridCol w:w="600"/>
      </w:tblGrid>
      <w:tr w:rsidR="00CB1F00" w:rsidTr="000F66D3">
        <w:trPr>
          <w:trHeight w:val="736"/>
        </w:trPr>
        <w:tc>
          <w:tcPr>
            <w:tcW w:w="3200" w:type="dxa"/>
            <w:tcBorders>
              <w:right w:val="single" w:sz="8" w:space="0" w:color="121212"/>
            </w:tcBorders>
            <w:shd w:val="clear" w:color="auto" w:fill="auto"/>
            <w:vAlign w:val="bottom"/>
          </w:tcPr>
          <w:p w:rsidR="00CB1F00" w:rsidRDefault="00CB1F00" w:rsidP="000F66D3">
            <w:pPr>
              <w:spacing w:line="0" w:lineRule="atLeast"/>
              <w:rPr>
                <w:rFonts w:ascii="Arial" w:eastAsia="Arial" w:hAnsi="Arial"/>
                <w:color w:val="888A8A"/>
              </w:rPr>
            </w:pPr>
            <w:bookmarkStart w:id="8" w:name="page442"/>
            <w:bookmarkEnd w:id="8"/>
            <w:r>
              <w:rPr>
                <w:rFonts w:ascii="Arial" w:eastAsia="Arial" w:hAnsi="Arial"/>
                <w:color w:val="888A8A"/>
              </w:rPr>
              <w:lastRenderedPageBreak/>
              <w:t>Consejo Nacional de la Judicatura</w:t>
            </w:r>
          </w:p>
        </w:tc>
        <w:tc>
          <w:tcPr>
            <w:tcW w:w="600" w:type="dxa"/>
            <w:shd w:val="clear" w:color="auto" w:fill="auto"/>
            <w:vAlign w:val="bottom"/>
          </w:tcPr>
          <w:p w:rsidR="00CB1F00" w:rsidRDefault="00CB1F00" w:rsidP="000F66D3">
            <w:pPr>
              <w:spacing w:line="0" w:lineRule="atLeast"/>
              <w:jc w:val="right"/>
              <w:rPr>
                <w:rFonts w:ascii="Arial" w:eastAsia="Arial" w:hAnsi="Arial"/>
                <w:color w:val="121212"/>
                <w:sz w:val="28"/>
              </w:rPr>
            </w:pPr>
            <w:r>
              <w:rPr>
                <w:rFonts w:ascii="Arial" w:eastAsia="Arial" w:hAnsi="Arial"/>
                <w:color w:val="121212"/>
                <w:sz w:val="28"/>
              </w:rPr>
              <w:t>407</w:t>
            </w:r>
          </w:p>
        </w:tc>
      </w:tr>
    </w:tbl>
    <w:p w:rsidR="00CB1F00" w:rsidRDefault="00CB1F00" w:rsidP="00CB1F00">
      <w:pPr>
        <w:spacing w:line="378" w:lineRule="exact"/>
        <w:rPr>
          <w:rFonts w:ascii="Times New Roman" w:eastAsia="Times New Roman" w:hAnsi="Times New Roman"/>
        </w:rPr>
      </w:pPr>
    </w:p>
    <w:p w:rsidR="00CB1F00" w:rsidRDefault="00CB1F00" w:rsidP="00CB1F00">
      <w:pPr>
        <w:spacing w:line="0" w:lineRule="atLeast"/>
        <w:ind w:left="260" w:right="120"/>
        <w:jc w:val="both"/>
        <w:rPr>
          <w:rFonts w:ascii="Arial" w:eastAsia="Arial" w:hAnsi="Arial"/>
          <w:color w:val="121212"/>
          <w:sz w:val="23"/>
        </w:rPr>
      </w:pPr>
      <w:proofErr w:type="gramStart"/>
      <w:r>
        <w:rPr>
          <w:rFonts w:ascii="Arial" w:eastAsia="Arial" w:hAnsi="Arial"/>
          <w:color w:val="121212"/>
          <w:sz w:val="23"/>
        </w:rPr>
        <w:t>preguntas</w:t>
      </w:r>
      <w:proofErr w:type="gramEnd"/>
      <w:r>
        <w:rPr>
          <w:rFonts w:ascii="Arial" w:eastAsia="Arial" w:hAnsi="Arial"/>
          <w:color w:val="121212"/>
          <w:sz w:val="23"/>
        </w:rPr>
        <w:t xml:space="preserve"> que resulte impertinente o irrelevante (inútil) conforme las normas generales (arts. 318-319), así como excluirá la que aparezca como ilícita (art. 316). En este momento no se controla el contenido del interrogatorio, sino que al igual que sucedía con la prueba de declaración de parte, éste se efectúa en el mismo momento en que se celebra su práctica.</w:t>
      </w:r>
    </w:p>
    <w:p w:rsidR="00CB1F00" w:rsidRDefault="00CB1F00" w:rsidP="00CB1F00">
      <w:pPr>
        <w:spacing w:line="237" w:lineRule="exact"/>
        <w:rPr>
          <w:rFonts w:ascii="Times New Roman" w:eastAsia="Times New Roman" w:hAnsi="Times New Roman"/>
        </w:rPr>
      </w:pPr>
    </w:p>
    <w:p w:rsidR="00CB1F00" w:rsidRDefault="00CB1F00" w:rsidP="00CB1F00">
      <w:pPr>
        <w:tabs>
          <w:tab w:val="left" w:pos="240"/>
        </w:tabs>
        <w:spacing w:line="252" w:lineRule="auto"/>
        <w:ind w:left="260" w:right="120" w:hanging="566"/>
        <w:jc w:val="both"/>
        <w:rPr>
          <w:rFonts w:ascii="Arial" w:eastAsia="Arial" w:hAnsi="Arial"/>
          <w:color w:val="121212"/>
          <w:sz w:val="22"/>
        </w:rPr>
      </w:pPr>
      <w:r>
        <w:rPr>
          <w:rFonts w:ascii="Arial" w:eastAsia="Arial" w:hAnsi="Arial"/>
          <w:b/>
          <w:color w:val="121212"/>
          <w:sz w:val="24"/>
        </w:rPr>
        <w:t>2</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2"/>
        </w:rPr>
        <w:t>Al margen de la actividad de oficio, también la parte contraria a la que propone la testifical dispone de margen no sólo para atacar la credibilidad de quien deponga mediante las correspondientes preguntas del contrainterrogatorio al que luego nos referiremos, sino ya antes mediante el derecho de proponer prueba, dirigida a restar o eliminar su credibilidad. A estos efectos, el art. 356 CPCM determina que esa prueba impugnativa puede concernir:</w:t>
      </w:r>
    </w:p>
    <w:p w:rsidR="00CB1F00" w:rsidRDefault="00CB1F00" w:rsidP="00CB1F00">
      <w:pPr>
        <w:spacing w:line="223" w:lineRule="exact"/>
        <w:rPr>
          <w:rFonts w:ascii="Times New Roman" w:eastAsia="Times New Roman" w:hAnsi="Times New Roman"/>
        </w:rPr>
      </w:pPr>
    </w:p>
    <w:p w:rsidR="00CB1F00" w:rsidRDefault="00CB1F00" w:rsidP="00CB1F00">
      <w:pPr>
        <w:numPr>
          <w:ilvl w:val="0"/>
          <w:numId w:val="1"/>
        </w:numPr>
        <w:tabs>
          <w:tab w:val="left" w:pos="820"/>
        </w:tabs>
        <w:spacing w:line="229" w:lineRule="auto"/>
        <w:ind w:left="820" w:right="120" w:hanging="559"/>
        <w:jc w:val="both"/>
        <w:rPr>
          <w:rFonts w:ascii="Arial" w:eastAsia="Arial" w:hAnsi="Arial"/>
          <w:b/>
          <w:color w:val="121212"/>
          <w:sz w:val="24"/>
        </w:rPr>
      </w:pPr>
      <w:r>
        <w:rPr>
          <w:rFonts w:ascii="Arial" w:eastAsia="Arial" w:hAnsi="Arial"/>
          <w:b/>
          <w:i/>
          <w:color w:val="121212"/>
          <w:sz w:val="24"/>
        </w:rPr>
        <w:t>“Al comportamiento del testigo mientras declara o a la forma en que lo hace”</w:t>
      </w:r>
      <w:r>
        <w:rPr>
          <w:rFonts w:ascii="Arial" w:eastAsia="Arial" w:hAnsi="Arial"/>
          <w:color w:val="121212"/>
          <w:sz w:val="24"/>
        </w:rPr>
        <w:t>. Este primer supuesto parece ir dirigido más bien al</w:t>
      </w:r>
      <w:r>
        <w:rPr>
          <w:rFonts w:ascii="Arial" w:eastAsia="Arial" w:hAnsi="Arial"/>
          <w:b/>
          <w:i/>
          <w:color w:val="121212"/>
          <w:sz w:val="24"/>
        </w:rPr>
        <w:t xml:space="preserve"> </w:t>
      </w:r>
      <w:r>
        <w:rPr>
          <w:rFonts w:ascii="Arial" w:eastAsia="Arial" w:hAnsi="Arial"/>
          <w:color w:val="121212"/>
          <w:sz w:val="24"/>
        </w:rPr>
        <w:t>contrainterrogatorio, pues antes del acto de prueba no es posible saber qué actitud adoptará el testigo cuando se siente frente al juez y deba responder las preguntas que se le hagan (y que antes de ese momento, desconoce) y porque, por eso mismo, no se trata de pedir prueba sino de advertir al juez de ello, en todo caso.</w:t>
      </w:r>
    </w:p>
    <w:p w:rsidR="00CB1F00" w:rsidRDefault="00CB1F00" w:rsidP="00CB1F00">
      <w:pPr>
        <w:spacing w:line="238" w:lineRule="exact"/>
        <w:rPr>
          <w:rFonts w:ascii="Arial" w:eastAsia="Arial" w:hAnsi="Arial"/>
          <w:b/>
          <w:color w:val="121212"/>
          <w:sz w:val="24"/>
        </w:rPr>
      </w:pPr>
    </w:p>
    <w:p w:rsidR="00CB1F00" w:rsidRDefault="00CB1F00" w:rsidP="00CB1F00">
      <w:pPr>
        <w:numPr>
          <w:ilvl w:val="0"/>
          <w:numId w:val="1"/>
        </w:numPr>
        <w:tabs>
          <w:tab w:val="left" w:pos="820"/>
        </w:tabs>
        <w:spacing w:line="239" w:lineRule="auto"/>
        <w:ind w:left="820" w:right="120" w:hanging="559"/>
        <w:jc w:val="both"/>
        <w:rPr>
          <w:rFonts w:ascii="Arial" w:eastAsia="Arial" w:hAnsi="Arial"/>
          <w:b/>
          <w:color w:val="121212"/>
          <w:sz w:val="23"/>
        </w:rPr>
      </w:pPr>
      <w:r>
        <w:rPr>
          <w:rFonts w:ascii="Arial" w:eastAsia="Arial" w:hAnsi="Arial"/>
          <w:b/>
          <w:color w:val="121212"/>
          <w:sz w:val="23"/>
        </w:rPr>
        <w:t>“A la naturaleza o carácter del testimonio”</w:t>
      </w:r>
      <w:r>
        <w:rPr>
          <w:rFonts w:ascii="Arial" w:eastAsia="Arial" w:hAnsi="Arial"/>
          <w:color w:val="121212"/>
          <w:sz w:val="23"/>
        </w:rPr>
        <w:t>. La frase legal debe</w:t>
      </w:r>
      <w:r>
        <w:rPr>
          <w:rFonts w:ascii="Arial" w:eastAsia="Arial" w:hAnsi="Arial"/>
          <w:b/>
          <w:color w:val="121212"/>
          <w:sz w:val="23"/>
        </w:rPr>
        <w:t xml:space="preserve"> </w:t>
      </w:r>
      <w:r>
        <w:rPr>
          <w:rFonts w:ascii="Arial" w:eastAsia="Arial" w:hAnsi="Arial"/>
          <w:color w:val="121212"/>
          <w:sz w:val="23"/>
        </w:rPr>
        <w:t>entenderse, en primer lugar, en el sentido de que se solicite prueba para demostrar que el testigo no conoce los hechos de manera directa y personal –como debería-, sino por referencia de tercero, lo que lo haría ineficaz. Pero también cabe aquí pensar en aquella otra prueba, que puede serlo perfectamente también testifical, por la que se acredite que el testigo no estaba en el lugar de los hechos cuando éstos sucedieron.</w:t>
      </w:r>
    </w:p>
    <w:p w:rsidR="00CB1F00" w:rsidRDefault="00CB1F00" w:rsidP="00CB1F00">
      <w:pPr>
        <w:spacing w:line="235" w:lineRule="exact"/>
        <w:rPr>
          <w:rFonts w:ascii="Arial" w:eastAsia="Arial" w:hAnsi="Arial"/>
          <w:b/>
          <w:color w:val="121212"/>
          <w:sz w:val="23"/>
        </w:rPr>
      </w:pPr>
    </w:p>
    <w:p w:rsidR="00CB1F00" w:rsidRDefault="00CB1F00" w:rsidP="00CB1F00">
      <w:pPr>
        <w:numPr>
          <w:ilvl w:val="0"/>
          <w:numId w:val="1"/>
        </w:numPr>
        <w:tabs>
          <w:tab w:val="left" w:pos="820"/>
        </w:tabs>
        <w:spacing w:line="228" w:lineRule="auto"/>
        <w:ind w:left="820" w:right="120" w:hanging="559"/>
        <w:jc w:val="both"/>
        <w:rPr>
          <w:rFonts w:ascii="Arial" w:eastAsia="Arial" w:hAnsi="Arial"/>
          <w:b/>
          <w:color w:val="121212"/>
          <w:sz w:val="24"/>
        </w:rPr>
      </w:pPr>
      <w:r>
        <w:rPr>
          <w:rFonts w:ascii="Arial" w:eastAsia="Arial" w:hAnsi="Arial"/>
          <w:b/>
          <w:color w:val="121212"/>
          <w:sz w:val="24"/>
        </w:rPr>
        <w:t>“En el grado de capacidad del testigo para percibir, recordar o comunicar los hechos sobre los que declara”</w:t>
      </w:r>
      <w:r>
        <w:rPr>
          <w:rFonts w:ascii="Arial" w:eastAsia="Arial" w:hAnsi="Arial"/>
          <w:color w:val="121212"/>
          <w:sz w:val="24"/>
        </w:rPr>
        <w:t>. Una solicitud de prueba</w:t>
      </w:r>
      <w:r>
        <w:rPr>
          <w:rFonts w:ascii="Arial" w:eastAsia="Arial" w:hAnsi="Arial"/>
          <w:b/>
          <w:color w:val="121212"/>
          <w:sz w:val="24"/>
        </w:rPr>
        <w:t xml:space="preserve"> </w:t>
      </w:r>
      <w:r>
        <w:rPr>
          <w:rFonts w:ascii="Arial" w:eastAsia="Arial" w:hAnsi="Arial"/>
          <w:color w:val="121212"/>
          <w:sz w:val="24"/>
        </w:rPr>
        <w:t>sobre tal extremo parece que tendría que serlo médico-pericial, pues las eventualidades que describe (incapacidad de percepción, recuerdo y comunicación) no tienen que ver con las condiciones concretas en las que se dice percibidos los hechos, sino con una incapacidad genérica para aprehenderlos o transmitirlos; o en razón de una minusvalía parcial de la persona.</w:t>
      </w:r>
    </w:p>
    <w:p w:rsidR="00CB1F00" w:rsidRDefault="00CB1F00" w:rsidP="00CB1F00">
      <w:pPr>
        <w:spacing w:line="242" w:lineRule="exact"/>
        <w:rPr>
          <w:rFonts w:ascii="Arial" w:eastAsia="Arial" w:hAnsi="Arial"/>
          <w:b/>
          <w:color w:val="121212"/>
          <w:sz w:val="24"/>
        </w:rPr>
      </w:pPr>
    </w:p>
    <w:p w:rsidR="00CB1F00" w:rsidRDefault="00CB1F00" w:rsidP="00CB1F00">
      <w:pPr>
        <w:numPr>
          <w:ilvl w:val="0"/>
          <w:numId w:val="1"/>
        </w:numPr>
        <w:tabs>
          <w:tab w:val="left" w:pos="820"/>
        </w:tabs>
        <w:spacing w:line="239" w:lineRule="auto"/>
        <w:ind w:left="820" w:right="120" w:hanging="559"/>
        <w:jc w:val="both"/>
        <w:rPr>
          <w:rFonts w:ascii="Arial" w:eastAsia="Arial" w:hAnsi="Arial"/>
          <w:b/>
          <w:color w:val="121212"/>
          <w:sz w:val="23"/>
        </w:rPr>
      </w:pPr>
      <w:r>
        <w:rPr>
          <w:rFonts w:ascii="Arial" w:eastAsia="Arial" w:hAnsi="Arial"/>
          <w:b/>
          <w:color w:val="121212"/>
          <w:sz w:val="23"/>
        </w:rPr>
        <w:t>“En la existencia de cualquier prejuicio, interés u otro motivo de parcialidad que pudiera afectar el testimonio”</w:t>
      </w:r>
      <w:r>
        <w:rPr>
          <w:rFonts w:ascii="Arial" w:eastAsia="Arial" w:hAnsi="Arial"/>
          <w:color w:val="121212"/>
          <w:sz w:val="23"/>
        </w:rPr>
        <w:t>. Existen causas de</w:t>
      </w:r>
      <w:r>
        <w:rPr>
          <w:rFonts w:ascii="Arial" w:eastAsia="Arial" w:hAnsi="Arial"/>
          <w:b/>
          <w:color w:val="121212"/>
          <w:sz w:val="23"/>
        </w:rPr>
        <w:t xml:space="preserve"> </w:t>
      </w:r>
      <w:r>
        <w:rPr>
          <w:rFonts w:ascii="Arial" w:eastAsia="Arial" w:hAnsi="Arial"/>
          <w:color w:val="121212"/>
          <w:sz w:val="23"/>
        </w:rPr>
        <w:t>parcialidad como el parentesco, fácilmente demostrables por vía documental (registro civil); en cambio otras son más bien de índole subjetiva y presentan mayor grado de dificultad probatoria (amistad o enemistad con alguna de las partes, interés en las resultas del pleito); son demostrables generalmente a través de testificales, o por vía de</w:t>
      </w:r>
    </w:p>
    <w:p w:rsidR="00CB1F00" w:rsidRDefault="00CB1F00" w:rsidP="00CB1F00">
      <w:pPr>
        <w:spacing w:line="200" w:lineRule="exact"/>
        <w:rPr>
          <w:rFonts w:ascii="Times New Roman" w:eastAsia="Times New Roman" w:hAnsi="Times New Roman"/>
        </w:rPr>
      </w:pPr>
      <w:r>
        <w:rPr>
          <w:rFonts w:ascii="Arial" w:eastAsia="Arial" w:hAnsi="Arial"/>
          <w:b/>
          <w:color w:val="121212"/>
          <w:sz w:val="23"/>
        </w:rPr>
        <w:br w:type="column"/>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1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4"/>
      </w:tblGrid>
      <w:tr w:rsidR="00CB1F00" w:rsidTr="000F66D3">
        <w:trPr>
          <w:trHeight w:val="1940"/>
        </w:trPr>
        <w:tc>
          <w:tcPr>
            <w:tcW w:w="264" w:type="dxa"/>
            <w:shd w:val="clear" w:color="auto" w:fill="auto"/>
            <w:textDirection w:val="btLr"/>
            <w:vAlign w:val="bottom"/>
          </w:tcPr>
          <w:p w:rsidR="00CB1F00" w:rsidRDefault="00CB1F00" w:rsidP="000F66D3">
            <w:pPr>
              <w:spacing w:line="0" w:lineRule="atLeast"/>
              <w:rPr>
                <w:rFonts w:ascii="Arial" w:eastAsia="Arial" w:hAnsi="Arial"/>
                <w:b/>
                <w:color w:val="FFFFFF"/>
                <w:sz w:val="23"/>
              </w:rPr>
            </w:pPr>
            <w:r>
              <w:rPr>
                <w:rFonts w:ascii="Arial" w:eastAsia="Arial" w:hAnsi="Arial"/>
                <w:color w:val="FFFFFF"/>
                <w:sz w:val="23"/>
              </w:rPr>
              <w:t xml:space="preserve">LIBRO </w:t>
            </w:r>
            <w:r>
              <w:rPr>
                <w:rFonts w:ascii="Arial" w:eastAsia="Arial" w:hAnsi="Arial"/>
                <w:b/>
                <w:color w:val="FFFFFF"/>
                <w:sz w:val="23"/>
              </w:rPr>
              <w:t>SEGUNDO</w:t>
            </w:r>
          </w:p>
        </w:tc>
      </w:tr>
    </w:tbl>
    <w:p w:rsidR="00CB1F00" w:rsidRDefault="00CB1F00" w:rsidP="00CB1F00">
      <w:pPr>
        <w:spacing w:line="20" w:lineRule="exact"/>
        <w:rPr>
          <w:rFonts w:ascii="Times New Roman" w:eastAsia="Times New Roman" w:hAnsi="Times New Roman"/>
        </w:rPr>
      </w:pPr>
      <w:r>
        <w:rPr>
          <w:rFonts w:ascii="Arial" w:eastAsia="Arial" w:hAnsi="Arial"/>
          <w:b/>
          <w:noProof/>
          <w:color w:val="FFFFFF"/>
          <w:sz w:val="23"/>
        </w:rPr>
        <w:drawing>
          <wp:anchor distT="0" distB="0" distL="114300" distR="114300" simplePos="0" relativeHeight="251677696" behindDoc="1" locked="0" layoutInCell="1" allowOverlap="1">
            <wp:simplePos x="0" y="0"/>
            <wp:positionH relativeFrom="column">
              <wp:posOffset>-49530</wp:posOffset>
            </wp:positionH>
            <wp:positionV relativeFrom="paragraph">
              <wp:posOffset>-1355090</wp:posOffset>
            </wp:positionV>
            <wp:extent cx="419735" cy="1465580"/>
            <wp:effectExtent l="0" t="0" r="0" b="127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35"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spacing w:line="20" w:lineRule="exact"/>
        <w:rPr>
          <w:rFonts w:ascii="Times New Roman" w:eastAsia="Times New Roman" w:hAnsi="Times New Roman"/>
        </w:rPr>
        <w:sectPr w:rsidR="00CB1F00">
          <w:pgSz w:w="10780" w:h="14173"/>
          <w:pgMar w:top="20" w:right="317" w:bottom="754" w:left="1440" w:header="0" w:footer="0" w:gutter="0"/>
          <w:cols w:num="2" w:space="0" w:equalWidth="0">
            <w:col w:w="8320" w:space="430"/>
            <w:col w:w="264"/>
          </w:cols>
          <w:docGrid w:linePitch="360"/>
        </w:sectPr>
      </w:pPr>
    </w:p>
    <w:p w:rsidR="00CB1F00" w:rsidRDefault="00CB1F00" w:rsidP="00CB1F00">
      <w:pPr>
        <w:spacing w:line="200" w:lineRule="exact"/>
        <w:rPr>
          <w:rFonts w:ascii="Times New Roman" w:eastAsia="Times New Roman" w:hAnsi="Times New Roman"/>
        </w:rPr>
      </w:pPr>
      <w:bookmarkStart w:id="9" w:name="page443"/>
      <w:bookmarkEnd w:id="9"/>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5"/>
      </w:tblGrid>
      <w:tr w:rsidR="00CB1F00" w:rsidTr="000F66D3">
        <w:trPr>
          <w:trHeight w:val="1440"/>
        </w:trPr>
        <w:tc>
          <w:tcPr>
            <w:tcW w:w="195" w:type="dxa"/>
            <w:shd w:val="clear" w:color="auto" w:fill="auto"/>
            <w:textDirection w:val="tbRl"/>
            <w:vAlign w:val="bottom"/>
          </w:tcPr>
          <w:p w:rsidR="00CB1F00" w:rsidRDefault="00CB1F00" w:rsidP="000F66D3">
            <w:pPr>
              <w:spacing w:line="0" w:lineRule="atLeast"/>
              <w:rPr>
                <w:rFonts w:ascii="Arial" w:eastAsia="Arial" w:hAnsi="Arial"/>
                <w:color w:val="FFFFFF"/>
                <w:sz w:val="17"/>
              </w:rPr>
            </w:pPr>
            <w:r>
              <w:rPr>
                <w:rFonts w:ascii="Arial" w:eastAsia="Arial" w:hAnsi="Arial"/>
                <w:b/>
                <w:color w:val="FFFFFF"/>
                <w:sz w:val="17"/>
              </w:rPr>
              <w:t>SEGUNDO</w:t>
            </w:r>
            <w:r>
              <w:rPr>
                <w:rFonts w:ascii="Arial" w:eastAsia="Arial" w:hAnsi="Arial"/>
                <w:color w:val="FFFFFF"/>
                <w:sz w:val="17"/>
              </w:rPr>
              <w:t>LIBRO</w:t>
            </w:r>
          </w:p>
        </w:tc>
      </w:tr>
    </w:tbl>
    <w:p w:rsidR="00CB1F00" w:rsidRDefault="00CB1F00" w:rsidP="00CB1F00">
      <w:pPr>
        <w:spacing w:line="20" w:lineRule="exact"/>
        <w:rPr>
          <w:rFonts w:ascii="Times New Roman" w:eastAsia="Times New Roman" w:hAnsi="Times New Roman"/>
        </w:rPr>
      </w:pPr>
      <w:r>
        <w:rPr>
          <w:rFonts w:ascii="Arial" w:eastAsia="Arial" w:hAnsi="Arial"/>
          <w:noProof/>
          <w:color w:val="FFFFFF"/>
          <w:sz w:val="17"/>
        </w:rPr>
        <w:drawing>
          <wp:anchor distT="0" distB="0" distL="114300" distR="114300" simplePos="0" relativeHeight="251678720" behindDoc="1" locked="0" layoutInCell="1" allowOverlap="1">
            <wp:simplePos x="0" y="0"/>
            <wp:positionH relativeFrom="column">
              <wp:posOffset>-274320</wp:posOffset>
            </wp:positionH>
            <wp:positionV relativeFrom="paragraph">
              <wp:posOffset>-554990</wp:posOffset>
            </wp:positionV>
            <wp:extent cx="435610" cy="1465580"/>
            <wp:effectExtent l="0" t="0" r="2540" b="127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tabs>
          <w:tab w:val="left" w:pos="680"/>
        </w:tabs>
        <w:spacing w:line="0" w:lineRule="atLeast"/>
        <w:rPr>
          <w:rFonts w:ascii="Arial" w:eastAsia="Arial" w:hAnsi="Arial"/>
          <w:color w:val="888A8A"/>
          <w:sz w:val="19"/>
        </w:rPr>
      </w:pPr>
      <w:r>
        <w:rPr>
          <w:rFonts w:ascii="Times New Roman" w:eastAsia="Times New Roman" w:hAnsi="Times New Roman"/>
        </w:rPr>
        <w:br w:type="column"/>
      </w:r>
      <w:r>
        <w:rPr>
          <w:rFonts w:ascii="Arial" w:eastAsia="Arial" w:hAnsi="Arial"/>
          <w:color w:val="121212"/>
          <w:sz w:val="28"/>
        </w:rPr>
        <w:t>408</w:t>
      </w:r>
      <w:r>
        <w:rPr>
          <w:rFonts w:ascii="Times New Roman" w:eastAsia="Times New Roman" w:hAnsi="Times New Roman"/>
        </w:rPr>
        <w:tab/>
      </w:r>
      <w:r>
        <w:rPr>
          <w:rFonts w:ascii="Arial" w:eastAsia="Arial" w:hAnsi="Arial"/>
          <w:color w:val="888A8A"/>
          <w:sz w:val="19"/>
        </w:rPr>
        <w:t>Código Procesal Civil y Mercantil Comentado</w:t>
      </w:r>
    </w:p>
    <w:p w:rsidR="00CB1F00" w:rsidRDefault="00CB1F00" w:rsidP="00CB1F00">
      <w:pPr>
        <w:spacing w:line="20" w:lineRule="exact"/>
        <w:rPr>
          <w:rFonts w:ascii="Times New Roman" w:eastAsia="Times New Roman" w:hAnsi="Times New Roman"/>
        </w:rPr>
      </w:pPr>
      <w:r>
        <w:rPr>
          <w:rFonts w:ascii="Arial" w:eastAsia="Arial" w:hAnsi="Arial"/>
          <w:noProof/>
          <w:color w:val="888A8A"/>
          <w:sz w:val="19"/>
        </w:rPr>
        <mc:AlternateContent>
          <mc:Choice Requires="wps">
            <w:drawing>
              <wp:anchor distT="0" distB="0" distL="114300" distR="114300" simplePos="0" relativeHeight="251679744" behindDoc="1" locked="0" layoutInCell="1" allowOverlap="1">
                <wp:simplePos x="0" y="0"/>
                <wp:positionH relativeFrom="column">
                  <wp:posOffset>371475</wp:posOffset>
                </wp:positionH>
                <wp:positionV relativeFrom="paragraph">
                  <wp:posOffset>-462280</wp:posOffset>
                </wp:positionV>
                <wp:extent cx="0" cy="479425"/>
                <wp:effectExtent l="12700" t="9525" r="6350" b="635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38255" id="Conector recto 2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6.4pt" to="2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P/4JQIAAEwEAAAOAAAAZHJzL2Uyb0RvYy54bWysVMGO2yAQvVfqPyDuie2sk02sOKvKTnrZ&#10;diPt9gMI4BgVAwISJ6r67x1wEmXbS1VVlmBghsebmYeXT6dOoiO3TmhV4mycYsQV1UyofYm/vW1G&#10;c4ycJ4oRqRUv8Zk7/LT6+GHZm4JPdKsl4xYBiHJFb0rcem+KJHG05R1xY224AmejbUc8LO0+YZb0&#10;gN7JZJKms6TXlhmrKXcOduvBiVcRv2k49S9N47hHssTAzcfRxnEXxmS1JMXeEtMKeqFB/oFFR4SC&#10;S29QNfEEHaz4A6oT1GqnGz+mukt00wjKYw6QTZb+ls1rSwyPuUBxnLmVyf0/WPr1uLVIsBJPphgp&#10;0kGPKugU9doiGyYEDqhSb1wBwZXa2pAnPalX86zpd4eUrlqi9jyyfTsbQMjCieTdkbBwBu7a9V80&#10;gxhy8DqW7NTYLkBCMdApduZ86ww/eUSHTQq7+eMiH+gkpLieM9b5z1x3KBgllkKFmpGCHJ+dDzxI&#10;cQ0J20pvhJSx71KhvsSzh2kaDzgtBQvOEObsfldJi44ElJNNwheTAs99WECuiWuHuOgaNGX1QbF4&#10;S8sJW19sT4QcbGAlVbgIUgSeF2vQzI9FuljP1/N8lE9m61Ge1vXo06bKR7NN9jitH+qqqrOfgXOW&#10;F61gjKtA+6rfLP87fVxe0qC8m4Jv9Uneo8dCAtnrHEnHHoe2DgLZaXbe2mvvQbIx+PK8wpu4X4N9&#10;/xNY/QIAAP//AwBQSwMEFAAGAAgAAAAhAEAGIJ7bAAAABwEAAA8AAABkcnMvZG93bnJldi54bWxM&#10;j8FOwzAMhu9IvENkJG5buoqxqtSdENLEsVrhAbzGtIXG6ZpsKzw9gQscbX/6/f3FdraDOvPkeycI&#10;q2UCiqVxppcW4fVlt8hA+UBiaHDCCJ/sYVteXxWUG3eRPZ/r0KoYIj4nhC6EMdfaNx1b8ks3ssTb&#10;m5sshThOrTYTXWK4HXSaJPfaUi/xQ0cjP3XcfNQni2Czavd1V/XJXFfvz6uajk2/PyLe3syPD6AC&#10;z+EPhh/9qA5ldDq4kxivBoR1to4kwmKTxgoR+F0cENIN6LLQ//3LbwAAAP//AwBQSwECLQAUAAYA&#10;CAAAACEAtoM4kv4AAADhAQAAEwAAAAAAAAAAAAAAAAAAAAAAW0NvbnRlbnRfVHlwZXNdLnhtbFBL&#10;AQItABQABgAIAAAAIQA4/SH/1gAAAJQBAAALAAAAAAAAAAAAAAAAAC8BAABfcmVscy8ucmVsc1BL&#10;AQItABQABgAIAAAAIQATuP/4JQIAAEwEAAAOAAAAAAAAAAAAAAAAAC4CAABkcnMvZTJvRG9jLnht&#10;bFBLAQItABQABgAIAAAAIQBABiCe2wAAAAcBAAAPAAAAAAAAAAAAAAAAAH8EAABkcnMvZG93bnJl&#10;di54bWxQSwUGAAAAAAQABADzAAAAhwUAAAAA&#10;" strokecolor="#121212" strokeweight=".5pt"/>
            </w:pict>
          </mc:Fallback>
        </mc:AlternateContent>
      </w:r>
    </w:p>
    <w:p w:rsidR="00CB1F00" w:rsidRDefault="00CB1F00" w:rsidP="00CB1F00">
      <w:pPr>
        <w:spacing w:line="386" w:lineRule="exact"/>
        <w:rPr>
          <w:rFonts w:ascii="Times New Roman" w:eastAsia="Times New Roman" w:hAnsi="Times New Roman"/>
        </w:rPr>
      </w:pPr>
    </w:p>
    <w:p w:rsidR="00CB1F00" w:rsidRDefault="00CB1F00" w:rsidP="00CB1F00">
      <w:pPr>
        <w:spacing w:line="233" w:lineRule="auto"/>
        <w:ind w:left="1220"/>
        <w:jc w:val="both"/>
        <w:rPr>
          <w:rFonts w:ascii="Arial" w:eastAsia="Arial" w:hAnsi="Arial"/>
          <w:color w:val="121212"/>
          <w:sz w:val="24"/>
        </w:rPr>
      </w:pPr>
      <w:proofErr w:type="gramStart"/>
      <w:r>
        <w:rPr>
          <w:rFonts w:ascii="Arial" w:eastAsia="Arial" w:hAnsi="Arial"/>
          <w:color w:val="121212"/>
          <w:sz w:val="24"/>
        </w:rPr>
        <w:t>presunciones</w:t>
      </w:r>
      <w:proofErr w:type="gramEnd"/>
      <w:r>
        <w:rPr>
          <w:rFonts w:ascii="Arial" w:eastAsia="Arial" w:hAnsi="Arial"/>
          <w:color w:val="121212"/>
          <w:sz w:val="24"/>
        </w:rPr>
        <w:t xml:space="preserve"> </w:t>
      </w:r>
      <w:proofErr w:type="spellStart"/>
      <w:r>
        <w:rPr>
          <w:rFonts w:ascii="Arial" w:eastAsia="Arial" w:hAnsi="Arial"/>
          <w:color w:val="121212"/>
          <w:sz w:val="24"/>
        </w:rPr>
        <w:t>hominis</w:t>
      </w:r>
      <w:proofErr w:type="spellEnd"/>
      <w:r>
        <w:rPr>
          <w:rFonts w:ascii="Arial" w:eastAsia="Arial" w:hAnsi="Arial"/>
          <w:color w:val="121212"/>
          <w:sz w:val="24"/>
        </w:rPr>
        <w:t xml:space="preserve"> (actos del sujeto anteriores o posteriores a los hechos controvertidos, de los que se deduce ese ánimo afectivo o ese interés).</w:t>
      </w:r>
    </w:p>
    <w:p w:rsidR="00CB1F00" w:rsidRDefault="00CB1F00" w:rsidP="00CB1F00">
      <w:pPr>
        <w:spacing w:line="236" w:lineRule="exact"/>
        <w:rPr>
          <w:rFonts w:ascii="Times New Roman" w:eastAsia="Times New Roman" w:hAnsi="Times New Roman"/>
        </w:rPr>
      </w:pPr>
    </w:p>
    <w:p w:rsidR="00CB1F00" w:rsidRDefault="00CB1F00" w:rsidP="00CB1F00">
      <w:pPr>
        <w:numPr>
          <w:ilvl w:val="0"/>
          <w:numId w:val="1"/>
        </w:numPr>
        <w:tabs>
          <w:tab w:val="left" w:pos="1220"/>
        </w:tabs>
        <w:spacing w:line="238" w:lineRule="auto"/>
        <w:ind w:left="1220" w:hanging="559"/>
        <w:jc w:val="both"/>
        <w:rPr>
          <w:rFonts w:ascii="Arial" w:eastAsia="Arial" w:hAnsi="Arial"/>
          <w:b/>
          <w:color w:val="121212"/>
          <w:sz w:val="23"/>
        </w:rPr>
      </w:pPr>
      <w:r>
        <w:rPr>
          <w:rFonts w:ascii="Arial" w:eastAsia="Arial" w:hAnsi="Arial"/>
          <w:b/>
          <w:color w:val="121212"/>
          <w:sz w:val="23"/>
        </w:rPr>
        <w:t>“En manifestaciones o declaraciones anteriores del testigo”</w:t>
      </w:r>
      <w:r>
        <w:rPr>
          <w:rFonts w:ascii="Arial" w:eastAsia="Arial" w:hAnsi="Arial"/>
          <w:color w:val="121212"/>
          <w:sz w:val="23"/>
        </w:rPr>
        <w:t>. Esto puede</w:t>
      </w:r>
      <w:r>
        <w:rPr>
          <w:rFonts w:ascii="Arial" w:eastAsia="Arial" w:hAnsi="Arial"/>
          <w:b/>
          <w:color w:val="121212"/>
          <w:sz w:val="23"/>
        </w:rPr>
        <w:t xml:space="preserve"> </w:t>
      </w:r>
      <w:r>
        <w:rPr>
          <w:rFonts w:ascii="Arial" w:eastAsia="Arial" w:hAnsi="Arial"/>
          <w:color w:val="121212"/>
          <w:sz w:val="23"/>
        </w:rPr>
        <w:t>servir para demostrar dos cosas: o que el testigo ha dicho antes algo distinto a lo que ahora previsiblemente va a declarar sobre el mismo hecho; o que el testigo ha sido descubierto como mendaz en otros procesos anteriores, lo que significa que no resulta creíble y actúa por otro tipo de motivaciones (recompensa, enajenación mental, entre otros) distintas a la de decir la verdad. El Código añade que presentada un acta donde conste una declaración anterior del testigo propuesto, podrá pedirse prueba para enervar su declaración -se entiende, la que va a rendir en este proceso, no en aquel otro.</w:t>
      </w:r>
    </w:p>
    <w:p w:rsidR="00CB1F00" w:rsidRDefault="00CB1F00" w:rsidP="00CB1F00">
      <w:pPr>
        <w:spacing w:line="236" w:lineRule="exact"/>
        <w:rPr>
          <w:rFonts w:ascii="Arial" w:eastAsia="Arial" w:hAnsi="Arial"/>
          <w:b/>
          <w:color w:val="121212"/>
          <w:sz w:val="23"/>
        </w:rPr>
      </w:pPr>
    </w:p>
    <w:p w:rsidR="00CB1F00" w:rsidRDefault="00CB1F00" w:rsidP="00CB1F00">
      <w:pPr>
        <w:numPr>
          <w:ilvl w:val="0"/>
          <w:numId w:val="1"/>
        </w:numPr>
        <w:tabs>
          <w:tab w:val="left" w:pos="1220"/>
        </w:tabs>
        <w:spacing w:line="227" w:lineRule="auto"/>
        <w:ind w:left="1220" w:hanging="559"/>
        <w:jc w:val="both"/>
        <w:rPr>
          <w:rFonts w:ascii="Arial" w:eastAsia="Arial" w:hAnsi="Arial"/>
          <w:b/>
          <w:color w:val="121212"/>
          <w:sz w:val="24"/>
        </w:rPr>
      </w:pPr>
      <w:r>
        <w:rPr>
          <w:rFonts w:ascii="Arial" w:eastAsia="Arial" w:hAnsi="Arial"/>
          <w:b/>
          <w:color w:val="121212"/>
          <w:sz w:val="24"/>
        </w:rPr>
        <w:t>“Mediante prueba de su carácter o reputación”</w:t>
      </w:r>
      <w:r>
        <w:rPr>
          <w:rFonts w:ascii="Arial" w:eastAsia="Arial" w:hAnsi="Arial"/>
          <w:color w:val="121212"/>
          <w:sz w:val="24"/>
        </w:rPr>
        <w:t>. Estamos ante una</w:t>
      </w:r>
      <w:r>
        <w:rPr>
          <w:rFonts w:ascii="Arial" w:eastAsia="Arial" w:hAnsi="Arial"/>
          <w:b/>
          <w:color w:val="121212"/>
          <w:sz w:val="24"/>
        </w:rPr>
        <w:t xml:space="preserve"> </w:t>
      </w:r>
      <w:r>
        <w:rPr>
          <w:rFonts w:ascii="Arial" w:eastAsia="Arial" w:hAnsi="Arial"/>
          <w:color w:val="121212"/>
          <w:sz w:val="24"/>
        </w:rPr>
        <w:t xml:space="preserve">cláusula que debe ser interpretada y aplicada por los tribunales de manera restringida, su uso no puede servir de excusa para montar un juicio de valoración moral o ética sobre la conducta o los actos generales del testigo, menos todavía para invadir y revelar ámbitos de su intimidad personal y familiar. Se trata, más limitadamente, de poder aportar prueba que demuestre que el sujeto anteriormente ha incurrido en comportamientos falaces en otros juicios. El Código entre otras circunstancias, advierte en este art. 356 que </w:t>
      </w:r>
      <w:r>
        <w:rPr>
          <w:rFonts w:ascii="Arial" w:eastAsia="Arial" w:hAnsi="Arial"/>
          <w:i/>
          <w:color w:val="121212"/>
          <w:sz w:val="24"/>
        </w:rPr>
        <w:t>“no será admisible la prueba</w:t>
      </w:r>
      <w:r>
        <w:rPr>
          <w:rFonts w:ascii="Arial" w:eastAsia="Arial" w:hAnsi="Arial"/>
          <w:color w:val="121212"/>
          <w:sz w:val="24"/>
        </w:rPr>
        <w:t xml:space="preserve"> </w:t>
      </w:r>
      <w:r>
        <w:rPr>
          <w:rFonts w:ascii="Arial" w:eastAsia="Arial" w:hAnsi="Arial"/>
          <w:i/>
          <w:color w:val="121212"/>
          <w:sz w:val="24"/>
        </w:rPr>
        <w:t>para impugnar o sostener la credibilidad de un testigo que se refiera a sus creencias religiosas, a la carencia de ellas o a sus convicciones políticas”.</w:t>
      </w:r>
    </w:p>
    <w:p w:rsidR="00CB1F00" w:rsidRDefault="00CB1F00" w:rsidP="00CB1F00">
      <w:pPr>
        <w:spacing w:line="247" w:lineRule="exact"/>
        <w:rPr>
          <w:rFonts w:ascii="Arial" w:eastAsia="Arial" w:hAnsi="Arial"/>
          <w:b/>
          <w:color w:val="121212"/>
          <w:sz w:val="24"/>
        </w:rPr>
      </w:pPr>
    </w:p>
    <w:p w:rsidR="00CB1F00" w:rsidRDefault="00CB1F00" w:rsidP="00CB1F00">
      <w:pPr>
        <w:numPr>
          <w:ilvl w:val="0"/>
          <w:numId w:val="1"/>
        </w:numPr>
        <w:tabs>
          <w:tab w:val="left" w:pos="1220"/>
        </w:tabs>
        <w:spacing w:line="239" w:lineRule="auto"/>
        <w:ind w:left="1220" w:hanging="559"/>
        <w:jc w:val="both"/>
        <w:rPr>
          <w:rFonts w:ascii="Arial" w:eastAsia="Arial" w:hAnsi="Arial"/>
          <w:b/>
          <w:color w:val="121212"/>
          <w:sz w:val="23"/>
        </w:rPr>
      </w:pPr>
      <w:r>
        <w:rPr>
          <w:rFonts w:ascii="Arial" w:eastAsia="Arial" w:hAnsi="Arial"/>
          <w:color w:val="121212"/>
          <w:sz w:val="23"/>
        </w:rPr>
        <w:t xml:space="preserve">El intentar probar que la deposición del testigo no se funda en un conocimiento de los hechos sino en </w:t>
      </w:r>
      <w:r>
        <w:rPr>
          <w:rFonts w:ascii="Arial" w:eastAsia="Arial" w:hAnsi="Arial"/>
          <w:b/>
          <w:i/>
          <w:color w:val="121212"/>
          <w:sz w:val="23"/>
        </w:rPr>
        <w:t>“un mero juicio de valor</w:t>
      </w:r>
      <w:r>
        <w:rPr>
          <w:rFonts w:ascii="Arial" w:eastAsia="Arial" w:hAnsi="Arial"/>
          <w:color w:val="121212"/>
          <w:sz w:val="23"/>
        </w:rPr>
        <w:t xml:space="preserve"> </w:t>
      </w:r>
      <w:r>
        <w:rPr>
          <w:rFonts w:ascii="Arial" w:eastAsia="Arial" w:hAnsi="Arial"/>
          <w:b/>
          <w:i/>
          <w:color w:val="121212"/>
          <w:sz w:val="23"/>
        </w:rPr>
        <w:t>derivado de sus creencias particulares”</w:t>
      </w:r>
      <w:r>
        <w:rPr>
          <w:rFonts w:ascii="Arial" w:eastAsia="Arial" w:hAnsi="Arial"/>
          <w:color w:val="121212"/>
          <w:sz w:val="23"/>
        </w:rPr>
        <w:t>; esto es, meras suposiciones</w:t>
      </w:r>
      <w:r>
        <w:rPr>
          <w:rFonts w:ascii="Arial" w:eastAsia="Arial" w:hAnsi="Arial"/>
          <w:b/>
          <w:i/>
          <w:color w:val="121212"/>
          <w:sz w:val="23"/>
        </w:rPr>
        <w:t xml:space="preserve"> </w:t>
      </w:r>
      <w:r>
        <w:rPr>
          <w:rFonts w:ascii="Arial" w:eastAsia="Arial" w:hAnsi="Arial"/>
          <w:color w:val="121212"/>
          <w:sz w:val="23"/>
        </w:rPr>
        <w:t>o especulaciones sobre lo que pudo o no suceder, según el testigo, a virtud de la naturaleza del hecho o de la opinión que tiene el testigo de las partes. Todo ello sería expresivo de que el testigo no cumple con el atributo esencial para declarar, ex art. 354 CPCM.</w:t>
      </w:r>
    </w:p>
    <w:p w:rsidR="00CB1F00" w:rsidRDefault="00CB1F00" w:rsidP="00CB1F00">
      <w:pPr>
        <w:spacing w:line="235" w:lineRule="exact"/>
        <w:rPr>
          <w:rFonts w:ascii="Times New Roman" w:eastAsia="Times New Roman" w:hAnsi="Times New Roman"/>
        </w:rPr>
      </w:pPr>
    </w:p>
    <w:p w:rsidR="00CB1F00" w:rsidRDefault="00CB1F00" w:rsidP="00CB1F00">
      <w:pPr>
        <w:spacing w:line="0" w:lineRule="atLeast"/>
        <w:ind w:left="100"/>
        <w:rPr>
          <w:rFonts w:ascii="Arial" w:eastAsia="Arial" w:hAnsi="Arial"/>
          <w:b/>
          <w:color w:val="121212"/>
          <w:sz w:val="24"/>
        </w:rPr>
      </w:pPr>
      <w:r>
        <w:rPr>
          <w:rFonts w:ascii="Arial" w:eastAsia="Arial" w:hAnsi="Arial"/>
          <w:b/>
          <w:color w:val="121212"/>
          <w:sz w:val="24"/>
        </w:rPr>
        <w:t>VI.- Práctica</w:t>
      </w:r>
    </w:p>
    <w:p w:rsidR="00CB1F00" w:rsidRDefault="00CB1F00" w:rsidP="00CB1F00">
      <w:pPr>
        <w:spacing w:line="244" w:lineRule="exact"/>
        <w:rPr>
          <w:rFonts w:ascii="Times New Roman" w:eastAsia="Times New Roman" w:hAnsi="Times New Roman"/>
        </w:rPr>
      </w:pPr>
    </w:p>
    <w:p w:rsidR="00CB1F00" w:rsidRDefault="00CB1F00" w:rsidP="00CB1F00">
      <w:pPr>
        <w:tabs>
          <w:tab w:val="left" w:pos="640"/>
        </w:tabs>
        <w:spacing w:line="251" w:lineRule="auto"/>
        <w:ind w:left="660" w:hanging="566"/>
        <w:jc w:val="both"/>
        <w:rPr>
          <w:rFonts w:ascii="Arial" w:eastAsia="Arial" w:hAnsi="Arial"/>
          <w:color w:val="121212"/>
          <w:sz w:val="22"/>
        </w:rPr>
      </w:pPr>
      <w:r>
        <w:rPr>
          <w:rFonts w:ascii="Arial" w:eastAsia="Arial" w:hAnsi="Arial"/>
          <w:b/>
          <w:color w:val="121212"/>
          <w:sz w:val="24"/>
        </w:rPr>
        <w:t>1</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2"/>
        </w:rPr>
        <w:t>El interrogatorio como ya se ha dicho se llevará a cabo en la audiencia ordinaria de prueba, lo que supone que lo sea en la sede del órgano judicial, el día programado al efecto. Sin embargo, el art. 373 CPCM, contempla también la hipótesis de que resulte necesario tomar declaración al testigo fuera del tribunal, donde éste se halle, cuando “por enfermedad u otra circunstancia especialmente justificada resulte imposible o demasiado gravoso para el testigo comparecer a la sede del tribunal”. En este caso, se citará a las partes y sus</w:t>
      </w:r>
    </w:p>
    <w:p w:rsidR="00CB1F00" w:rsidRDefault="00CB1F00" w:rsidP="00CB1F00">
      <w:pPr>
        <w:tabs>
          <w:tab w:val="left" w:pos="640"/>
        </w:tabs>
        <w:spacing w:line="251" w:lineRule="auto"/>
        <w:ind w:left="660" w:hanging="566"/>
        <w:jc w:val="both"/>
        <w:rPr>
          <w:rFonts w:ascii="Arial" w:eastAsia="Arial" w:hAnsi="Arial"/>
          <w:color w:val="121212"/>
          <w:sz w:val="22"/>
        </w:rPr>
        <w:sectPr w:rsidR="00CB1F00">
          <w:pgSz w:w="10780" w:h="14173"/>
          <w:pgMar w:top="406" w:right="1132" w:bottom="745" w:left="433" w:header="0" w:footer="0" w:gutter="0"/>
          <w:cols w:num="2" w:space="0" w:equalWidth="0">
            <w:col w:w="195" w:space="412"/>
            <w:col w:w="8600"/>
          </w:cols>
          <w:docGrid w:linePitch="360"/>
        </w:sectPr>
      </w:pPr>
    </w:p>
    <w:tbl>
      <w:tblPr>
        <w:tblW w:w="0" w:type="auto"/>
        <w:tblInd w:w="4520" w:type="dxa"/>
        <w:tblLayout w:type="fixed"/>
        <w:tblCellMar>
          <w:left w:w="0" w:type="dxa"/>
          <w:right w:w="0" w:type="dxa"/>
        </w:tblCellMar>
        <w:tblLook w:val="0000" w:firstRow="0" w:lastRow="0" w:firstColumn="0" w:lastColumn="0" w:noHBand="0" w:noVBand="0"/>
      </w:tblPr>
      <w:tblGrid>
        <w:gridCol w:w="3200"/>
        <w:gridCol w:w="600"/>
      </w:tblGrid>
      <w:tr w:rsidR="00CB1F00" w:rsidTr="000F66D3">
        <w:trPr>
          <w:trHeight w:val="736"/>
        </w:trPr>
        <w:tc>
          <w:tcPr>
            <w:tcW w:w="3200" w:type="dxa"/>
            <w:tcBorders>
              <w:right w:val="single" w:sz="8" w:space="0" w:color="121212"/>
            </w:tcBorders>
            <w:shd w:val="clear" w:color="auto" w:fill="auto"/>
            <w:vAlign w:val="bottom"/>
          </w:tcPr>
          <w:p w:rsidR="00CB1F00" w:rsidRDefault="00CB1F00" w:rsidP="000F66D3">
            <w:pPr>
              <w:spacing w:line="0" w:lineRule="atLeast"/>
              <w:rPr>
                <w:rFonts w:ascii="Arial" w:eastAsia="Arial" w:hAnsi="Arial"/>
                <w:color w:val="888A8A"/>
              </w:rPr>
            </w:pPr>
            <w:bookmarkStart w:id="10" w:name="page444"/>
            <w:bookmarkEnd w:id="10"/>
            <w:r>
              <w:rPr>
                <w:rFonts w:ascii="Arial" w:eastAsia="Arial" w:hAnsi="Arial"/>
                <w:color w:val="888A8A"/>
              </w:rPr>
              <w:lastRenderedPageBreak/>
              <w:t>Consejo Nacional de la Judicatura</w:t>
            </w:r>
          </w:p>
        </w:tc>
        <w:tc>
          <w:tcPr>
            <w:tcW w:w="600" w:type="dxa"/>
            <w:shd w:val="clear" w:color="auto" w:fill="auto"/>
            <w:vAlign w:val="bottom"/>
          </w:tcPr>
          <w:p w:rsidR="00CB1F00" w:rsidRDefault="00CB1F00" w:rsidP="000F66D3">
            <w:pPr>
              <w:spacing w:line="0" w:lineRule="atLeast"/>
              <w:jc w:val="right"/>
              <w:rPr>
                <w:rFonts w:ascii="Arial" w:eastAsia="Arial" w:hAnsi="Arial"/>
                <w:color w:val="121212"/>
                <w:sz w:val="28"/>
              </w:rPr>
            </w:pPr>
            <w:r>
              <w:rPr>
                <w:rFonts w:ascii="Arial" w:eastAsia="Arial" w:hAnsi="Arial"/>
                <w:color w:val="121212"/>
                <w:sz w:val="28"/>
              </w:rPr>
              <w:t>409</w:t>
            </w:r>
          </w:p>
        </w:tc>
      </w:tr>
    </w:tbl>
    <w:p w:rsidR="00CB1F00" w:rsidRDefault="00CB1F00" w:rsidP="00CB1F00">
      <w:pPr>
        <w:spacing w:line="378" w:lineRule="exact"/>
        <w:rPr>
          <w:rFonts w:ascii="Times New Roman" w:eastAsia="Times New Roman" w:hAnsi="Times New Roman"/>
        </w:rPr>
      </w:pPr>
    </w:p>
    <w:p w:rsidR="00CB1F00" w:rsidRDefault="00CB1F00" w:rsidP="00CB1F00">
      <w:pPr>
        <w:spacing w:line="236" w:lineRule="auto"/>
        <w:ind w:left="260" w:right="120"/>
        <w:rPr>
          <w:rFonts w:ascii="Arial" w:eastAsia="Arial" w:hAnsi="Arial"/>
          <w:color w:val="121212"/>
          <w:sz w:val="24"/>
        </w:rPr>
      </w:pPr>
      <w:proofErr w:type="gramStart"/>
      <w:r>
        <w:rPr>
          <w:rFonts w:ascii="Arial" w:eastAsia="Arial" w:hAnsi="Arial"/>
          <w:color w:val="121212"/>
          <w:sz w:val="24"/>
        </w:rPr>
        <w:t>abogados</w:t>
      </w:r>
      <w:proofErr w:type="gramEnd"/>
      <w:r>
        <w:rPr>
          <w:rFonts w:ascii="Arial" w:eastAsia="Arial" w:hAnsi="Arial"/>
          <w:color w:val="121212"/>
          <w:sz w:val="24"/>
        </w:rPr>
        <w:t xml:space="preserve"> al lugar donde pueda encontrarse, siempre que la parte proponente del testigo así lo pida y explique el porqué de ello.</w:t>
      </w:r>
    </w:p>
    <w:p w:rsidR="00CB1F00" w:rsidRDefault="00CB1F00" w:rsidP="00CB1F00">
      <w:pPr>
        <w:spacing w:line="237" w:lineRule="exact"/>
        <w:rPr>
          <w:rFonts w:ascii="Times New Roman" w:eastAsia="Times New Roman" w:hAnsi="Times New Roman"/>
        </w:rPr>
      </w:pPr>
    </w:p>
    <w:p w:rsidR="00CB1F00" w:rsidRDefault="00CB1F00" w:rsidP="00CB1F00">
      <w:pPr>
        <w:tabs>
          <w:tab w:val="left" w:pos="240"/>
        </w:tabs>
        <w:spacing w:line="228" w:lineRule="auto"/>
        <w:ind w:left="260" w:right="120" w:hanging="566"/>
        <w:jc w:val="both"/>
        <w:rPr>
          <w:rFonts w:ascii="Arial" w:eastAsia="Arial" w:hAnsi="Arial"/>
          <w:color w:val="121212"/>
          <w:sz w:val="24"/>
        </w:rPr>
      </w:pPr>
      <w:r>
        <w:rPr>
          <w:rFonts w:ascii="Arial" w:eastAsia="Arial" w:hAnsi="Arial"/>
          <w:b/>
          <w:color w:val="121212"/>
          <w:sz w:val="24"/>
        </w:rPr>
        <w:t>2</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4"/>
        </w:rPr>
        <w:t>Abierto el interrogatorio (en la sede del órgano judicial, o donde con arreglo a lo que acabamos de decir debiera disponerse), y tras ser identificado, el juez tomará al testigo juramento o promesa de decir verdad (art. 364), advirtiéndole de las penas a que puede ser condenado por falso testimonio, a cuyo efecto “se le deberán leer los preceptos correspondientes del Código Penal” (art. 362), y también le preguntará si se halla incurso en alguna de las situaciones para las que la ley prevé la exención del deber de declarar, conforme vimos ya.</w:t>
      </w:r>
    </w:p>
    <w:p w:rsidR="00CB1F00" w:rsidRDefault="00CB1F00" w:rsidP="00CB1F00">
      <w:pPr>
        <w:spacing w:line="243" w:lineRule="exact"/>
        <w:rPr>
          <w:rFonts w:ascii="Times New Roman" w:eastAsia="Times New Roman" w:hAnsi="Times New Roman"/>
        </w:rPr>
      </w:pPr>
    </w:p>
    <w:p w:rsidR="00CB1F00" w:rsidRDefault="00CB1F00" w:rsidP="00CB1F00">
      <w:pPr>
        <w:spacing w:line="229" w:lineRule="auto"/>
        <w:ind w:left="260" w:right="120"/>
        <w:jc w:val="both"/>
        <w:rPr>
          <w:rFonts w:ascii="Arial" w:eastAsia="Arial" w:hAnsi="Arial"/>
          <w:color w:val="121212"/>
          <w:sz w:val="24"/>
        </w:rPr>
      </w:pPr>
      <w:r>
        <w:rPr>
          <w:rFonts w:ascii="Arial" w:eastAsia="Arial" w:hAnsi="Arial"/>
          <w:color w:val="121212"/>
          <w:sz w:val="24"/>
        </w:rPr>
        <w:t>Aunque la ley no precisa el momento, debe ser también antes de empezar el interrogatorio cuando el juez pida al testigo que explique la razón de su dicho, esto es, las circunstancias en las que afirma haber logrado el conocimiento de los hechos sobre los que va a declarar, pues a resultas de lo que diga al respecto podría ocurrir que se le tuviera que excluir, por ser palpable que su conocimiento no es directo (arts. 354 y 358).</w:t>
      </w:r>
    </w:p>
    <w:p w:rsidR="00CB1F00" w:rsidRDefault="00CB1F00" w:rsidP="00CB1F00">
      <w:pPr>
        <w:spacing w:line="239" w:lineRule="exact"/>
        <w:rPr>
          <w:rFonts w:ascii="Times New Roman" w:eastAsia="Times New Roman" w:hAnsi="Times New Roman"/>
        </w:rPr>
      </w:pPr>
    </w:p>
    <w:p w:rsidR="00CB1F00" w:rsidRDefault="00CB1F00" w:rsidP="00CB1F00">
      <w:pPr>
        <w:tabs>
          <w:tab w:val="left" w:pos="240"/>
        </w:tabs>
        <w:spacing w:line="238" w:lineRule="auto"/>
        <w:ind w:left="260" w:right="120" w:hanging="566"/>
        <w:jc w:val="both"/>
        <w:rPr>
          <w:rFonts w:ascii="Arial" w:eastAsia="Arial" w:hAnsi="Arial"/>
          <w:color w:val="121212"/>
          <w:sz w:val="23"/>
        </w:rPr>
      </w:pPr>
      <w:r>
        <w:rPr>
          <w:rFonts w:ascii="Arial" w:eastAsia="Arial" w:hAnsi="Arial"/>
          <w:b/>
          <w:color w:val="121212"/>
          <w:sz w:val="24"/>
        </w:rPr>
        <w:t>3</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3"/>
        </w:rPr>
        <w:t>Tras estos preliminares, el interrogatorio se efectuará por la parte proponente (dice el art. 364 que dicha parte –su abogado- identificará primero al testigo, pero es evidente que esto ya lo habrá hecho el juez, pues no tiene sentido efectuar aquellas admoniciones al deber de declarar y sobre pena por falso testimonio, a alguien que todavía no ha sido identificado), quien irá formulando las preguntas al testigo de manera clara y precisa, siendo que el juez podrá sin embargo rechazar –art. 368- aquellas que aparezcan impertinentes o inútiles, o envuelvan una sugestión o un juicio de valor (esto último, por analogía con lo previsto en la prueba de declaración de parte).</w:t>
      </w:r>
    </w:p>
    <w:p w:rsidR="00CB1F00" w:rsidRDefault="00CB1F00" w:rsidP="00CB1F00">
      <w:pPr>
        <w:spacing w:line="239" w:lineRule="exact"/>
        <w:rPr>
          <w:rFonts w:ascii="Times New Roman" w:eastAsia="Times New Roman" w:hAnsi="Times New Roman"/>
        </w:rPr>
      </w:pPr>
    </w:p>
    <w:p w:rsidR="00CB1F00" w:rsidRDefault="00CB1F00" w:rsidP="00CB1F00">
      <w:pPr>
        <w:spacing w:line="256" w:lineRule="auto"/>
        <w:ind w:left="260" w:right="120"/>
        <w:jc w:val="both"/>
        <w:rPr>
          <w:rFonts w:ascii="Arial" w:eastAsia="Arial" w:hAnsi="Arial"/>
          <w:color w:val="121212"/>
          <w:sz w:val="22"/>
        </w:rPr>
      </w:pPr>
      <w:r>
        <w:rPr>
          <w:rFonts w:ascii="Arial" w:eastAsia="Arial" w:hAnsi="Arial"/>
          <w:color w:val="121212"/>
          <w:sz w:val="22"/>
        </w:rPr>
        <w:t>También aquí opera el derecho de quien no propone el testigo, a objetar las preguntas que incurran en alguno de los defectos descritos en el art. 408 CPCM, (impertinentes, sugestivas, repetitivas, capciosas, compuestas, especulativas, ambiguas, asertivas de hechos no probados, o defecto similar).</w:t>
      </w:r>
    </w:p>
    <w:p w:rsidR="00CB1F00" w:rsidRDefault="00CB1F00" w:rsidP="00CB1F00">
      <w:pPr>
        <w:spacing w:line="221" w:lineRule="exact"/>
        <w:rPr>
          <w:rFonts w:ascii="Times New Roman" w:eastAsia="Times New Roman" w:hAnsi="Times New Roman"/>
        </w:rPr>
      </w:pPr>
    </w:p>
    <w:p w:rsidR="00CB1F00" w:rsidRDefault="00CB1F00" w:rsidP="00CB1F00">
      <w:pPr>
        <w:spacing w:line="250" w:lineRule="auto"/>
        <w:ind w:left="260" w:right="120"/>
        <w:jc w:val="both"/>
        <w:rPr>
          <w:rFonts w:ascii="Arial" w:eastAsia="Arial" w:hAnsi="Arial"/>
          <w:color w:val="121212"/>
          <w:sz w:val="22"/>
        </w:rPr>
      </w:pPr>
      <w:r>
        <w:rPr>
          <w:rFonts w:ascii="Arial" w:eastAsia="Arial" w:hAnsi="Arial"/>
          <w:color w:val="121212"/>
          <w:sz w:val="22"/>
        </w:rPr>
        <w:t>El testigo contestará a ello también de manera oral, bien con un monosílabo si ese es el fin de la pregunta, bien narrando hechos aunque ciñéndose siempre al contenido de la pregunta en cuestión. Al igual que en el interrogatorio del litigante, el testigo puede auxiliarse con apuntes o documentos “cuando la naturaleza de la pregunta lo exigiera y hubiese autorización del juez” (art. 366). Cualquiera de las partes podrá objetar aquella respuesta que se considere que excede su ámbito de conocimiento, personal (testigo de referencia) o científico (testigo-perito), o que exceda del marco de la pregunta art. 409.</w:t>
      </w:r>
    </w:p>
    <w:p w:rsidR="00CB1F00" w:rsidRDefault="00CB1F00" w:rsidP="00CB1F00">
      <w:pPr>
        <w:spacing w:line="231" w:lineRule="exact"/>
        <w:rPr>
          <w:rFonts w:ascii="Times New Roman" w:eastAsia="Times New Roman" w:hAnsi="Times New Roman"/>
        </w:rPr>
      </w:pPr>
    </w:p>
    <w:p w:rsidR="00CB1F00" w:rsidRDefault="00CB1F00" w:rsidP="00CB1F00">
      <w:pPr>
        <w:spacing w:line="254" w:lineRule="auto"/>
        <w:ind w:left="260" w:right="120"/>
        <w:jc w:val="both"/>
        <w:rPr>
          <w:rFonts w:ascii="Arial" w:eastAsia="Arial" w:hAnsi="Arial"/>
          <w:color w:val="121212"/>
          <w:sz w:val="23"/>
        </w:rPr>
      </w:pPr>
      <w:r>
        <w:rPr>
          <w:rFonts w:ascii="Arial" w:eastAsia="Arial" w:hAnsi="Arial"/>
          <w:color w:val="121212"/>
          <w:sz w:val="23"/>
        </w:rPr>
        <w:t>El comportamiento inadecuado de una de las partes (o su abogado) bien con la persona del testigo -por irrespetuoso-, bien en relación con lo declarado</w:t>
      </w:r>
    </w:p>
    <w:p w:rsidR="00CB1F00" w:rsidRDefault="00CB1F00" w:rsidP="00CB1F00">
      <w:pPr>
        <w:spacing w:line="200" w:lineRule="exact"/>
        <w:rPr>
          <w:rFonts w:ascii="Times New Roman" w:eastAsia="Times New Roman" w:hAnsi="Times New Roman"/>
        </w:rPr>
      </w:pPr>
      <w:r>
        <w:rPr>
          <w:rFonts w:ascii="Arial" w:eastAsia="Arial" w:hAnsi="Arial"/>
          <w:color w:val="121212"/>
          <w:sz w:val="23"/>
        </w:rPr>
        <w:br w:type="column"/>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1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64"/>
      </w:tblGrid>
      <w:tr w:rsidR="00CB1F00" w:rsidTr="000F66D3">
        <w:trPr>
          <w:trHeight w:val="1940"/>
        </w:trPr>
        <w:tc>
          <w:tcPr>
            <w:tcW w:w="264" w:type="dxa"/>
            <w:shd w:val="clear" w:color="auto" w:fill="auto"/>
            <w:textDirection w:val="btLr"/>
            <w:vAlign w:val="bottom"/>
          </w:tcPr>
          <w:p w:rsidR="00CB1F00" w:rsidRDefault="00CB1F00" w:rsidP="000F66D3">
            <w:pPr>
              <w:spacing w:line="0" w:lineRule="atLeast"/>
              <w:rPr>
                <w:rFonts w:ascii="Arial" w:eastAsia="Arial" w:hAnsi="Arial"/>
                <w:b/>
                <w:color w:val="FFFFFF"/>
                <w:sz w:val="23"/>
              </w:rPr>
            </w:pPr>
            <w:r>
              <w:rPr>
                <w:rFonts w:ascii="Arial" w:eastAsia="Arial" w:hAnsi="Arial"/>
                <w:color w:val="FFFFFF"/>
                <w:sz w:val="23"/>
              </w:rPr>
              <w:t xml:space="preserve">LIBRO </w:t>
            </w:r>
            <w:r>
              <w:rPr>
                <w:rFonts w:ascii="Arial" w:eastAsia="Arial" w:hAnsi="Arial"/>
                <w:b/>
                <w:color w:val="FFFFFF"/>
                <w:sz w:val="23"/>
              </w:rPr>
              <w:t>SEGUNDO</w:t>
            </w:r>
          </w:p>
        </w:tc>
      </w:tr>
    </w:tbl>
    <w:p w:rsidR="00CB1F00" w:rsidRDefault="00CB1F00" w:rsidP="00CB1F00">
      <w:pPr>
        <w:spacing w:line="20" w:lineRule="exact"/>
        <w:rPr>
          <w:rFonts w:ascii="Times New Roman" w:eastAsia="Times New Roman" w:hAnsi="Times New Roman"/>
        </w:rPr>
      </w:pPr>
      <w:r>
        <w:rPr>
          <w:rFonts w:ascii="Arial" w:eastAsia="Arial" w:hAnsi="Arial"/>
          <w:b/>
          <w:noProof/>
          <w:color w:val="FFFFFF"/>
          <w:sz w:val="23"/>
        </w:rPr>
        <w:drawing>
          <wp:anchor distT="0" distB="0" distL="114300" distR="114300" simplePos="0" relativeHeight="251680768" behindDoc="1" locked="0" layoutInCell="1" allowOverlap="1">
            <wp:simplePos x="0" y="0"/>
            <wp:positionH relativeFrom="column">
              <wp:posOffset>-49530</wp:posOffset>
            </wp:positionH>
            <wp:positionV relativeFrom="paragraph">
              <wp:posOffset>-1355090</wp:posOffset>
            </wp:positionV>
            <wp:extent cx="419735" cy="1465580"/>
            <wp:effectExtent l="0" t="0" r="0" b="127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735"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spacing w:line="20" w:lineRule="exact"/>
        <w:rPr>
          <w:rFonts w:ascii="Times New Roman" w:eastAsia="Times New Roman" w:hAnsi="Times New Roman"/>
        </w:rPr>
        <w:sectPr w:rsidR="00CB1F00">
          <w:pgSz w:w="10780" w:h="14173"/>
          <w:pgMar w:top="20" w:right="317" w:bottom="737" w:left="1440" w:header="0" w:footer="0" w:gutter="0"/>
          <w:cols w:num="2" w:space="0" w:equalWidth="0">
            <w:col w:w="8320" w:space="430"/>
            <w:col w:w="264"/>
          </w:cols>
          <w:docGrid w:linePitch="360"/>
        </w:sectPr>
      </w:pPr>
    </w:p>
    <w:p w:rsidR="00CB1F00" w:rsidRDefault="00CB1F00" w:rsidP="00CB1F00">
      <w:pPr>
        <w:spacing w:line="200" w:lineRule="exact"/>
        <w:rPr>
          <w:rFonts w:ascii="Times New Roman" w:eastAsia="Times New Roman" w:hAnsi="Times New Roman"/>
        </w:rPr>
      </w:pPr>
      <w:bookmarkStart w:id="11" w:name="page445"/>
      <w:bookmarkEnd w:id="11"/>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CB1F00" w:rsidRDefault="00CB1F00" w:rsidP="00CB1F00">
      <w:pPr>
        <w:spacing w:line="26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5"/>
      </w:tblGrid>
      <w:tr w:rsidR="00CB1F00" w:rsidTr="000F66D3">
        <w:trPr>
          <w:trHeight w:val="1440"/>
        </w:trPr>
        <w:tc>
          <w:tcPr>
            <w:tcW w:w="195" w:type="dxa"/>
            <w:shd w:val="clear" w:color="auto" w:fill="auto"/>
            <w:textDirection w:val="tbRl"/>
            <w:vAlign w:val="bottom"/>
          </w:tcPr>
          <w:p w:rsidR="00CB1F00" w:rsidRDefault="00CB1F00" w:rsidP="000F66D3">
            <w:pPr>
              <w:spacing w:line="0" w:lineRule="atLeast"/>
              <w:rPr>
                <w:rFonts w:ascii="Arial" w:eastAsia="Arial" w:hAnsi="Arial"/>
                <w:color w:val="FFFFFF"/>
                <w:sz w:val="17"/>
              </w:rPr>
            </w:pPr>
            <w:r>
              <w:rPr>
                <w:rFonts w:ascii="Arial" w:eastAsia="Arial" w:hAnsi="Arial"/>
                <w:b/>
                <w:color w:val="FFFFFF"/>
                <w:sz w:val="17"/>
              </w:rPr>
              <w:t>SEGUNDO</w:t>
            </w:r>
            <w:r>
              <w:rPr>
                <w:rFonts w:ascii="Arial" w:eastAsia="Arial" w:hAnsi="Arial"/>
                <w:color w:val="FFFFFF"/>
                <w:sz w:val="17"/>
              </w:rPr>
              <w:t>LIBRO</w:t>
            </w:r>
          </w:p>
        </w:tc>
      </w:tr>
    </w:tbl>
    <w:p w:rsidR="00CB1F00" w:rsidRDefault="00CB1F00" w:rsidP="00CB1F00">
      <w:pPr>
        <w:spacing w:line="20" w:lineRule="exact"/>
        <w:rPr>
          <w:rFonts w:ascii="Times New Roman" w:eastAsia="Times New Roman" w:hAnsi="Times New Roman"/>
        </w:rPr>
      </w:pPr>
      <w:r>
        <w:rPr>
          <w:rFonts w:ascii="Arial" w:eastAsia="Arial" w:hAnsi="Arial"/>
          <w:noProof/>
          <w:color w:val="FFFFFF"/>
          <w:sz w:val="17"/>
        </w:rPr>
        <w:drawing>
          <wp:anchor distT="0" distB="0" distL="114300" distR="114300" simplePos="0" relativeHeight="251681792" behindDoc="1" locked="0" layoutInCell="1" allowOverlap="1">
            <wp:simplePos x="0" y="0"/>
            <wp:positionH relativeFrom="column">
              <wp:posOffset>-274320</wp:posOffset>
            </wp:positionH>
            <wp:positionV relativeFrom="paragraph">
              <wp:posOffset>-554990</wp:posOffset>
            </wp:positionV>
            <wp:extent cx="435610" cy="1465580"/>
            <wp:effectExtent l="0" t="0" r="2540" b="127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 cy="1465580"/>
                    </a:xfrm>
                    <a:prstGeom prst="rect">
                      <a:avLst/>
                    </a:prstGeom>
                    <a:noFill/>
                  </pic:spPr>
                </pic:pic>
              </a:graphicData>
            </a:graphic>
            <wp14:sizeRelH relativeFrom="page">
              <wp14:pctWidth>0</wp14:pctWidth>
            </wp14:sizeRelH>
            <wp14:sizeRelV relativeFrom="page">
              <wp14:pctHeight>0</wp14:pctHeight>
            </wp14:sizeRelV>
          </wp:anchor>
        </w:drawing>
      </w:r>
    </w:p>
    <w:p w:rsidR="00CB1F00" w:rsidRDefault="00CB1F00" w:rsidP="00CB1F00">
      <w:pPr>
        <w:tabs>
          <w:tab w:val="left" w:pos="680"/>
        </w:tabs>
        <w:spacing w:line="0" w:lineRule="atLeast"/>
        <w:rPr>
          <w:rFonts w:ascii="Arial" w:eastAsia="Arial" w:hAnsi="Arial"/>
          <w:color w:val="888A8A"/>
          <w:sz w:val="19"/>
        </w:rPr>
      </w:pPr>
      <w:r>
        <w:rPr>
          <w:rFonts w:ascii="Times New Roman" w:eastAsia="Times New Roman" w:hAnsi="Times New Roman"/>
        </w:rPr>
        <w:br w:type="column"/>
      </w:r>
      <w:r>
        <w:rPr>
          <w:rFonts w:ascii="Arial" w:eastAsia="Arial" w:hAnsi="Arial"/>
          <w:color w:val="121212"/>
          <w:sz w:val="28"/>
        </w:rPr>
        <w:t>410</w:t>
      </w:r>
      <w:r>
        <w:rPr>
          <w:rFonts w:ascii="Times New Roman" w:eastAsia="Times New Roman" w:hAnsi="Times New Roman"/>
        </w:rPr>
        <w:tab/>
      </w:r>
      <w:r>
        <w:rPr>
          <w:rFonts w:ascii="Arial" w:eastAsia="Arial" w:hAnsi="Arial"/>
          <w:color w:val="888A8A"/>
          <w:sz w:val="19"/>
        </w:rPr>
        <w:t>Código Procesal Civil y Mercantil Comentado</w:t>
      </w:r>
    </w:p>
    <w:p w:rsidR="00CB1F00" w:rsidRDefault="00CB1F00" w:rsidP="00CB1F00">
      <w:pPr>
        <w:spacing w:line="20" w:lineRule="exact"/>
        <w:rPr>
          <w:rFonts w:ascii="Times New Roman" w:eastAsia="Times New Roman" w:hAnsi="Times New Roman"/>
        </w:rPr>
      </w:pPr>
      <w:r>
        <w:rPr>
          <w:rFonts w:ascii="Arial" w:eastAsia="Arial" w:hAnsi="Arial"/>
          <w:noProof/>
          <w:color w:val="888A8A"/>
          <w:sz w:val="19"/>
        </w:rPr>
        <mc:AlternateContent>
          <mc:Choice Requires="wps">
            <w:drawing>
              <wp:anchor distT="0" distB="0" distL="114300" distR="114300" simplePos="0" relativeHeight="251682816" behindDoc="1" locked="0" layoutInCell="1" allowOverlap="1">
                <wp:simplePos x="0" y="0"/>
                <wp:positionH relativeFrom="column">
                  <wp:posOffset>371475</wp:posOffset>
                </wp:positionH>
                <wp:positionV relativeFrom="paragraph">
                  <wp:posOffset>-462280</wp:posOffset>
                </wp:positionV>
                <wp:extent cx="0" cy="479425"/>
                <wp:effectExtent l="12700" t="9525" r="6350" b="635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9425"/>
                        </a:xfrm>
                        <a:prstGeom prst="line">
                          <a:avLst/>
                        </a:prstGeom>
                        <a:noFill/>
                        <a:ln w="6350">
                          <a:solidFill>
                            <a:srgbClr val="12121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065D9" id="Conector recto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6.4pt" to="2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4OJwIAAEwEAAAOAAAAZHJzL2Uyb0RvYy54bWysVMuO2yAU3VfqPyD2GT/Gk0msOKPKTrqZ&#10;diLN9AMI4BgVAwISJ6r6773gJG3aTVVVluDCPRzOfeDF07GX6MCtE1pVOLtLMeKKaibUrsJf3taT&#10;GUbOE8WI1IpX+MQdflq+f7cYTMlz3WnJuEVAolw5mAp33psySRzteE/cnTZcgbPVticelnaXMEsG&#10;YO9lkqfpNBm0ZcZqyp2D3WZ04mXkb1tO/UvbOu6RrDBo83G0cdyGMVkuSLmzxHSCnmWQf1DRE6Hg&#10;0itVQzxBeyv+oOoFtdrp1t9R3Se6bQXlMQaIJkt/i+a1I4bHWCA5zlzT5P4fLf182FgkWIXzHCNF&#10;eqhRDZWiXltkw4TAAVkajCsBXKuNDXHSo3o1z5p+dUjpuiNqx6Pat5MBhiycSG6OhIUzcNd2+KQZ&#10;YMje65iyY2v7QAnJQMdYmdO1MvzoER03KewWj/Mif4jkpLycM9b5j1z3KBgVlkKFnJGSHJ6dDzpI&#10;eYGEbaXXQspYd6nQUOHp/UMaDzgtBQvOAHN2t62lRQcCnZPl4TvfewMLzA1x3YiLrgAjpdV7xaLV&#10;ccJWZ9sTIUcbVEkVgBAi6DxbY898m6fz1Ww1KyZFPl1NirRpJh/WdTGZrrPHh+a+qesm+x40Z0XZ&#10;Cca4CrIv/ZsVf9cf55c0dt61g6/5SW7ZYyJB7GWOomONQ1nHBtlqdtrYkPNQbmjZCD4/r/Amfl1H&#10;1M+fwPIHAAAA//8DAFBLAwQUAAYACAAAACEAQAYgntsAAAAHAQAADwAAAGRycy9kb3ducmV2Lnht&#10;bEyPwU7DMAyG70i8Q2Qkblu6irGq1J0Q0sSxWuEBvMa0hcbpmmwrPD2BCxxtf/r9/cV2toM68+R7&#10;JwirZQKKpXGmlxbh9WW3yED5QGJocMIIn+xhW15fFZQbd5E9n+vQqhgiPieELoQx19o3HVvySzey&#10;xNubmyyFOE6tNhNdYrgddJok99pSL/FDRyM/ddx81CeLYLNq93VX9clcV+/Pq5qOTb8/It7ezI8P&#10;oALP4Q+GH/2oDmV0OriTGK8GhHW2jiTCYpPGChH4XRwQ0g3ostD//ctvAAAA//8DAFBLAQItABQA&#10;BgAIAAAAIQC2gziS/gAAAOEBAAATAAAAAAAAAAAAAAAAAAAAAABbQ29udGVudF9UeXBlc10ueG1s&#10;UEsBAi0AFAAGAAgAAAAhADj9If/WAAAAlAEAAAsAAAAAAAAAAAAAAAAALwEAAF9yZWxzLy5yZWxz&#10;UEsBAi0AFAAGAAgAAAAhAKzK/g4nAgAATAQAAA4AAAAAAAAAAAAAAAAALgIAAGRycy9lMm9Eb2Mu&#10;eG1sUEsBAi0AFAAGAAgAAAAhAEAGIJ7bAAAABwEAAA8AAAAAAAAAAAAAAAAAgQQAAGRycy9kb3du&#10;cmV2LnhtbFBLBQYAAAAABAAEAPMAAACJBQAAAAA=&#10;" strokecolor="#121212" strokeweight=".5pt"/>
            </w:pict>
          </mc:Fallback>
        </mc:AlternateContent>
      </w:r>
    </w:p>
    <w:p w:rsidR="00CB1F00" w:rsidRDefault="00CB1F00" w:rsidP="00CB1F00">
      <w:pPr>
        <w:spacing w:line="386" w:lineRule="exact"/>
        <w:rPr>
          <w:rFonts w:ascii="Times New Roman" w:eastAsia="Times New Roman" w:hAnsi="Times New Roman"/>
        </w:rPr>
      </w:pPr>
    </w:p>
    <w:p w:rsidR="00CB1F00" w:rsidRDefault="00CB1F00" w:rsidP="00CB1F00">
      <w:pPr>
        <w:spacing w:line="231" w:lineRule="auto"/>
        <w:ind w:left="660"/>
        <w:jc w:val="both"/>
        <w:rPr>
          <w:rFonts w:ascii="Arial" w:eastAsia="Arial" w:hAnsi="Arial"/>
          <w:color w:val="121212"/>
          <w:sz w:val="24"/>
        </w:rPr>
      </w:pPr>
      <w:proofErr w:type="gramStart"/>
      <w:r>
        <w:rPr>
          <w:rFonts w:ascii="Arial" w:eastAsia="Arial" w:hAnsi="Arial"/>
          <w:color w:val="121212"/>
          <w:sz w:val="24"/>
        </w:rPr>
        <w:t>por</w:t>
      </w:r>
      <w:proofErr w:type="gramEnd"/>
      <w:r>
        <w:rPr>
          <w:rFonts w:ascii="Arial" w:eastAsia="Arial" w:hAnsi="Arial"/>
          <w:color w:val="121212"/>
          <w:sz w:val="24"/>
        </w:rPr>
        <w:t xml:space="preserve"> él –omitiendo o alterando sus palabras- o entorpeciendo su interrogatorio, en fin, constituirán también causas de objeción sobre la conducta de la parte, que podrá denunciarse por la contraria a fin de que el juez ordene su corrección inmediata (art. 410 CPCM).</w:t>
      </w:r>
    </w:p>
    <w:p w:rsidR="00CB1F00" w:rsidRDefault="00CB1F00" w:rsidP="00CB1F00">
      <w:pPr>
        <w:spacing w:line="237" w:lineRule="exact"/>
        <w:rPr>
          <w:rFonts w:ascii="Times New Roman" w:eastAsia="Times New Roman" w:hAnsi="Times New Roman"/>
        </w:rPr>
      </w:pPr>
    </w:p>
    <w:p w:rsidR="00CB1F00" w:rsidRDefault="00CB1F00" w:rsidP="00CB1F00">
      <w:pPr>
        <w:tabs>
          <w:tab w:val="left" w:pos="640"/>
        </w:tabs>
        <w:spacing w:line="228" w:lineRule="auto"/>
        <w:ind w:left="660" w:hanging="566"/>
        <w:jc w:val="both"/>
        <w:rPr>
          <w:rFonts w:ascii="Arial" w:eastAsia="Arial" w:hAnsi="Arial"/>
          <w:color w:val="121212"/>
          <w:sz w:val="24"/>
        </w:rPr>
      </w:pPr>
      <w:r>
        <w:rPr>
          <w:rFonts w:ascii="Arial" w:eastAsia="Arial" w:hAnsi="Arial"/>
          <w:b/>
          <w:color w:val="121212"/>
          <w:sz w:val="24"/>
        </w:rPr>
        <w:t>4</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4"/>
        </w:rPr>
        <w:t>El Juez o tribunal podrá solicitar aclaraciones al testigo respecto de alguno de los extremos de su declaración que resulten ininteligibles, confusas o contradictorias con otras, sin que con ello suplan la actividad de parte, lo que comprometería su imparcialidad (art. 369). La parte contraria podrá objetar la pregunta aclaratoria (porque vaya más allá de este propósito y se dejará constancia de ello, rectificando en ese momento el tribunal si así lo cree necesario. Incluso y dada la naturaleza de la aclaración, de ser preciso (y sólo de serlo) se permitirá a las partes hacer otras preguntas al testigo relacionadas con su aclaración (art. 369).</w:t>
      </w:r>
    </w:p>
    <w:p w:rsidR="00CB1F00" w:rsidRDefault="00CB1F00" w:rsidP="00CB1F00">
      <w:pPr>
        <w:spacing w:line="240" w:lineRule="exact"/>
        <w:rPr>
          <w:rFonts w:ascii="Times New Roman" w:eastAsia="Times New Roman" w:hAnsi="Times New Roman"/>
        </w:rPr>
      </w:pPr>
    </w:p>
    <w:p w:rsidR="00CB1F00" w:rsidRDefault="00CB1F00" w:rsidP="00CB1F00">
      <w:pPr>
        <w:tabs>
          <w:tab w:val="left" w:pos="640"/>
        </w:tabs>
        <w:spacing w:line="237" w:lineRule="auto"/>
        <w:ind w:left="660" w:hanging="566"/>
        <w:jc w:val="both"/>
        <w:rPr>
          <w:rFonts w:ascii="Arial" w:eastAsia="Arial" w:hAnsi="Arial"/>
          <w:color w:val="121212"/>
          <w:sz w:val="23"/>
        </w:rPr>
      </w:pPr>
      <w:r>
        <w:rPr>
          <w:rFonts w:ascii="Arial" w:eastAsia="Arial" w:hAnsi="Arial"/>
          <w:b/>
          <w:color w:val="121212"/>
          <w:sz w:val="24"/>
        </w:rPr>
        <w:t>5</w:t>
      </w:r>
      <w:r>
        <w:rPr>
          <w:rFonts w:ascii="Arial" w:eastAsia="Arial" w:hAnsi="Arial"/>
          <w:color w:val="121212"/>
          <w:sz w:val="24"/>
        </w:rPr>
        <w:t>.</w:t>
      </w:r>
      <w:r>
        <w:rPr>
          <w:rFonts w:ascii="Times New Roman" w:eastAsia="Times New Roman" w:hAnsi="Times New Roman"/>
        </w:rPr>
        <w:tab/>
      </w:r>
      <w:r>
        <w:rPr>
          <w:rFonts w:ascii="Arial" w:eastAsia="Arial" w:hAnsi="Arial"/>
          <w:color w:val="121212"/>
          <w:sz w:val="23"/>
        </w:rPr>
        <w:t>Se permitirá en todo caso un contrainterrogatorio a cargo del abogado de la parte contraria, señalando la ley que en este trámite se permitirán “preguntas sugestivas” (art. 367 CPCM). No parece muy conveniente sin embargo esta autorización legal, que deja sin efecto el carácter prohibitivo de este tipo de preguntas (tanto en el interrogatorio inicial, como en la prueba de declaración de parte), se entiende que como último recurso para llegar a la verdad de las cosas. Convendrá, en todo caso, que el juez vigile en todo momento un riesgo esencial en este tipo de preguntas: que el testigo comprenda exactamente el significado de aquello sobre lo que ha de responder. Permitir que éste incurra en confusiones gracias al engaño de la sugestión. Se antojaría a todas luces un efecto improcedente y no querido por la ley.</w:t>
      </w:r>
    </w:p>
    <w:p w:rsidR="00CB1F00" w:rsidRDefault="00CB1F00" w:rsidP="00CB1F00">
      <w:pPr>
        <w:spacing w:line="247" w:lineRule="exact"/>
        <w:rPr>
          <w:rFonts w:ascii="Times New Roman" w:eastAsia="Times New Roman" w:hAnsi="Times New Roman"/>
        </w:rPr>
      </w:pPr>
    </w:p>
    <w:p w:rsidR="00CB1F00" w:rsidRDefault="00CB1F00" w:rsidP="00CB1F00">
      <w:pPr>
        <w:spacing w:line="228" w:lineRule="auto"/>
        <w:ind w:left="660"/>
        <w:jc w:val="both"/>
        <w:rPr>
          <w:rFonts w:ascii="Arial" w:eastAsia="Arial" w:hAnsi="Arial"/>
          <w:color w:val="121212"/>
          <w:sz w:val="24"/>
        </w:rPr>
      </w:pPr>
      <w:r>
        <w:rPr>
          <w:rFonts w:ascii="Arial" w:eastAsia="Arial" w:hAnsi="Arial"/>
          <w:color w:val="121212"/>
          <w:sz w:val="24"/>
        </w:rPr>
        <w:t>El contrainterrogatorio por lo demás, seguirá la misma tónica de realización que el interrogatorio inicial, y una vez completado éste y de solicitarlo la parte proponente del testigo, seguirá una réplica o segunda tanda de preguntas propias, que a su vez podrá dar paso, si así se pide por la otra parte, a un segundo contrainterrogatorio (art. 367 CPCM). De cualquier modo, parece lógico que este segundo turno se utilice sólo para el control de credibilidad de lo ya declarado, no para reiterar de nuevo las mismas o similares preguntas anteriores.</w:t>
      </w:r>
    </w:p>
    <w:p w:rsidR="00CB1F00" w:rsidRDefault="00CB1F00" w:rsidP="00CB1F00">
      <w:pPr>
        <w:spacing w:line="242" w:lineRule="exact"/>
        <w:rPr>
          <w:rFonts w:ascii="Times New Roman" w:eastAsia="Times New Roman" w:hAnsi="Times New Roman"/>
        </w:rPr>
      </w:pPr>
    </w:p>
    <w:p w:rsidR="00CB1F00" w:rsidRDefault="00CB1F00" w:rsidP="00CB1F00">
      <w:pPr>
        <w:spacing w:line="0" w:lineRule="atLeast"/>
        <w:ind w:left="100"/>
        <w:rPr>
          <w:rFonts w:ascii="Arial" w:eastAsia="Arial" w:hAnsi="Arial"/>
          <w:b/>
          <w:color w:val="121212"/>
          <w:sz w:val="24"/>
        </w:rPr>
      </w:pPr>
      <w:r>
        <w:rPr>
          <w:rFonts w:ascii="Arial" w:eastAsia="Arial" w:hAnsi="Arial"/>
          <w:b/>
          <w:color w:val="121212"/>
          <w:sz w:val="24"/>
        </w:rPr>
        <w:t>VII.- Valoración</w:t>
      </w:r>
    </w:p>
    <w:p w:rsidR="00CB1F00" w:rsidRDefault="00CB1F00" w:rsidP="00CB1F00">
      <w:pPr>
        <w:spacing w:line="245" w:lineRule="exact"/>
        <w:rPr>
          <w:rFonts w:ascii="Times New Roman" w:eastAsia="Times New Roman" w:hAnsi="Times New Roman"/>
        </w:rPr>
      </w:pPr>
    </w:p>
    <w:p w:rsidR="00CB1F00" w:rsidRDefault="00CB1F00" w:rsidP="00CB1F00">
      <w:pPr>
        <w:spacing w:line="239" w:lineRule="auto"/>
        <w:ind w:left="100"/>
        <w:jc w:val="both"/>
        <w:rPr>
          <w:rFonts w:ascii="Arial" w:eastAsia="Arial" w:hAnsi="Arial"/>
          <w:color w:val="121212"/>
          <w:sz w:val="23"/>
        </w:rPr>
      </w:pPr>
      <w:r>
        <w:rPr>
          <w:rFonts w:ascii="Arial" w:eastAsia="Arial" w:hAnsi="Arial"/>
          <w:color w:val="121212"/>
          <w:sz w:val="23"/>
        </w:rPr>
        <w:t>A falta de un precepto concreto en el articulado de esta prueba, que así lo hubiera establecido específicamente para ella, ha de aplicarse la orden general del art. 416 del Código, en cuanto a la valoración del testimonio conforme a las reglas de la sana crítica (libre pero razonada apreciación). Como parámetros a considerar en esa labor, hará bien el juez o el tribunal en guiarse por las pautas que le ofrece el ya mencionado art. 366, donde como veíamos se enuncian los distintos frentes que pueden condicionar –o reforzar- la credibilidad del testigo en cada caso. Es</w:t>
      </w:r>
    </w:p>
    <w:p w:rsidR="00CB1F00" w:rsidRDefault="00CB1F00" w:rsidP="00CB1F00">
      <w:pPr>
        <w:spacing w:line="239" w:lineRule="auto"/>
        <w:ind w:left="100"/>
        <w:jc w:val="both"/>
        <w:rPr>
          <w:rFonts w:ascii="Arial" w:eastAsia="Arial" w:hAnsi="Arial"/>
          <w:color w:val="121212"/>
          <w:sz w:val="23"/>
        </w:rPr>
        <w:sectPr w:rsidR="00CB1F00">
          <w:pgSz w:w="10780" w:h="14173"/>
          <w:pgMar w:top="406" w:right="1132" w:bottom="753" w:left="433" w:header="0" w:footer="0" w:gutter="0"/>
          <w:cols w:num="2" w:space="0" w:equalWidth="0">
            <w:col w:w="195" w:space="412"/>
            <w:col w:w="8600"/>
          </w:cols>
          <w:docGrid w:linePitch="360"/>
        </w:sectPr>
      </w:pPr>
    </w:p>
    <w:tbl>
      <w:tblPr>
        <w:tblW w:w="0" w:type="auto"/>
        <w:tblInd w:w="4820" w:type="dxa"/>
        <w:tblLayout w:type="fixed"/>
        <w:tblCellMar>
          <w:left w:w="0" w:type="dxa"/>
          <w:right w:w="0" w:type="dxa"/>
        </w:tblCellMar>
        <w:tblLook w:val="0000" w:firstRow="0" w:lastRow="0" w:firstColumn="0" w:lastColumn="0" w:noHBand="0" w:noVBand="0"/>
      </w:tblPr>
      <w:tblGrid>
        <w:gridCol w:w="3200"/>
        <w:gridCol w:w="600"/>
      </w:tblGrid>
      <w:tr w:rsidR="00CB1F00" w:rsidTr="000F66D3">
        <w:trPr>
          <w:trHeight w:val="736"/>
        </w:trPr>
        <w:tc>
          <w:tcPr>
            <w:tcW w:w="3200" w:type="dxa"/>
            <w:tcBorders>
              <w:right w:val="single" w:sz="8" w:space="0" w:color="121212"/>
            </w:tcBorders>
            <w:shd w:val="clear" w:color="auto" w:fill="auto"/>
            <w:vAlign w:val="bottom"/>
          </w:tcPr>
          <w:p w:rsidR="00CB1F00" w:rsidRDefault="00CB1F00" w:rsidP="000F66D3">
            <w:pPr>
              <w:spacing w:line="0" w:lineRule="atLeast"/>
              <w:rPr>
                <w:rFonts w:ascii="Arial" w:eastAsia="Arial" w:hAnsi="Arial"/>
                <w:color w:val="888A8A"/>
              </w:rPr>
            </w:pPr>
            <w:bookmarkStart w:id="12" w:name="page446"/>
            <w:bookmarkEnd w:id="12"/>
            <w:r>
              <w:rPr>
                <w:rFonts w:ascii="Arial" w:eastAsia="Arial" w:hAnsi="Arial"/>
                <w:color w:val="888A8A"/>
              </w:rPr>
              <w:lastRenderedPageBreak/>
              <w:t>Consejo Nacional de la Judicatura</w:t>
            </w:r>
          </w:p>
        </w:tc>
        <w:tc>
          <w:tcPr>
            <w:tcW w:w="600" w:type="dxa"/>
            <w:shd w:val="clear" w:color="auto" w:fill="auto"/>
            <w:vAlign w:val="bottom"/>
          </w:tcPr>
          <w:p w:rsidR="00CB1F00" w:rsidRDefault="00CB1F00" w:rsidP="000F66D3">
            <w:pPr>
              <w:spacing w:line="0" w:lineRule="atLeast"/>
              <w:jc w:val="right"/>
              <w:rPr>
                <w:rFonts w:ascii="Arial" w:eastAsia="Arial" w:hAnsi="Arial"/>
                <w:color w:val="121212"/>
                <w:sz w:val="28"/>
              </w:rPr>
            </w:pPr>
            <w:r>
              <w:rPr>
                <w:rFonts w:ascii="Arial" w:eastAsia="Arial" w:hAnsi="Arial"/>
                <w:color w:val="121212"/>
                <w:sz w:val="28"/>
              </w:rPr>
              <w:t>411</w:t>
            </w:r>
          </w:p>
        </w:tc>
      </w:tr>
    </w:tbl>
    <w:p w:rsidR="00CB1F00" w:rsidRDefault="00CB1F00" w:rsidP="00CB1F00">
      <w:pPr>
        <w:spacing w:line="378" w:lineRule="exact"/>
        <w:rPr>
          <w:rFonts w:ascii="Times New Roman" w:eastAsia="Times New Roman" w:hAnsi="Times New Roman"/>
        </w:rPr>
      </w:pPr>
    </w:p>
    <w:p w:rsidR="00CB1F00" w:rsidRDefault="00CB1F00" w:rsidP="00CB1F00">
      <w:pPr>
        <w:spacing w:line="239" w:lineRule="auto"/>
        <w:ind w:right="120"/>
        <w:jc w:val="both"/>
        <w:rPr>
          <w:rFonts w:ascii="Arial" w:eastAsia="Arial" w:hAnsi="Arial"/>
          <w:color w:val="121212"/>
          <w:sz w:val="23"/>
        </w:rPr>
      </w:pPr>
      <w:r>
        <w:rPr>
          <w:rFonts w:ascii="Arial" w:eastAsia="Arial" w:hAnsi="Arial"/>
          <w:color w:val="121212"/>
          <w:sz w:val="23"/>
        </w:rPr>
        <w:t>importante tener en cuenta que el Código ha huido de prever como causa de incapacidad del testigo la de su posible parcialidad, así que esta cuestión, si bien desde luego tiene que intentar ser desentrañada por el tribunal al dictar sentencia, una vez se han alegado motivos para dudar de ella por la parte contraria a la que perjudica su dicho, conforma un estado de sospecha que, a falta de prueba cierta, no puede tomarse como simple bulo para la descalificación del testigo, así que en caso de duda el testigo debe ser reputado imparcial.</w:t>
      </w:r>
    </w:p>
    <w:p w:rsidR="00CB1F00" w:rsidRDefault="00CB1F00" w:rsidP="00CB1F00">
      <w:pPr>
        <w:spacing w:line="236" w:lineRule="exact"/>
        <w:rPr>
          <w:rFonts w:ascii="Times New Roman" w:eastAsia="Times New Roman" w:hAnsi="Times New Roman"/>
        </w:rPr>
      </w:pPr>
    </w:p>
    <w:p w:rsidR="00CB1F00" w:rsidRDefault="00CB1F00" w:rsidP="00CB1F00">
      <w:pPr>
        <w:spacing w:line="250" w:lineRule="auto"/>
        <w:ind w:right="120"/>
        <w:jc w:val="both"/>
        <w:rPr>
          <w:rFonts w:ascii="Arial" w:eastAsia="Arial" w:hAnsi="Arial"/>
          <w:color w:val="121212"/>
          <w:sz w:val="22"/>
        </w:rPr>
      </w:pPr>
      <w:r>
        <w:rPr>
          <w:rFonts w:ascii="Arial" w:eastAsia="Arial" w:hAnsi="Arial"/>
          <w:color w:val="121212"/>
          <w:sz w:val="22"/>
        </w:rPr>
        <w:t>Más allá de estas directrices genéricas, la ley no puede sustituir al juez en un trabajo de razón y experiencia que sólo a éste corresponde, desplegando sus máximas de la experiencia, y analizando la concordancia de las declaraciones si son varias, las circunstancias en que cada testigo dice haber aprehendido los hechos, y la coherencia de lo declarado. Menos valor deben tener los comportamientos externos del testigo durante la declaración, pues la realidad es que ante un estrado de justicia, una persona puede estar dominada por el nerviosismo y no por ello pretender mentir; por el contrario, sujetos con una personalidad fría pueden mostrarse impasibles ante el curso del interrogatorio lo que no quiere decir que estén diciendo la verdad.</w:t>
      </w:r>
    </w:p>
    <w:p w:rsidR="00CB1F00" w:rsidRDefault="00CB1F00" w:rsidP="00CB1F00">
      <w:pPr>
        <w:spacing w:line="228" w:lineRule="exact"/>
        <w:rPr>
          <w:rFonts w:ascii="Times New Roman" w:eastAsia="Times New Roman" w:hAnsi="Times New Roman"/>
        </w:rPr>
      </w:pPr>
    </w:p>
    <w:p w:rsidR="00CB1F00" w:rsidRDefault="00CB1F00" w:rsidP="00CB1F00">
      <w:pPr>
        <w:spacing w:line="239" w:lineRule="auto"/>
        <w:ind w:right="120"/>
        <w:jc w:val="both"/>
        <w:rPr>
          <w:rFonts w:ascii="Arial" w:eastAsia="Arial" w:hAnsi="Arial"/>
          <w:color w:val="121212"/>
          <w:sz w:val="23"/>
        </w:rPr>
      </w:pPr>
      <w:r>
        <w:rPr>
          <w:rFonts w:ascii="Arial" w:eastAsia="Arial" w:hAnsi="Arial"/>
          <w:color w:val="121212"/>
          <w:sz w:val="23"/>
        </w:rPr>
        <w:t>Caer en subjetividades de ese tipo, puede ser muy peligroso y atentatorio contra la seguridad jurídica. Si el testigo se pone nervioso mientras declara, eso debe servirle al tribunal en ese momento para formularle si acaso otras preguntas de aclaración y registrar sus respuestas; no para esperar al día de la sentencia y desechar su testimonio so capa de interpretar que tal o cual movimiento o tono de voz debe suponer tal o cual cosa, sin base objetiva alguna.</w:t>
      </w:r>
    </w:p>
    <w:p w:rsidR="00CB1F00" w:rsidRDefault="00CB1F00" w:rsidP="00CB1F00">
      <w:pPr>
        <w:spacing w:line="200" w:lineRule="exact"/>
        <w:rPr>
          <w:rFonts w:ascii="Times New Roman" w:eastAsia="Times New Roman" w:hAnsi="Times New Roman"/>
        </w:rPr>
      </w:pPr>
    </w:p>
    <w:p w:rsidR="00CB1F00" w:rsidRDefault="00CB1F00" w:rsidP="00CB1F00">
      <w:pPr>
        <w:spacing w:line="200" w:lineRule="exact"/>
        <w:rPr>
          <w:rFonts w:ascii="Times New Roman" w:eastAsia="Times New Roman" w:hAnsi="Times New Roman"/>
        </w:rPr>
      </w:pPr>
    </w:p>
    <w:p w:rsidR="00830FA2" w:rsidRDefault="00CB1F00">
      <w:bookmarkStart w:id="13" w:name="_GoBack"/>
      <w:bookmarkEnd w:id="13"/>
    </w:p>
    <w:sectPr w:rsidR="00830F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A36A8186"/>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ĀĀᜀĀ"/>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00"/>
    <w:rsid w:val="00006672"/>
    <w:rsid w:val="005B58AB"/>
    <w:rsid w:val="00CB1F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C56A3-11F6-4451-BBBC-69106F85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F00"/>
    <w:pPr>
      <w:spacing w:after="0" w:line="240" w:lineRule="auto"/>
    </w:pPr>
    <w:rPr>
      <w:rFonts w:ascii="Calibri" w:eastAsia="Calibri" w:hAnsi="Calibri" w:cs="Arial"/>
      <w:sz w:val="20"/>
      <w:szCs w:val="20"/>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5856</Words>
  <Characters>32208</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dc:creator>
  <cp:keywords/>
  <dc:description/>
  <cp:lastModifiedBy>Ronald</cp:lastModifiedBy>
  <cp:revision>1</cp:revision>
  <dcterms:created xsi:type="dcterms:W3CDTF">2018-04-06T17:18:00Z</dcterms:created>
  <dcterms:modified xsi:type="dcterms:W3CDTF">2018-04-06T17:21:00Z</dcterms:modified>
</cp:coreProperties>
</file>