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b/>
        </w:rPr>
        <w:pict>
          <v:shapetype id="shapetype_32" coordsize="21600,21600" o:spt="32" path="m,l21600,21600nfe">
            <v:stroke joinstyle="miter"/>
            <v:path gradientshapeok="t" o:connecttype="rect" textboxrect="0,0,21600,21600"/>
          </v:shapetype>
          <v:shape id="shape_0" style="position:absolute;margin-left:327.85pt;margin-top:2.55pt;width:241.35pt;height:43.2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192.35pt;margin-top:22.1pt;width:283.5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526.4pt;margin-top:0pt;width:33.35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218.8pt;margin-top:1.15pt;width:33.35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111.75pt;margin-top:19.6pt;width:254.55pt;height:61.4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111.75pt;margin-top:16.8pt;width:74.55pt;height:27.2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516.2pt;margin-top:19.45pt;width:33.35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231.1pt;margin-top:19.45pt;width:33.35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195.55pt;margin-top:117.8pt;width:264.25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321.6pt;margin-top:74.6pt;width:0pt;height:43.15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583.3pt;margin-top:2.55pt;width:0pt;height:58.15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123.25pt;margin-top:12.4pt;width:393pt;height:91.2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493.15pt;margin-top:38.5pt;width:26.2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227.6pt;margin-top:31.75pt;width:26.2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81.1pt;margin-top:69.55pt;width:0pt;height:21.9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233.7pt;margin-top:156.45pt;width:70.2pt;height:0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285.65pt;margin-top:222.85pt;width:129.9pt;height:44.2pt" type="shapetype_32">
            <v:wrap v:type="none"/>
            <v:fill detectmouseclick="t"/>
            <v:stroke color="black" joinstyle="round"/>
          </v:shape>
        </w:pict>
        <w:pict>
          <v:shape id="shape_0" style="position:absolute;margin-left:560.45pt;margin-top:4.4pt;width:0pt;height:15pt" type="shapetype_32">
            <v:wrap v:type="none"/>
            <v:fill detectmouseclick="t"/>
            <v:stroke color="black" joinstyle="round"/>
          </v:shape>
        </w:pict>
      </w:r>
    </w:p>
    <w:p>
      <w:pPr>
        <w:pStyle w:val="style34"/>
        <w:jc w:val="center"/>
      </w:pPr>
      <w:r>
        <w:rPr>
          <w:sz w:val="32"/>
          <w:szCs w:val="32"/>
        </w:rPr>
        <w:t>Contenido de la solicitud: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34"/>
      </w:pPr>
      <w:r>
        <w:rPr/>
        <w:t xml:space="preserve"> </w:t>
      </w:r>
      <w:r>
        <w:rPr>
          <w:b/>
        </w:rPr>
        <w:t>3.</w:t>
      </w:r>
      <w:r>
        <w:rPr/>
        <w:t xml:space="preserve"> Relación exacta, clara y concisa de lo que digan los otorgantes. Dependerá de cada caso por que la persona falleció dejando testamento o de una forma intestada.</w:t>
      </w:r>
    </w:p>
    <w:p>
      <w:pPr>
        <w:pStyle w:val="style0"/>
      </w:pPr>
      <w:r>
        <w:rPr/>
        <w:tab/>
      </w:r>
    </w:p>
    <w:p>
      <w:pPr>
        <w:pStyle w:val="style34"/>
      </w:pPr>
      <w:r>
        <w:rPr>
          <w:b/>
        </w:rPr>
        <w:t>6</w:t>
      </w:r>
      <w:r>
        <w:rPr/>
        <w:t>.                 a) el notario debe de explicar los efectos legales; b) que el acta se lea íntegramente; c) ratifica su  contenido y firma, si la persona no supiere firmar lo hará a su ruego otra persona que deberá ser identificada.</w:t>
      </w:r>
    </w:p>
    <w:p>
      <w:pPr>
        <w:pStyle w:val="style34"/>
      </w:pPr>
      <w:r>
        <w:rPr/>
      </w:r>
    </w:p>
    <w:p>
      <w:pPr>
        <w:pStyle w:val="style34"/>
      </w:pPr>
      <w:r>
        <w:rPr/>
      </w:r>
    </w:p>
    <w:p>
      <w:pPr>
        <w:pStyle w:val="style34"/>
      </w:pPr>
      <w:r>
        <w:rPr/>
      </w:r>
    </w:p>
    <w:p>
      <w:pPr>
        <w:pStyle w:val="style34"/>
      </w:pPr>
      <w:r>
        <w:rPr/>
      </w:r>
    </w:p>
    <w:p>
      <w:pPr>
        <w:pStyle w:val="style34"/>
      </w:pPr>
      <w:r>
        <w:rPr/>
      </w:r>
    </w:p>
    <w:p>
      <w:pPr>
        <w:pStyle w:val="style34"/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  <w:tabs>
          <w:tab w:leader="none" w:pos="5584" w:val="left"/>
        </w:tabs>
      </w:pPr>
      <w:r>
        <w:rPr/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34"/>
      </w:pPr>
      <w:r>
        <w:rPr>
          <w:b/>
          <w:sz w:val="28"/>
          <w:szCs w:val="28"/>
        </w:rPr>
        <w:t>B.</w:t>
      </w:r>
      <w:r>
        <w:rPr>
          <w:sz w:val="28"/>
          <w:szCs w:val="28"/>
        </w:rPr>
        <w:t xml:space="preserve"> Actuación del juez Auto de Admisión realizada ante el juez que conozca sobre las diligencias: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34"/>
      </w:pPr>
      <w:r>
        <w:rPr>
          <w:sz w:val="28"/>
          <w:szCs w:val="28"/>
        </w:rPr>
        <w:t>II) que se libren oficios al Secretario de la Corte Suprema de Justicia y  tribunales o juzgados competentes correspondientes: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34"/>
      </w:pPr>
      <w:r>
        <w:rPr>
          <w:sz w:val="28"/>
          <w:szCs w:val="28"/>
        </w:rPr>
        <w:t>I): que se admita la solicitud realizada.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32"/>
        <w:numPr>
          <w:ilvl w:val="0"/>
          <w:numId w:val="1"/>
        </w:numPr>
      </w:pPr>
      <w:r>
        <w:rPr>
          <w:sz w:val="28"/>
          <w:szCs w:val="28"/>
        </w:rPr>
      </w:r>
    </w:p>
    <w:p>
      <w:pPr>
        <w:pStyle w:val="style32"/>
        <w:numPr>
          <w:ilvl w:val="0"/>
          <w:numId w:val="1"/>
        </w:numPr>
      </w:pPr>
      <w:r>
        <w:rPr>
          <w:sz w:val="28"/>
          <w:szCs w:val="28"/>
        </w:rPr>
        <w:t>Para verificar la existencia de otro  testamento.</w:t>
      </w:r>
    </w:p>
    <w:p>
      <w:pPr>
        <w:pStyle w:val="style0"/>
      </w:pPr>
      <w:r>
        <w:rPr/>
      </w:r>
    </w:p>
    <w:p>
      <w:pPr>
        <w:pStyle w:val="style32"/>
        <w:numPr>
          <w:ilvl w:val="0"/>
          <w:numId w:val="2"/>
        </w:numPr>
      </w:pPr>
      <w:r>
        <w:rPr>
          <w:sz w:val="28"/>
          <w:szCs w:val="28"/>
        </w:rPr>
      </w:r>
    </w:p>
    <w:p>
      <w:pPr>
        <w:pStyle w:val="style32"/>
        <w:numPr>
          <w:ilvl w:val="0"/>
          <w:numId w:val="2"/>
        </w:numPr>
      </w:pPr>
      <w:r>
        <w:rPr>
          <w:sz w:val="28"/>
          <w:szCs w:val="28"/>
        </w:rPr>
        <w:t>Verificar si otros herederos presuntos o persona interesadas realizan otras diligencias de aceptación de herencia.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32"/>
        <w:numPr>
          <w:ilvl w:val="0"/>
          <w:numId w:val="3"/>
        </w:numPr>
      </w:pPr>
      <w:r>
        <w:rPr>
          <w:sz w:val="28"/>
          <w:szCs w:val="28"/>
        </w:rPr>
      </w:r>
    </w:p>
    <w:p>
      <w:pPr>
        <w:pStyle w:val="style32"/>
        <w:numPr>
          <w:ilvl w:val="0"/>
          <w:numId w:val="3"/>
        </w:numPr>
      </w:pPr>
      <w:r>
        <w:rPr>
          <w:sz w:val="28"/>
          <w:szCs w:val="28"/>
        </w:rPr>
        <w:t>Informe si se presento persona alguna, aceptando herencia Testamentaria o Abintestato, o repudiándola.</w:t>
      </w:r>
    </w:p>
    <w:p>
      <w:pPr>
        <w:pStyle w:val="style0"/>
      </w:pPr>
      <w:r>
        <w:rPr/>
      </w:r>
    </w:p>
    <w:p>
      <w:pPr>
        <w:pStyle w:val="style0"/>
        <w:tabs>
          <w:tab w:leader="none" w:pos="9553" w:val="left"/>
        </w:tabs>
      </w:pPr>
      <w:r>
        <w:rPr/>
        <w:tab/>
      </w:r>
    </w:p>
    <w:p>
      <w:pPr>
        <w:sectPr>
          <w:headerReference r:id="rId2" w:type="default"/>
          <w:type w:val="nextPage"/>
          <w:pgSz w:h="12240" w:orient="landscape" w:w="15840"/>
          <w:pgMar w:bottom="1701" w:footer="0" w:gutter="0" w:header="708" w:left="1417" w:right="1417" w:top="1701"/>
          <w:pgNumType w:fmt="decimal"/>
          <w:formProt w:val="false"/>
          <w:textDirection w:val="lrTb"/>
          <w:docGrid w:charSpace="4096" w:linePitch="360" w:type="default"/>
        </w:sectPr>
        <w:pStyle w:val="style29"/>
      </w:pPr>
      <w:r>
        <w:rPr/>
      </w:r>
    </w:p>
    <w:p>
      <w:pPr>
        <w:pStyle w:val="style0"/>
        <w:spacing w:line="360" w:lineRule="auto"/>
        <w:jc w:val="right"/>
      </w:pPr>
      <w:r>
        <w:rPr>
          <w:sz w:val="23"/>
        </w:rPr>
        <w:t>San Salvador, veintiséis de Enero del 2011.</w:t>
      </w:r>
    </w:p>
    <w:p>
      <w:pPr>
        <w:pStyle w:val="style0"/>
        <w:spacing w:line="360" w:lineRule="auto"/>
        <w:jc w:val="right"/>
      </w:pPr>
      <w:r>
        <w:rPr>
          <w:sz w:val="23"/>
        </w:rPr>
      </w:r>
    </w:p>
    <w:p>
      <w:pPr>
        <w:pStyle w:val="style0"/>
        <w:jc w:val="both"/>
      </w:pPr>
      <w:r>
        <w:rPr>
          <w:b/>
          <w:sz w:val="23"/>
        </w:rPr>
        <w:t>Señor Oficial Mayor de la Honorable</w:t>
      </w:r>
    </w:p>
    <w:p>
      <w:pPr>
        <w:pStyle w:val="style0"/>
        <w:jc w:val="both"/>
      </w:pPr>
      <w:r>
        <w:rPr>
          <w:b/>
          <w:sz w:val="23"/>
        </w:rPr>
        <w:t>Corte Suprema de Justicia.</w:t>
      </w:r>
    </w:p>
    <w:p>
      <w:pPr>
        <w:pStyle w:val="style0"/>
        <w:spacing w:line="360" w:lineRule="auto"/>
        <w:jc w:val="both"/>
      </w:pPr>
      <w:r>
        <w:rPr>
          <w:b/>
          <w:sz w:val="23"/>
        </w:rPr>
        <w:t xml:space="preserve">Presente.- </w:t>
      </w:r>
    </w:p>
    <w:p>
      <w:pPr>
        <w:pStyle w:val="style0"/>
        <w:spacing w:line="360" w:lineRule="auto"/>
        <w:jc w:val="both"/>
      </w:pPr>
      <w:r>
        <w:rPr>
          <w:sz w:val="23"/>
        </w:rPr>
      </w:r>
    </w:p>
    <w:p>
      <w:pPr>
        <w:pStyle w:val="style0"/>
        <w:spacing w:line="360" w:lineRule="auto"/>
        <w:jc w:val="both"/>
      </w:pPr>
      <w:r>
        <w:rPr>
          <w:sz w:val="23"/>
        </w:rPr>
      </w:r>
    </w:p>
    <w:p>
      <w:pPr>
        <w:pStyle w:val="style0"/>
        <w:spacing w:line="360" w:lineRule="auto"/>
        <w:jc w:val="both"/>
      </w:pPr>
      <w:r>
        <w:rPr>
          <w:sz w:val="23"/>
        </w:rPr>
        <w:t xml:space="preserve">                </w:t>
      </w:r>
      <w:r>
        <w:rPr>
          <w:sz w:val="23"/>
        </w:rPr>
        <w:t>En cumplimiento al artículo veinte de la Ley del ejercicio Notarial de la Jurisdicción Voluntaria y de Otras Diligencias, me permito informar a la Honorable Corte Suprema de Justicia, que en estas oficinas notariales se ha iniciado las siguientes diligencias:</w:t>
      </w:r>
    </w:p>
    <w:p>
      <w:pPr>
        <w:pStyle w:val="style0"/>
        <w:spacing w:line="360" w:lineRule="auto"/>
        <w:jc w:val="both"/>
      </w:pPr>
      <w:r>
        <w:rPr>
          <w:sz w:val="23"/>
        </w:rPr>
      </w:r>
    </w:p>
    <w:tbl>
      <w:tblPr>
        <w:jc w:val="left"/>
        <w:tblInd w:type="dxa" w:w="-70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</w:tblBorders>
      </w:tblPr>
      <w:tblGrid>
        <w:gridCol w:w="4088"/>
        <w:gridCol w:w="296"/>
        <w:gridCol w:w="5325"/>
      </w:tblGrid>
      <w:tr>
        <w:trPr>
          <w:trHeight w:hRule="atLeast" w:val="1356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A) Nombre del causante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Maria Antonia Hernández conocida Por Maria Antonia Hernández Portillo, Maria Antonia Hernández Viuda De González, Antonia Hernández, Maria Antonia Hernández De González y Por Maria Antonia Hernández Portillo De González.</w:t>
            </w:r>
          </w:p>
          <w:p>
            <w:pPr>
              <w:pStyle w:val="style0"/>
              <w:jc w:val="both"/>
            </w:pPr>
            <w:r>
              <w:rPr>
                <w:sz w:val="23"/>
              </w:rPr>
            </w:r>
          </w:p>
        </w:tc>
      </w:tr>
      <w:tr>
        <w:trPr>
          <w:trHeight w:hRule="atLeast" w:val="549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B) Su Ultimo Domicilio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Cantón Valle Alegre, Jurisdicción de Moncagua, Departamento de San Miguel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C) Fecha de fallecimiento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29 de Septiembre de 2003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D) Clase de Sucesión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Intestada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E) Edad al fallecimiento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Setenta y cinco años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F) Profesión u Oficio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Ama de Casa</w:t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G) Estado Civil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Soltera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H) Nombre del padre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Antonio Hernández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I) Nombre de la madre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Transito Portillo</w:t>
            </w:r>
          </w:p>
        </w:tc>
      </w:tr>
      <w:tr>
        <w:trPr>
          <w:trHeight w:hRule="atLeast" w:val="569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J) Originario de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 xml:space="preserve">: 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Cantón Valle Alegre, Jurisdicción de Moncagua, Departamento de San Miguel.</w:t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K) Nacionalidad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Salvadoreña</w:t>
            </w:r>
          </w:p>
        </w:tc>
      </w:tr>
      <w:tr>
        <w:trPr>
          <w:trHeight w:hRule="atLeast" w:val="854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L) Nombre de los Aceptantes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bCs/>
                <w:sz w:val="23"/>
              </w:rPr>
              <w:t>José Osmin González Hernández, Timoteo González Hernández, Daisy Mabel González De Gómez, Bertilo González Hernández.</w:t>
            </w:r>
          </w:p>
        </w:tc>
      </w:tr>
      <w:tr>
        <w:trPr>
          <w:trHeight w:hRule="atLeast" w:val="1167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M) Calidad de Aceptantes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Hijos de la Causante, y Cesionarios de los derechos de Adelia González de Coreas, Carlos Alberto González Hernández, Maria del Transito González Pichinte y Maria Luisa González de Hernández.</w:t>
            </w:r>
          </w:p>
        </w:tc>
      </w:tr>
      <w:tr>
        <w:trPr>
          <w:trHeight w:hRule="atLeast" w:val="549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numPr>
                <w:ilvl w:val="0"/>
                <w:numId w:val="4"/>
              </w:numPr>
              <w:spacing w:after="0" w:before="0" w:line="100" w:lineRule="atLeast"/>
              <w:jc w:val="both"/>
            </w:pPr>
            <w:r>
              <w:rPr>
                <w:sz w:val="23"/>
              </w:rPr>
              <w:t>Fecha de Inicio de los                  tramites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22 de Enero del año 2004</w:t>
            </w:r>
          </w:p>
        </w:tc>
      </w:tr>
      <w:tr>
        <w:trPr>
          <w:trHeight w:hRule="atLeast" w:val="770"/>
          <w:cantSplit w:val="false"/>
        </w:trPr>
        <w:tc>
          <w:tcPr>
            <w:tcW w:type="dxa" w:w="408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O) Dirección de Oficina Notarial</w:t>
            </w:r>
          </w:p>
        </w:tc>
        <w:tc>
          <w:tcPr>
            <w:tcW w:type="dxa" w:w="296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5325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Avenida España, 13 Calle Oriente, Pasaje Sagrera, Centro Comercial Metro España, local 204, segundo Nivel, San Salvador. Telefax: 208-3126</w:t>
            </w:r>
          </w:p>
        </w:tc>
      </w:tr>
    </w:tbl>
    <w:p>
      <w:pPr>
        <w:pStyle w:val="style0"/>
        <w:spacing w:line="360" w:lineRule="auto"/>
        <w:jc w:val="both"/>
      </w:pPr>
      <w:r>
        <w:rPr>
          <w:sz w:val="24"/>
        </w:rPr>
      </w:r>
    </w:p>
    <w:p>
      <w:pPr>
        <w:pStyle w:val="style25"/>
      </w:pPr>
      <w:r>
        <w:rPr>
          <w:rFonts w:ascii="Times New Roman" w:hAnsi="Times New Roman"/>
        </w:rPr>
        <w:tab/>
        <w:t>Lo que me permito hacer de su conocimiento para los efectos legales consiguientes.</w:t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/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  <w:jc w:val="left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  <w:t>San Salvador, veintiséis de Enero del 2011.</w:t>
      </w:r>
    </w:p>
    <w:p>
      <w:pPr>
        <w:pStyle w:val="style0"/>
        <w:jc w:val="both"/>
      </w:pPr>
      <w:r>
        <w:rPr>
          <w:b/>
          <w:sz w:val="24"/>
        </w:rPr>
      </w:r>
    </w:p>
    <w:p>
      <w:pPr>
        <w:pStyle w:val="style0"/>
        <w:jc w:val="both"/>
      </w:pPr>
      <w:r>
        <w:rPr>
          <w:b/>
          <w:sz w:val="24"/>
        </w:rPr>
      </w:r>
    </w:p>
    <w:p>
      <w:pPr>
        <w:pStyle w:val="style0"/>
        <w:jc w:val="both"/>
      </w:pPr>
      <w:r>
        <w:rPr>
          <w:b/>
          <w:sz w:val="24"/>
        </w:rPr>
        <w:t>Señor Oficial Mayor de la Honorable</w:t>
      </w:r>
    </w:p>
    <w:p>
      <w:pPr>
        <w:pStyle w:val="style0"/>
        <w:jc w:val="both"/>
      </w:pPr>
      <w:r>
        <w:rPr>
          <w:b/>
          <w:sz w:val="24"/>
        </w:rPr>
        <w:t>Corte Suprema de Justicia.</w:t>
      </w:r>
    </w:p>
    <w:p>
      <w:pPr>
        <w:pStyle w:val="style0"/>
        <w:spacing w:line="360" w:lineRule="auto"/>
        <w:jc w:val="both"/>
      </w:pPr>
      <w:r>
        <w:rPr>
          <w:b/>
          <w:sz w:val="24"/>
        </w:rPr>
        <w:t xml:space="preserve">Presente.- </w:t>
      </w:r>
    </w:p>
    <w:p>
      <w:pPr>
        <w:pStyle w:val="style0"/>
        <w:spacing w:line="360" w:lineRule="auto"/>
        <w:jc w:val="both"/>
      </w:pPr>
      <w:r>
        <w:rPr>
          <w:sz w:val="24"/>
        </w:rPr>
      </w:r>
    </w:p>
    <w:p>
      <w:pPr>
        <w:pStyle w:val="style0"/>
        <w:spacing w:line="360" w:lineRule="auto"/>
        <w:jc w:val="both"/>
      </w:pPr>
      <w:r>
        <w:rPr>
          <w:sz w:val="24"/>
        </w:rPr>
        <w:t xml:space="preserve">                </w:t>
      </w:r>
      <w:r>
        <w:rPr>
          <w:sz w:val="24"/>
        </w:rPr>
        <w:t xml:space="preserve">En cumplimiento al artículo diecinueve de la Ley del ejercicio Notarial de la Jurisdicción Voluntaria y de Otras Diligencias, </w:t>
      </w:r>
      <w:r>
        <w:rPr>
          <w:b/>
          <w:bCs/>
          <w:sz w:val="24"/>
        </w:rPr>
        <w:t>SOLICITO</w:t>
      </w:r>
      <w:r>
        <w:rPr>
          <w:sz w:val="24"/>
        </w:rPr>
        <w:t xml:space="preserve"> me informe si se han promovido Diligencias de Aceptación de Herencia o Declaratoria de Yacencia, en el caso siguiente:</w:t>
      </w:r>
    </w:p>
    <w:p>
      <w:pPr>
        <w:pStyle w:val="style0"/>
        <w:spacing w:line="360" w:lineRule="auto"/>
        <w:jc w:val="both"/>
      </w:pPr>
      <w:r>
        <w:rPr>
          <w:sz w:val="24"/>
        </w:rPr>
      </w:r>
    </w:p>
    <w:tbl>
      <w:tblPr>
        <w:jc w:val="left"/>
        <w:tblInd w:type="dxa" w:w="-70"/>
        <w:tblBorders>
          <w:top w:color="00000A" w:space="0" w:sz="6" w:val="single"/>
          <w:left w:color="00000A" w:space="0" w:sz="6" w:val="single"/>
          <w:bottom w:color="00000A" w:space="0" w:sz="6" w:val="single"/>
          <w:right w:color="00000A" w:space="0" w:sz="6" w:val="single"/>
        </w:tblBorders>
      </w:tblPr>
      <w:tblGrid>
        <w:gridCol w:w="3898"/>
        <w:gridCol w:w="283"/>
        <w:gridCol w:w="4797"/>
      </w:tblGrid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A) Nombre del causante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Maria Antonia Hernández conocida Por Maria Antonia Hernández Portillo, Maria Antonia Hernández Viuda De González, Antonia Hernández, Maria Antonia Hernández De González y Por Maria Antonia Hernández Portillo De González.</w:t>
            </w:r>
          </w:p>
          <w:p>
            <w:pPr>
              <w:pStyle w:val="style0"/>
              <w:jc w:val="both"/>
            </w:pPr>
            <w:r>
              <w:rPr>
                <w:sz w:val="23"/>
              </w:rPr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B) Su Ultimo Domicilio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Cantón Valle Alegre, Jurisdicción de Moncagua, Departamento de San Miguel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C) Fecha de fallecimiento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29 de Septiembre de 2003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D) Clase de Sucesión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Intestada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E) Edad al fallecimiento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Setenta y cinco años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F) Profesión u Oficio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Ama de Casa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G) Estado Civil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Soltera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H) Nombre del padre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Antonio Hernández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I) Nombre de la madre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Transito Portillo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J) Originario de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 xml:space="preserve">: 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Cantón Valle Alegre, Jurisdicción de Moncagua, Departamento de San Miguel.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K) Nacionalidad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Salvadoreña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L) Nombre de los Aceptantes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bCs/>
                <w:sz w:val="23"/>
              </w:rPr>
              <w:t>José Osmin González Hernández, Timoteo González Hernández, Daisy Mabel González De Gómez, Bertilo González Hernández.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M) Calidad de Aceptantes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Hijos de la Causante, y Cesionarios de los derechos de Adelia González de Coreas, Carlos Alberto González Hernández, Maria del Transito González Pichinte y Maria Luisa González de Hernández.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numPr>
                <w:ilvl w:val="0"/>
                <w:numId w:val="4"/>
              </w:numPr>
              <w:spacing w:after="0" w:before="0" w:line="100" w:lineRule="atLeast"/>
              <w:jc w:val="both"/>
            </w:pPr>
            <w:r>
              <w:rPr>
                <w:sz w:val="23"/>
              </w:rPr>
              <w:t>Fecha de Inicio de los                  tramites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22 de Enero del año 2004</w:t>
            </w:r>
          </w:p>
        </w:tc>
      </w:tr>
      <w:tr>
        <w:trPr>
          <w:cantSplit w:val="false"/>
        </w:trPr>
        <w:tc>
          <w:tcPr>
            <w:tcW w:type="dxa" w:w="3898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O) Dirección de Oficina Notarial</w:t>
            </w:r>
          </w:p>
        </w:tc>
        <w:tc>
          <w:tcPr>
            <w:tcW w:type="dxa" w:w="28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:</w:t>
            </w:r>
          </w:p>
        </w:tc>
        <w:tc>
          <w:tcPr>
            <w:tcW w:type="dxa" w:w="4797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3"/>
              </w:rPr>
              <w:t>Avenida España, 13 Calle Oriente, Pasaje Sagrera, Centro Comercial Metro España, local 204, segundo Nivel, San Salvador. Telefax: 208-3126</w:t>
            </w:r>
          </w:p>
        </w:tc>
      </w:tr>
    </w:tbl>
    <w:p>
      <w:pPr>
        <w:pStyle w:val="style0"/>
        <w:spacing w:line="360" w:lineRule="auto"/>
        <w:jc w:val="both"/>
      </w:pPr>
      <w:r>
        <w:rPr>
          <w:sz w:val="24"/>
        </w:rPr>
      </w:r>
    </w:p>
    <w:p>
      <w:pPr>
        <w:pStyle w:val="style0"/>
        <w:spacing w:line="360" w:lineRule="auto"/>
      </w:pPr>
      <w:r>
        <w:rPr>
          <w:sz w:val="24"/>
        </w:rPr>
        <w:t xml:space="preserve">Así mismo le ruego informarme si existe testamento alguno otorgado por el causante indicado.                                                                                                                                        </w:t>
      </w:r>
    </w:p>
    <w:p>
      <w:pPr>
        <w:pStyle w:val="style0"/>
        <w:spacing w:line="360" w:lineRule="auto"/>
      </w:pPr>
      <w:r>
        <w:rPr>
          <w:sz w:val="24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</w:r>
    </w:p>
    <w:p>
      <w:pPr>
        <w:pStyle w:val="style33"/>
      </w:pPr>
      <w:r>
        <w:rPr>
          <w:rFonts w:ascii="Times New Roman" w:hAnsi="Times New Roman"/>
        </w:rPr>
        <w:t xml:space="preserve">Lic. PABLO ALEXANDER PORTILLO ALVARADO.    </w:t>
      </w:r>
    </w:p>
    <w:p>
      <w:pPr>
        <w:pStyle w:val="style0"/>
        <w:tabs>
          <w:tab w:leader="none" w:pos="9553" w:val="left"/>
        </w:tabs>
      </w:pPr>
      <w:r>
        <w:rPr/>
      </w:r>
    </w:p>
    <w:p>
      <w:pPr>
        <w:pStyle w:val="style0"/>
        <w:tabs>
          <w:tab w:leader="none" w:pos="9553" w:val="left"/>
        </w:tabs>
      </w:pPr>
      <w:r>
        <w:rPr/>
      </w:r>
    </w:p>
    <w:p>
      <w:pPr>
        <w:pStyle w:val="style0"/>
        <w:tabs>
          <w:tab w:leader="none" w:pos="9553" w:val="left"/>
        </w:tabs>
      </w:pPr>
      <w:r>
        <w:rPr/>
      </w:r>
    </w:p>
    <w:p>
      <w:pPr>
        <w:pStyle w:val="style0"/>
        <w:tabs>
          <w:tab w:leader="none" w:pos="9553" w:val="left"/>
        </w:tabs>
      </w:pPr>
      <w:r>
        <w:rPr/>
      </w:r>
    </w:p>
    <w:p>
      <w:pPr>
        <w:sectPr>
          <w:headerReference r:id="rId3" w:type="default"/>
          <w:type w:val="nextPage"/>
          <w:pgSz w:h="15840" w:w="12240"/>
          <w:pgMar w:bottom="1418" w:footer="0" w:gutter="0" w:header="709" w:left="1701" w:right="1701" w:top="1418"/>
          <w:pgNumType w:fmt="decimal"/>
          <w:formProt w:val="false"/>
          <w:textDirection w:val="lrTb"/>
          <w:docGrid w:charSpace="4096" w:linePitch="360" w:type="default"/>
        </w:sectPr>
        <w:pStyle w:val="style0"/>
        <w:tabs>
          <w:tab w:leader="none" w:pos="9553" w:val="left"/>
        </w:tabs>
      </w:pPr>
      <w:r>
        <w:rPr/>
      </w:r>
    </w:p>
    <w:p>
      <w:pPr>
        <w:pStyle w:val="style0"/>
        <w:ind w:hanging="0" w:left="360" w:right="0"/>
      </w:pPr>
      <w:r>
        <w:rPr>
          <w:sz w:val="28"/>
          <w:szCs w:val="28"/>
        </w:rPr>
      </w:r>
    </w:p>
    <w:p>
      <w:pPr>
        <w:pStyle w:val="style34"/>
        <w:ind w:hanging="0" w:left="360" w:right="0"/>
      </w:pPr>
      <w:r>
        <w:rPr>
          <w:sz w:val="28"/>
          <w:szCs w:val="28"/>
        </w:rPr>
        <w:t>I.Respuesta de los oficios de la Corte Suprema de Justicia o de los tribunales.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tabs>
          <w:tab w:leader="none" w:pos="9887" w:val="left"/>
        </w:tabs>
      </w:pPr>
      <w:r>
        <w:rPr/>
        <w:tab/>
      </w:r>
    </w:p>
    <w:p>
      <w:pPr>
        <w:pStyle w:val="style0"/>
        <w:tabs>
          <w:tab w:leader="none" w:pos="9887" w:val="left"/>
        </w:tabs>
      </w:pPr>
      <w:r>
        <w:rPr/>
      </w:r>
    </w:p>
    <w:p>
      <w:pPr>
        <w:pStyle w:val="style0"/>
        <w:tabs>
          <w:tab w:leader="none" w:pos="9887" w:val="left"/>
        </w:tabs>
      </w:pPr>
      <w:r>
        <w:rPr/>
      </w:r>
    </w:p>
    <w:p>
      <w:pPr>
        <w:pStyle w:val="style0"/>
        <w:tabs>
          <w:tab w:leader="none" w:pos="9887" w:val="left"/>
        </w:tabs>
      </w:pPr>
      <w:r>
        <w:rPr/>
      </w:r>
    </w:p>
    <w:p>
      <w:pPr>
        <w:pStyle w:val="style0"/>
        <w:tabs>
          <w:tab w:leader="none" w:pos="9887" w:val="left"/>
        </w:tabs>
      </w:pPr>
      <w:r>
        <w:rPr/>
      </w:r>
    </w:p>
    <w:p>
      <w:pPr>
        <w:pStyle w:val="style0"/>
      </w:pPr>
      <w:r>
        <w:rPr>
          <w:lang w:val="es-ES"/>
        </w:rPr>
      </w:r>
    </w:p>
    <w:p>
      <w:pPr>
        <w:pStyle w:val="style34"/>
      </w:pPr>
      <w:r>
        <w:rPr>
          <w:lang w:val="es-ES"/>
        </w:rPr>
        <w:t>I. Se dará informe sobre los edictos realizados</w:t>
      </w:r>
    </w:p>
    <w:p>
      <w:pPr>
        <w:pStyle w:val="style0"/>
      </w:pPr>
      <w:r>
        <w:rPr>
          <w:lang w:val="es-ES"/>
        </w:rPr>
      </w:r>
    </w:p>
    <w:p>
      <w:pPr>
        <w:pStyle w:val="style34"/>
      </w:pPr>
      <w:r>
        <w:rPr>
          <w:lang w:val="es-ES"/>
        </w:rPr>
        <w:t>III. Pedir nuevamente que se declare herederos definitivos.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szCs w:val="24"/>
          <w:lang w:val="es-ES"/>
        </w:rPr>
      </w:r>
    </w:p>
    <w:p>
      <w:pPr>
        <w:pStyle w:val="style34"/>
      </w:pPr>
      <w:r>
        <w:rPr>
          <w:b/>
          <w:sz w:val="24"/>
          <w:szCs w:val="24"/>
          <w:lang w:val="es-ES"/>
        </w:rPr>
        <w:t>F.</w:t>
      </w:r>
      <w:r>
        <w:rPr>
          <w:sz w:val="24"/>
          <w:szCs w:val="24"/>
          <w:lang w:val="es-ES"/>
        </w:rPr>
        <w:t xml:space="preserve"> El juez resuelve lo siguiente:</w:t>
      </w:r>
    </w:p>
    <w:p>
      <w:pPr>
        <w:pStyle w:val="style0"/>
        <w:tabs>
          <w:tab w:leader="none" w:pos="7639" w:val="left"/>
        </w:tabs>
      </w:pPr>
      <w:r>
        <w:rPr/>
        <w:tab/>
      </w:r>
    </w:p>
    <w:p>
      <w:pPr>
        <w:pStyle w:val="style0"/>
      </w:pPr>
      <w:r>
        <w:rPr>
          <w:lang w:val="es-ES"/>
        </w:rPr>
      </w:r>
    </w:p>
    <w:p>
      <w:pPr>
        <w:pStyle w:val="style34"/>
      </w:pPr>
      <w:r>
        <w:rPr>
          <w:lang w:val="es-ES"/>
        </w:rPr>
        <w:t>Para el traspaso de los bienes al Centro Nacional de Registros: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tabs>
          <w:tab w:leader="none" w:pos="3547" w:val="left"/>
        </w:tabs>
      </w:pPr>
      <w:r>
        <w:rPr/>
        <w:tab/>
      </w:r>
    </w:p>
    <w:p>
      <w:pPr>
        <w:pStyle w:val="style0"/>
        <w:tabs>
          <w:tab w:leader="none" w:pos="3547" w:val="left"/>
        </w:tabs>
      </w:pPr>
      <w:r>
        <w:rPr/>
      </w:r>
    </w:p>
    <w:p>
      <w:pPr>
        <w:pStyle w:val="style0"/>
        <w:tabs>
          <w:tab w:leader="none" w:pos="3547" w:val="left"/>
        </w:tabs>
      </w:pPr>
      <w:r>
        <w:rPr/>
      </w:r>
    </w:p>
    <w:p>
      <w:pPr>
        <w:pStyle w:val="style0"/>
        <w:tabs>
          <w:tab w:leader="none" w:pos="3547" w:val="left"/>
        </w:tabs>
      </w:pPr>
      <w:r>
        <w:rPr/>
      </w:r>
    </w:p>
    <w:p>
      <w:pPr>
        <w:pStyle w:val="style0"/>
        <w:tabs>
          <w:tab w:leader="none" w:pos="3547" w:val="left"/>
        </w:tabs>
      </w:pPr>
      <w:r>
        <w:rPr/>
      </w:r>
    </w:p>
    <w:p>
      <w:pPr>
        <w:pStyle w:val="style0"/>
        <w:tabs>
          <w:tab w:leader="none" w:pos="3547" w:val="left"/>
        </w:tabs>
      </w:pPr>
      <w:r>
        <w:rPr/>
      </w:r>
    </w:p>
    <w:p>
      <w:pPr>
        <w:pStyle w:val="style0"/>
      </w:pPr>
      <w:r>
        <w:rPr/>
      </w:r>
    </w:p>
    <w:p>
      <w:pPr>
        <w:pStyle w:val="style34"/>
      </w:pPr>
      <w:r>
        <w:rPr/>
        <w:t>Se anexaran los Siguientes Documentos: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tabs>
          <w:tab w:leader="none" w:pos="8183" w:val="left"/>
        </w:tabs>
      </w:pPr>
      <w:r>
        <w:rPr/>
        <w:tab/>
      </w:r>
    </w:p>
    <w:p>
      <w:pPr>
        <w:pStyle w:val="style0"/>
        <w:tabs>
          <w:tab w:leader="none" w:pos="8183" w:val="left"/>
        </w:tabs>
      </w:pPr>
      <w:r>
        <w:rPr/>
      </w:r>
    </w:p>
    <w:p>
      <w:pPr>
        <w:sectPr>
          <w:headerReference r:id="rId4" w:type="default"/>
          <w:type w:val="nextPage"/>
          <w:pgSz w:h="12240" w:orient="landscape" w:w="15840"/>
          <w:pgMar w:bottom="1701" w:footer="0" w:gutter="0" w:header="709" w:left="1418" w:right="1418" w:top="1701"/>
          <w:pgNumType w:fmt="decimal"/>
          <w:formProt w:val="false"/>
          <w:textDirection w:val="lrTb"/>
          <w:docGrid w:charSpace="4096" w:linePitch="360" w:type="default"/>
        </w:sectPr>
        <w:pStyle w:val="style0"/>
        <w:tabs>
          <w:tab w:leader="none" w:pos="8183" w:val="left"/>
        </w:tabs>
      </w:pPr>
      <w:r>
        <w:rPr/>
      </w:r>
    </w:p>
    <w:p>
      <w:pPr>
        <w:pStyle w:val="style0"/>
        <w:tabs>
          <w:tab w:leader="none" w:pos="8183" w:val="left"/>
        </w:tabs>
        <w:jc w:val="center"/>
      </w:pPr>
      <w:r>
        <w:rPr/>
        <w:t>UNIVERSIDAD CATOLICA DE EL SALVADOR</w:t>
      </w:r>
    </w:p>
    <w:p>
      <w:pPr>
        <w:pStyle w:val="style0"/>
        <w:tabs>
          <w:tab w:leader="none" w:pos="8183" w:val="left"/>
        </w:tabs>
        <w:jc w:val="center"/>
      </w:pPr>
      <w:r>
        <w:rPr/>
        <w:t>(UNICAES).</w:t>
      </w:r>
    </w:p>
    <w:p>
      <w:pPr>
        <w:pStyle w:val="style0"/>
        <w:tabs>
          <w:tab w:leader="none" w:pos="8183" w:val="left"/>
        </w:tabs>
        <w:jc w:val="center"/>
      </w:pPr>
      <w:r>
        <w:rPr/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2239645</wp:posOffset>
            </wp:positionH>
            <wp:positionV relativeFrom="line">
              <wp:posOffset>74930</wp:posOffset>
            </wp:positionV>
            <wp:extent cx="1102995" cy="1125855"/>
            <wp:effectExtent b="0" l="0" r="0" t="0"/>
            <wp:wrapNone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8183" w:val="left"/>
        </w:tabs>
        <w:jc w:val="center"/>
      </w:pPr>
      <w:r>
        <w:rPr/>
      </w:r>
    </w:p>
    <w:p>
      <w:pPr>
        <w:pStyle w:val="style0"/>
        <w:tabs>
          <w:tab w:leader="none" w:pos="8183" w:val="left"/>
        </w:tabs>
        <w:jc w:val="center"/>
      </w:pPr>
      <w:r>
        <w:rPr/>
      </w:r>
    </w:p>
    <w:p>
      <w:pPr>
        <w:pStyle w:val="style0"/>
        <w:tabs>
          <w:tab w:leader="none" w:pos="8183" w:val="left"/>
        </w:tabs>
        <w:jc w:val="center"/>
      </w:pPr>
      <w:r>
        <w:rPr/>
      </w:r>
    </w:p>
    <w:p>
      <w:pPr>
        <w:pStyle w:val="style0"/>
        <w:tabs>
          <w:tab w:leader="none" w:pos="8183" w:val="left"/>
        </w:tabs>
        <w:jc w:val="center"/>
      </w:pPr>
      <w:r>
        <w:rPr>
          <w:b/>
        </w:rPr>
        <w:t>Facultad de Jurisprudencia y Ciencias Sociales.</w:t>
      </w:r>
    </w:p>
    <w:p>
      <w:pPr>
        <w:pStyle w:val="style0"/>
        <w:tabs>
          <w:tab w:leader="none" w:pos="8183" w:val="left"/>
        </w:tabs>
        <w:jc w:val="center"/>
      </w:pPr>
      <w:r>
        <w:rPr>
          <w:b/>
        </w:rPr>
      </w:r>
    </w:p>
    <w:p>
      <w:pPr>
        <w:pStyle w:val="style0"/>
        <w:tabs>
          <w:tab w:leader="none" w:pos="8183" w:val="left"/>
        </w:tabs>
        <w:jc w:val="center"/>
      </w:pPr>
      <w:r>
        <w:rPr>
          <w:b/>
        </w:rPr>
      </w:r>
    </w:p>
    <w:p>
      <w:pPr>
        <w:pStyle w:val="style0"/>
        <w:tabs>
          <w:tab w:leader="none" w:pos="8183" w:val="left"/>
        </w:tabs>
      </w:pPr>
      <w:r>
        <w:rPr>
          <w:b/>
        </w:rPr>
        <w:t xml:space="preserve">Cátedra: </w:t>
      </w:r>
      <w:r>
        <w:rPr/>
        <w:t>Derecho Civil V “Sucesiones”.</w:t>
      </w:r>
    </w:p>
    <w:p>
      <w:pPr>
        <w:pStyle w:val="style0"/>
        <w:tabs>
          <w:tab w:leader="none" w:pos="8183" w:val="left"/>
        </w:tabs>
      </w:pPr>
      <w:r>
        <w:rPr>
          <w:b/>
        </w:rPr>
      </w:r>
    </w:p>
    <w:p>
      <w:pPr>
        <w:pStyle w:val="style0"/>
        <w:tabs>
          <w:tab w:leader="none" w:pos="8183" w:val="left"/>
        </w:tabs>
      </w:pPr>
      <w:r>
        <w:rPr>
          <w:b/>
        </w:rPr>
      </w:r>
    </w:p>
    <w:p>
      <w:pPr>
        <w:pStyle w:val="style0"/>
        <w:tabs>
          <w:tab w:leader="none" w:pos="8183" w:val="left"/>
        </w:tabs>
      </w:pPr>
      <w:r>
        <w:rPr>
          <w:b/>
        </w:rPr>
        <w:t xml:space="preserve">Catedrático: </w:t>
        <w:br/>
      </w:r>
    </w:p>
    <w:p>
      <w:pPr>
        <w:pStyle w:val="style0"/>
        <w:tabs>
          <w:tab w:leader="none" w:pos="8183" w:val="left"/>
        </w:tabs>
      </w:pPr>
      <w:r>
        <w:rPr>
          <w:b/>
        </w:rPr>
      </w:r>
    </w:p>
    <w:p>
      <w:pPr>
        <w:pStyle w:val="style0"/>
        <w:tabs>
          <w:tab w:leader="none" w:pos="8183" w:val="left"/>
        </w:tabs>
      </w:pPr>
      <w:r>
        <w:rPr>
          <w:b/>
        </w:rPr>
        <w:t xml:space="preserve">Trabajo: </w:t>
      </w:r>
      <w:r>
        <w:rPr/>
        <w:t>“Diligencias de Aceptación de Herencia”.</w:t>
      </w:r>
    </w:p>
    <w:p>
      <w:pPr>
        <w:pStyle w:val="style0"/>
        <w:tabs>
          <w:tab w:leader="none" w:pos="8183" w:val="left"/>
        </w:tabs>
      </w:pPr>
      <w:r>
        <w:rPr/>
      </w:r>
    </w:p>
    <w:p>
      <w:pPr>
        <w:pStyle w:val="style0"/>
        <w:tabs>
          <w:tab w:leader="none" w:pos="8183" w:val="left"/>
        </w:tabs>
      </w:pPr>
      <w:r>
        <w:rPr/>
      </w:r>
    </w:p>
    <w:p>
      <w:pPr>
        <w:pStyle w:val="style0"/>
        <w:tabs>
          <w:tab w:leader="none" w:pos="8183" w:val="left"/>
        </w:tabs>
      </w:pPr>
      <w:r>
        <w:rPr>
          <w:b/>
        </w:rPr>
        <w:t>Alumno:</w:t>
      </w:r>
      <w:r>
        <w:rPr/>
        <w:t xml:space="preserve"> </w:t>
      </w:r>
    </w:p>
    <w:p>
      <w:pPr>
        <w:pStyle w:val="style0"/>
        <w:tabs>
          <w:tab w:leader="none" w:pos="8183" w:val="left"/>
        </w:tabs>
      </w:pPr>
      <w:r>
        <w:rPr/>
      </w:r>
    </w:p>
    <w:p>
      <w:pPr>
        <w:pStyle w:val="style0"/>
        <w:tabs>
          <w:tab w:leader="none" w:pos="8183" w:val="left"/>
        </w:tabs>
      </w:pPr>
      <w:r>
        <w:rPr/>
      </w:r>
    </w:p>
    <w:p>
      <w:pPr>
        <w:pStyle w:val="style0"/>
        <w:tabs>
          <w:tab w:leader="none" w:pos="8183" w:val="left"/>
        </w:tabs>
      </w:pPr>
      <w:r>
        <w:rPr/>
      </w:r>
    </w:p>
    <w:p>
      <w:pPr>
        <w:pStyle w:val="style0"/>
        <w:tabs>
          <w:tab w:leader="none" w:pos="8183" w:val="left"/>
        </w:tabs>
      </w:pPr>
      <w:r>
        <w:rPr/>
      </w:r>
    </w:p>
    <w:p>
      <w:pPr>
        <w:pStyle w:val="style0"/>
        <w:tabs>
          <w:tab w:leader="none" w:pos="8183" w:val="left"/>
        </w:tabs>
        <w:jc w:val="center"/>
      </w:pPr>
      <w:r>
        <w:rPr>
          <w:b/>
        </w:rPr>
        <w:t>Fecha de Entrega:</w:t>
      </w:r>
      <w:r>
        <w:rPr/>
        <w:t xml:space="preserve"> 10 de Junio de 2011.</w:t>
      </w:r>
    </w:p>
    <w:p>
      <w:pPr>
        <w:pStyle w:val="style0"/>
        <w:tabs>
          <w:tab w:leader="none" w:pos="8183" w:val="left"/>
        </w:tabs>
      </w:pPr>
      <w:r>
        <w:rPr/>
      </w:r>
    </w:p>
    <w:sectPr>
      <w:headerReference r:id="rId6" w:type="default"/>
      <w:type w:val="nextPage"/>
      <w:pgSz w:h="15840" w:w="12240"/>
      <w:pgMar w:bottom="1418" w:footer="0" w:gutter="0" w:header="709" w:left="1701" w:right="1701" w:top="141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Fonts w:ascii="Cambria" w:cs="" w:hAnsi="Cambria"/>
        <w:sz w:val="32"/>
        <w:szCs w:val="32"/>
      </w:rPr>
      <w:t>Diligencias de Aceptación de Herencia.</w:t>
    </w:r>
    <w:pStyle w:val="style29"/>
    <w:jc w:val="center"/>
    <w:bottom w:color="622423" w:space="0" w:sz="24" w:val="thickThinSmallGap"/>
    <w:pPr/>
  </w:p>
  <w:p>
    <w:pPr>
      <w:pStyle w:val="style29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Fonts w:ascii="Cambria" w:cs="" w:hAnsi="Cambria"/>
        <w:sz w:val="32"/>
        <w:szCs w:val="32"/>
      </w:rPr>
      <w:t>Diligencias de Aceptación de Herencia.</w:t>
    </w:r>
    <w:pStyle w:val="style29"/>
    <w:jc w:val="center"/>
    <w:bottom w:color="622423" w:space="0" w:sz="24" w:val="thickThinSmallGap"/>
    <w:pPr/>
  </w:p>
  <w:p>
    <w:pPr>
      <w:pStyle w:val="style29"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Fonts w:ascii="Cambria" w:cs="" w:hAnsi="Cambria"/>
        <w:sz w:val="32"/>
        <w:szCs w:val="32"/>
      </w:rPr>
      <w:t>Diligencias de Aceptación de Herencia.</w:t>
    </w:r>
    <w:pStyle w:val="style29"/>
    <w:jc w:val="center"/>
    <w:bottom w:color="622423" w:space="0" w:sz="24" w:val="thickThinSmallGap"/>
    <w:pPr/>
  </w:p>
  <w:p>
    <w:pPr>
      <w:pStyle w:val="style29"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r>
      <w:rPr>
        <w:rFonts w:ascii="Cambria" w:cs="" w:hAnsi="Cambria"/>
        <w:sz w:val="32"/>
        <w:szCs w:val="32"/>
      </w:rPr>
      <w:t>Diligencias de Aceptación de Herencia.</w:t>
    </w:r>
    <w:pStyle w:val="style29"/>
    <w:jc w:val="center"/>
    <w:bottom w:color="622423" w:space="0" w:sz="24" w:val="thickThinSmallGap"/>
    <w:pPr/>
  </w:p>
  <w:p>
    <w:pPr>
      <w:pStyle w:val="style29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2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2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4"/>
      <w:numFmt w:val="upperLetter"/>
      <w:lvlText w:val="%1."/>
      <w:lvlJc w:val="left"/>
      <w:pPr>
        <w:tabs>
          <w:tab w:pos="360" w:val="num"/>
        </w:tabs>
        <w:ind w:hanging="340" w:left="34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5">
    <w:lvl w:ilvl="0">
      <w:start w:val="2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2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Droid Sans Fallback" w:hAnsi="Calibri"/>
      <w:color w:val="auto"/>
      <w:sz w:val="22"/>
      <w:szCs w:val="22"/>
      <w:lang w:bidi="ar-SA" w:eastAsia="en-US" w:val="es-SV"/>
    </w:rPr>
  </w:style>
  <w:style w:styleId="style15" w:type="character">
    <w:name w:val="Default Paragraph Font"/>
    <w:next w:val="style15"/>
    <w:rPr/>
  </w:style>
  <w:style w:styleId="style16" w:type="character">
    <w:name w:val="Encabezado Car"/>
    <w:basedOn w:val="style15"/>
    <w:next w:val="style16"/>
    <w:rPr/>
  </w:style>
  <w:style w:styleId="style17" w:type="character">
    <w:name w:val="Pie de página Car"/>
    <w:basedOn w:val="style15"/>
    <w:next w:val="style17"/>
    <w:rPr/>
  </w:style>
  <w:style w:styleId="style18" w:type="character">
    <w:name w:val="Texto de globo C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Texto independiente Car"/>
    <w:basedOn w:val="style15"/>
    <w:next w:val="style19"/>
    <w:rPr>
      <w:rFonts w:ascii="Lucida Sans" w:cs="Times New Roman" w:eastAsia="Times New Roman" w:hAnsi="Lucida Sans"/>
      <w:sz w:val="24"/>
      <w:szCs w:val="20"/>
      <w:lang w:eastAsia="es-ES" w:val="es-ES"/>
    </w:rPr>
  </w:style>
  <w:style w:styleId="style20" w:type="character">
    <w:name w:val="Texto independiente 2 Car"/>
    <w:basedOn w:val="style15"/>
    <w:next w:val="style20"/>
    <w:rPr>
      <w:rFonts w:ascii="Lucida Sans" w:cs="Times New Roman" w:eastAsia="Times New Roman" w:hAnsi="Lucida Sans"/>
      <w:sz w:val="24"/>
      <w:szCs w:val="20"/>
      <w:lang w:eastAsia="es-ES" w:val="es-ES"/>
    </w:rPr>
  </w:style>
  <w:style w:styleId="style21" w:type="character">
    <w:name w:val="ListLabel 1"/>
    <w:next w:val="style21"/>
    <w:rPr>
      <w:b/>
    </w:rPr>
  </w:style>
  <w:style w:styleId="style22" w:type="character">
    <w:name w:val="ListLabel 2"/>
    <w:next w:val="style22"/>
    <w:rPr>
      <w:rFonts w:eastAsia="Times New Roman"/>
    </w:rPr>
  </w:style>
  <w:style w:styleId="style23" w:type="character">
    <w:name w:val="ListLabel 3"/>
    <w:next w:val="style23"/>
    <w:rPr>
      <w:rFonts w:cs="Times New Roman"/>
    </w:rPr>
  </w:style>
  <w:style w:styleId="style24" w:type="paragraph">
    <w:name w:val="Heading"/>
    <w:basedOn w:val="style0"/>
    <w:next w:val="style25"/>
    <w:pPr>
      <w:keepNext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styleId="style25" w:type="paragraph">
    <w:name w:val="Text body"/>
    <w:basedOn w:val="style0"/>
    <w:next w:val="style25"/>
    <w:pPr>
      <w:spacing w:after="0" w:before="0" w:line="360" w:lineRule="auto"/>
      <w:jc w:val="both"/>
    </w:pPr>
    <w:rPr>
      <w:rFonts w:ascii="Lucida Sans" w:cs="Times New Roman" w:eastAsia="Times New Roman" w:hAnsi="Lucida Sans"/>
      <w:sz w:val="24"/>
      <w:szCs w:val="20"/>
      <w:lang w:eastAsia="es-ES" w:val="es-ES"/>
    </w:rPr>
  </w:style>
  <w:style w:styleId="style26" w:type="paragraph">
    <w:name w:val="List"/>
    <w:basedOn w:val="style25"/>
    <w:next w:val="style26"/>
    <w:pPr/>
    <w:rPr>
      <w:rFonts w:cs="FreeSans"/>
    </w:rPr>
  </w:style>
  <w:style w:styleId="style27" w:type="paragraph">
    <w:name w:val="Caption"/>
    <w:basedOn w:val="style0"/>
    <w:next w:val="style27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8" w:type="paragraph">
    <w:name w:val="Index"/>
    <w:basedOn w:val="style0"/>
    <w:next w:val="style28"/>
    <w:pPr>
      <w:suppressLineNumbers/>
    </w:pPr>
    <w:rPr>
      <w:rFonts w:cs="FreeSans"/>
    </w:rPr>
  </w:style>
  <w:style w:styleId="style29" w:type="paragraph">
    <w:name w:val="Header"/>
    <w:basedOn w:val="style0"/>
    <w:next w:val="style29"/>
    <w:pPr>
      <w:suppressLineNumbers/>
      <w:tabs>
        <w:tab w:leader="none" w:pos="4419" w:val="center"/>
        <w:tab w:leader="none" w:pos="8838" w:val="right"/>
      </w:tabs>
      <w:spacing w:after="0" w:before="0" w:line="100" w:lineRule="atLeast"/>
    </w:pPr>
    <w:rPr/>
  </w:style>
  <w:style w:styleId="style30" w:type="paragraph">
    <w:name w:val="Footer"/>
    <w:basedOn w:val="style0"/>
    <w:next w:val="style30"/>
    <w:pPr>
      <w:suppressLineNumbers/>
      <w:tabs>
        <w:tab w:leader="none" w:pos="4419" w:val="center"/>
        <w:tab w:leader="none" w:pos="8838" w:val="right"/>
      </w:tabs>
      <w:spacing w:after="0" w:before="0" w:line="100" w:lineRule="atLeast"/>
    </w:pPr>
    <w:rPr/>
  </w:style>
  <w:style w:styleId="style31" w:type="paragraph">
    <w:name w:val="Balloon Text"/>
    <w:basedOn w:val="style0"/>
    <w:next w:val="style31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2" w:type="paragraph">
    <w:name w:val="List Paragraph"/>
    <w:basedOn w:val="style0"/>
    <w:next w:val="style32"/>
    <w:pPr>
      <w:ind w:hanging="0" w:left="720" w:right="0"/>
    </w:pPr>
    <w:rPr/>
  </w:style>
  <w:style w:styleId="style33" w:type="paragraph">
    <w:name w:val="Body Text 2"/>
    <w:basedOn w:val="style0"/>
    <w:next w:val="style33"/>
    <w:pPr>
      <w:spacing w:after="0" w:before="0" w:line="360" w:lineRule="auto"/>
      <w:jc w:val="right"/>
    </w:pPr>
    <w:rPr>
      <w:rFonts w:ascii="Lucida Sans" w:cs="Times New Roman" w:eastAsia="Times New Roman" w:hAnsi="Lucida Sans"/>
      <w:sz w:val="24"/>
      <w:szCs w:val="20"/>
      <w:lang w:eastAsia="es-ES" w:val="es-ES"/>
    </w:rPr>
  </w:style>
  <w:style w:styleId="style34" w:type="paragraph">
    <w:name w:val="Frame contents"/>
    <w:basedOn w:val="style25"/>
    <w:next w:val="style3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1.jpeg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2011-06-10T14:48:00.00Z</dcterms:created>
  <dc:creator>USER</dc:creator>
  <cp:lastModifiedBy>USER</cp:lastModifiedBy>
  <dcterms:modified xsi:type="dcterms:W3CDTF">2011-06-10T15:37:00.00Z</dcterms:modified>
  <cp:revision>7</cp:revision>
  <dc:title>Diligencias de Aceptación de Herencia.</dc:title>
</cp:coreProperties>
</file>