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C5" w:rsidRPr="007F54BE" w:rsidRDefault="009339C5" w:rsidP="00A40078">
      <w:pPr>
        <w:spacing w:before="540" w:after="0"/>
        <w:jc w:val="center"/>
        <w:rPr>
          <w:rFonts w:ascii="Arial Narrow" w:eastAsia="Times New Roman" w:hAnsi="Arial Narrow" w:cs="Times New Roman"/>
          <w:b/>
          <w:bCs/>
          <w:color w:val="000000"/>
          <w:sz w:val="32"/>
          <w:szCs w:val="32"/>
          <w:lang w:eastAsia="es-SV"/>
        </w:rPr>
      </w:pPr>
      <w:r w:rsidRPr="007F54BE">
        <w:rPr>
          <w:rFonts w:ascii="Arial Narrow" w:eastAsia="Times New Roman" w:hAnsi="Arial Narrow" w:cs="Times New Roman"/>
          <w:b/>
          <w:bCs/>
          <w:color w:val="000000"/>
          <w:sz w:val="32"/>
          <w:szCs w:val="32"/>
          <w:lang w:eastAsia="es-SV"/>
        </w:rPr>
        <w:t>CONTRATOS PARTE GENERAL</w:t>
      </w:r>
    </w:p>
    <w:p w:rsidR="009339C5" w:rsidRPr="007F54BE" w:rsidRDefault="009339C5" w:rsidP="009339C5">
      <w:pPr>
        <w:spacing w:before="27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Concepto doctrinario de “contrato”: acto jurídico bilateral que crea derechos y obligaciones.</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Concepto legal: 1438: Contrato o convención es un acto por el cual una parte se obliga para con otra a dar, hacer o no hacer alguna cosa. Cada parte puede ser una o muchas personas.</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Críticas a la definición legal:</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.Hace sinónimos los términos contratos y convención.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Establece como objeto del contrato la prestación misma (siendo ésta objeto de la obligación).</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Elementos de los contratos: 1444: cosas de la esencia, de la naturaleza y accidentales.</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5.</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Elementos comunes a todos los contratos (de la esencia comunes: requisitos comunes del acto jurídico) y elementos de cada contrato en particular (de la esencia especiales, naturales y accidentales)</w:t>
      </w:r>
    </w:p>
    <w:p w:rsidR="009339C5" w:rsidRPr="007F54BE" w:rsidRDefault="009339C5" w:rsidP="00A40078">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6 Funciones de los contratos: económica y social. Se agregan además las de cambio, de seguridad o previsión, de recreación, de crédito, de garantía, entre otras.</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9 Clasificaciones de contratos contenidas en el Código Civil: </w:t>
      </w:r>
    </w:p>
    <w:p w:rsidR="009339C5" w:rsidRPr="007F54BE" w:rsidRDefault="009339C5" w:rsidP="009339C5">
      <w:pPr>
        <w:pStyle w:val="Prrafodelista"/>
        <w:numPr>
          <w:ilvl w:val="0"/>
          <w:numId w:val="1"/>
        </w:num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Unilateral y Bilateral</w:t>
      </w:r>
    </w:p>
    <w:p w:rsidR="009339C5" w:rsidRPr="007F54BE" w:rsidRDefault="009339C5" w:rsidP="009339C5">
      <w:pPr>
        <w:pStyle w:val="Prrafodelista"/>
        <w:numPr>
          <w:ilvl w:val="0"/>
          <w:numId w:val="1"/>
        </w:num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Oneroso y Gratuito</w:t>
      </w:r>
    </w:p>
    <w:p w:rsidR="009339C5" w:rsidRPr="007F54BE" w:rsidRDefault="009339C5" w:rsidP="009339C5">
      <w:pPr>
        <w:pStyle w:val="Prrafodelista"/>
        <w:numPr>
          <w:ilvl w:val="0"/>
          <w:numId w:val="1"/>
        </w:num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Conmutativo y Aleatorio</w:t>
      </w:r>
    </w:p>
    <w:p w:rsidR="009339C5" w:rsidRPr="007F54BE" w:rsidRDefault="009339C5" w:rsidP="009339C5">
      <w:pPr>
        <w:pStyle w:val="Prrafodelista"/>
        <w:numPr>
          <w:ilvl w:val="0"/>
          <w:numId w:val="1"/>
        </w:num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Principal y Accesorio</w:t>
      </w:r>
    </w:p>
    <w:p w:rsidR="009339C5" w:rsidRPr="007F54BE" w:rsidRDefault="009339C5" w:rsidP="009339C5">
      <w:pPr>
        <w:pStyle w:val="Prrafodelista"/>
        <w:numPr>
          <w:ilvl w:val="0"/>
          <w:numId w:val="1"/>
        </w:num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Real, Solemne y Consensual.</w:t>
      </w:r>
    </w:p>
    <w:p w:rsidR="009339C5" w:rsidRPr="007F54BE" w:rsidRDefault="009339C5" w:rsidP="009339C5">
      <w:pPr>
        <w:spacing w:before="27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10.</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Unilateral y Bilateral.</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contrato es unilateral cuando una de las partes se obliga para con otra que no contrae obligación alguna; y bilateral, cuando las partes contratantes se obligan recíprocamente.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-Todo contrato es un acto jurídico bilateral, pero no todo acto jurídico bilateral es un contrato.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-En los bilaterales ambas partes tienen las calidades de deudoras y acreedoras recíprocas.</w:t>
      </w:r>
    </w:p>
    <w:p w:rsidR="00A40078" w:rsidRPr="007F54BE" w:rsidRDefault="00A40078" w:rsidP="009339C5">
      <w:pPr>
        <w:spacing w:after="0"/>
        <w:jc w:val="both"/>
        <w:rPr>
          <w:rFonts w:ascii="Arial Narrow" w:eastAsia="Times New Roman" w:hAnsi="Arial Narrow" w:cs="Times New Roman"/>
          <w:color w:val="000000"/>
          <w:lang w:eastAsia="es-SV"/>
        </w:rPr>
      </w:pPr>
    </w:p>
    <w:p w:rsidR="009339C5" w:rsidRPr="007F54BE" w:rsidRDefault="009339C5" w:rsidP="009339C5">
      <w:pPr>
        <w:spacing w:after="0"/>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b/>
          <w:bCs/>
          <w:color w:val="000000"/>
          <w:lang w:eastAsia="es-SV"/>
        </w:rPr>
        <w:t>Importancia de la clasificación: </w:t>
      </w:r>
      <w:r w:rsidRPr="007F54BE">
        <w:rPr>
          <w:rFonts w:ascii="Arial Narrow" w:eastAsia="Times New Roman" w:hAnsi="Arial Narrow" w:cs="Times New Roman"/>
          <w:color w:val="000000"/>
          <w:lang w:eastAsia="es-SV"/>
        </w:rPr>
        <w:t>EFECTOS PARTICULARES DE LOS CONTRATOS BILATERALES: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 </w:t>
      </w:r>
      <w:r w:rsidRPr="007F54BE">
        <w:rPr>
          <w:rFonts w:ascii="Arial Narrow" w:eastAsia="Times New Roman" w:hAnsi="Arial Narrow" w:cs="Times New Roman"/>
          <w:color w:val="000000"/>
          <w:lang w:eastAsia="es-SV"/>
        </w:rPr>
        <w:t>Condición resolutoria tácita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II.</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Excepción de contrato no cumplido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III. </w:t>
      </w:r>
      <w:r w:rsidRPr="007F54BE">
        <w:rPr>
          <w:rFonts w:ascii="Arial Narrow" w:eastAsia="Times New Roman" w:hAnsi="Arial Narrow" w:cs="Times New Roman"/>
          <w:color w:val="000000"/>
          <w:lang w:eastAsia="es-SV"/>
        </w:rPr>
        <w:t>Teoría de los riesgos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IV. </w:t>
      </w:r>
      <w:r w:rsidRPr="007F54BE">
        <w:rPr>
          <w:rFonts w:ascii="Arial Narrow" w:eastAsia="Times New Roman" w:hAnsi="Arial Narrow" w:cs="Times New Roman"/>
          <w:color w:val="000000"/>
          <w:lang w:eastAsia="es-SV"/>
        </w:rPr>
        <w:t>Teoría de la imprevisión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V.</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Cesión del contrato</w:t>
      </w:r>
    </w:p>
    <w:p w:rsidR="00A40078" w:rsidRPr="007F54BE" w:rsidRDefault="00A40078" w:rsidP="009339C5">
      <w:pPr>
        <w:spacing w:after="0"/>
        <w:jc w:val="both"/>
        <w:rPr>
          <w:rFonts w:ascii="Arial Narrow" w:eastAsia="Times New Roman" w:hAnsi="Arial Narrow" w:cs="Times New Roman"/>
          <w:color w:val="000000"/>
          <w:lang w:eastAsia="es-SV"/>
        </w:rPr>
      </w:pPr>
    </w:p>
    <w:p w:rsidR="009339C5" w:rsidRPr="007F54BE" w:rsidRDefault="009339C5" w:rsidP="009339C5">
      <w:pPr>
        <w:spacing w:after="0"/>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b/>
          <w:bCs/>
          <w:color w:val="000000"/>
          <w:lang w:eastAsia="es-SV"/>
        </w:rPr>
        <w:t>Contratos sinalagmáticos imperfectos</w:t>
      </w:r>
      <w:r w:rsidRPr="007F54BE">
        <w:rPr>
          <w:rFonts w:ascii="Arial Narrow" w:eastAsia="Times New Roman" w:hAnsi="Arial Narrow" w:cs="Times New Roman"/>
          <w:color w:val="000000"/>
          <w:lang w:eastAsia="es-SV"/>
        </w:rPr>
        <w:t>: nacen como unilaterales, pero posteriormente emergen obligaciones para el inicialmente dispensado. </w:t>
      </w:r>
      <w:r w:rsidRPr="007F54BE">
        <w:rPr>
          <w:rFonts w:ascii="Arial Narrow" w:eastAsia="Times New Roman" w:hAnsi="Arial Narrow" w:cs="Times New Roman"/>
          <w:color w:val="000000"/>
          <w:u w:val="single"/>
          <w:lang w:eastAsia="es-SV"/>
        </w:rPr>
        <w:t>Se debe atender al momento de conclusión del contrato. </w:t>
      </w:r>
      <w:r w:rsidRPr="007F54BE">
        <w:rPr>
          <w:rFonts w:ascii="Arial Narrow" w:eastAsia="Times New Roman" w:hAnsi="Arial Narrow" w:cs="Times New Roman"/>
          <w:color w:val="000000"/>
          <w:lang w:eastAsia="es-SV"/>
        </w:rPr>
        <w:t>La obligación del inicialmente dispensado </w:t>
      </w:r>
      <w:r w:rsidRPr="007F54BE">
        <w:rPr>
          <w:rFonts w:ascii="Arial Narrow" w:eastAsia="Times New Roman" w:hAnsi="Arial Narrow" w:cs="Times New Roman"/>
          <w:color w:val="000000"/>
          <w:u w:val="single"/>
          <w:lang w:eastAsia="es-SV"/>
        </w:rPr>
        <w:t>nace de la ley.</w:t>
      </w:r>
    </w:p>
    <w:p w:rsidR="009339C5" w:rsidRPr="007F54BE" w:rsidRDefault="009339C5" w:rsidP="009339C5">
      <w:pPr>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color w:val="000000"/>
          <w:lang w:eastAsia="es-SV"/>
        </w:rPr>
        <w:lastRenderedPageBreak/>
        <w:t>-</w:t>
      </w:r>
      <w:r w:rsidRPr="007F54BE">
        <w:rPr>
          <w:rFonts w:ascii="Arial Narrow" w:eastAsia="Times New Roman" w:hAnsi="Arial Narrow" w:cs="Times New Roman"/>
          <w:b/>
          <w:bCs/>
          <w:color w:val="000000"/>
          <w:lang w:eastAsia="es-SV"/>
        </w:rPr>
        <w:t>Contratos plurilaterales o asociativos</w:t>
      </w:r>
      <w:r w:rsidRPr="007F54BE">
        <w:rPr>
          <w:rFonts w:ascii="Arial Narrow" w:eastAsia="Times New Roman" w:hAnsi="Arial Narrow" w:cs="Times New Roman"/>
          <w:color w:val="000000"/>
          <w:lang w:eastAsia="es-SV"/>
        </w:rPr>
        <w:t>: provienen de la manifestación de voluntad de 2 o más partes que resultan obligadas en vistas de un objetivo común. Ej. Sociedad. Para algunos no son contrato sino </w:t>
      </w:r>
      <w:r w:rsidRPr="007F54BE">
        <w:rPr>
          <w:rFonts w:ascii="Arial Narrow" w:eastAsia="Times New Roman" w:hAnsi="Arial Narrow" w:cs="Times New Roman"/>
          <w:b/>
          <w:bCs/>
          <w:color w:val="000000"/>
          <w:lang w:eastAsia="es-SV"/>
        </w:rPr>
        <w:t>acto colectivo</w:t>
      </w:r>
      <w:r w:rsidRPr="007F54BE">
        <w:rPr>
          <w:rFonts w:ascii="Arial Narrow" w:eastAsia="Times New Roman" w:hAnsi="Arial Narrow" w:cs="Times New Roman"/>
          <w:color w:val="000000"/>
          <w:lang w:eastAsia="es-SV"/>
        </w:rPr>
        <w:t>.</w:t>
      </w:r>
    </w:p>
    <w:tbl>
      <w:tblPr>
        <w:tblW w:w="7403" w:type="dxa"/>
        <w:tblCellSpacing w:w="0" w:type="dxa"/>
        <w:tblCellMar>
          <w:left w:w="0" w:type="dxa"/>
          <w:right w:w="0" w:type="dxa"/>
        </w:tblCellMar>
        <w:tblLook w:val="04A0" w:firstRow="1" w:lastRow="0" w:firstColumn="1" w:lastColumn="0" w:noHBand="0" w:noVBand="1"/>
      </w:tblPr>
      <w:tblGrid>
        <w:gridCol w:w="330"/>
        <w:gridCol w:w="1088"/>
        <w:gridCol w:w="5985"/>
      </w:tblGrid>
      <w:tr w:rsidR="009339C5" w:rsidRPr="007F54BE" w:rsidTr="009339C5">
        <w:trPr>
          <w:trHeight w:val="36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11.</w:t>
            </w: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Gratuitos y onerosos.</w:t>
            </w:r>
          </w:p>
        </w:tc>
      </w:tr>
      <w:tr w:rsidR="009339C5" w:rsidRPr="007F54BE" w:rsidTr="009339C5">
        <w:trPr>
          <w:trHeight w:val="285"/>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El contrato es gratuito o de beneficencia cuando sólo tiene por objeto la utilidad de</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una de las partes, sufriendo la otra el gravamen; y oneroso cuando tiene por objeto</w:t>
            </w:r>
          </w:p>
        </w:tc>
      </w:tr>
      <w:tr w:rsidR="009339C5" w:rsidRPr="007F54BE" w:rsidTr="009339C5">
        <w:trPr>
          <w:trHeight w:val="285"/>
          <w:tblCellSpacing w:w="0" w:type="dxa"/>
        </w:trPr>
        <w:tc>
          <w:tcPr>
            <w:tcW w:w="330" w:type="dxa"/>
            <w:vMerge w:val="restart"/>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la utilidad de ambos contratantes, gravándose uno a beneficio del otro.</w:t>
            </w:r>
          </w:p>
        </w:tc>
      </w:tr>
      <w:tr w:rsidR="009339C5" w:rsidRPr="007F54BE" w:rsidTr="009339C5">
        <w:trPr>
          <w:trHeight w:val="270"/>
          <w:tblCellSpacing w:w="0" w:type="dxa"/>
        </w:trPr>
        <w:tc>
          <w:tcPr>
            <w:tcW w:w="0" w:type="auto"/>
            <w:vMerge/>
            <w:vAlign w:val="center"/>
            <w:hideMark/>
          </w:tcPr>
          <w:p w:rsidR="009339C5" w:rsidRPr="007F54BE" w:rsidRDefault="009339C5" w:rsidP="009339C5">
            <w:pPr>
              <w:spacing w:after="0"/>
              <w:jc w:val="both"/>
              <w:rPr>
                <w:rFonts w:ascii="Arial Narrow" w:eastAsia="Times New Roman" w:hAnsi="Arial Narrow" w:cs="Times New Roman"/>
                <w:lang w:eastAsia="es-SV"/>
              </w:rPr>
            </w:pP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RG: los contratos bilaterales son onerosos y los unilaterales gratuitos. Excepciones:</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unilaterales onerosos (mutuo con interés); bilaterales gratuitos: (mandato no</w:t>
            </w:r>
          </w:p>
        </w:tc>
      </w:tr>
      <w:tr w:rsidR="009339C5" w:rsidRPr="007F54BE" w:rsidTr="009339C5">
        <w:trPr>
          <w:trHeight w:val="300"/>
          <w:tblCellSpacing w:w="0" w:type="dxa"/>
        </w:trPr>
        <w:tc>
          <w:tcPr>
            <w:tcW w:w="330" w:type="dxa"/>
            <w:vMerge w:val="restart"/>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remunerado).</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r>
      <w:tr w:rsidR="009339C5" w:rsidRPr="007F54BE" w:rsidTr="009339C5">
        <w:trPr>
          <w:trHeight w:val="255"/>
          <w:tblCellSpacing w:w="0" w:type="dxa"/>
        </w:trPr>
        <w:tc>
          <w:tcPr>
            <w:tcW w:w="0" w:type="auto"/>
            <w:vMerge/>
            <w:vAlign w:val="center"/>
            <w:hideMark/>
          </w:tcPr>
          <w:p w:rsidR="009339C5" w:rsidRPr="007F54BE" w:rsidRDefault="009339C5" w:rsidP="009339C5">
            <w:pPr>
              <w:spacing w:after="0"/>
              <w:jc w:val="both"/>
              <w:rPr>
                <w:rFonts w:ascii="Arial Narrow" w:eastAsia="Times New Roman" w:hAnsi="Arial Narrow" w:cs="Times New Roman"/>
                <w:lang w:eastAsia="es-SV"/>
              </w:rPr>
            </w:pPr>
          </w:p>
        </w:tc>
        <w:tc>
          <w:tcPr>
            <w:tcW w:w="7073" w:type="dxa"/>
            <w:gridSpan w:val="2"/>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Importancia de la clasificación:</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I.</w:t>
            </w:r>
          </w:p>
        </w:tc>
        <w:tc>
          <w:tcPr>
            <w:tcW w:w="5985" w:type="dxa"/>
            <w:vAlign w:val="bottom"/>
            <w:hideMark/>
          </w:tcPr>
          <w:p w:rsidR="009339C5" w:rsidRPr="007F54BE" w:rsidRDefault="009339C5" w:rsidP="009339C5">
            <w:pPr>
              <w:spacing w:after="0"/>
              <w:ind w:left="-1418" w:firstLine="1418"/>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Graduación de la culpa.</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II.</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Presupuestos de la acción pauliana.</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III.</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Pago de lo no debido y terceros.</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IV.</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Deberes de Reconocimiento en actos gratuitos.</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V.</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Cumplimiento de ciertos requisitos en gratuitos.</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VI.</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Obligación de garantía en ciertos onerosos.</w:t>
            </w:r>
          </w:p>
        </w:tc>
      </w:tr>
      <w:tr w:rsidR="009339C5" w:rsidRPr="007F54BE" w:rsidTr="009339C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VII.</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Arrendamiento.</w:t>
            </w:r>
          </w:p>
        </w:tc>
      </w:tr>
      <w:tr w:rsidR="009339C5" w:rsidRPr="007F54BE" w:rsidTr="009339C5">
        <w:trPr>
          <w:trHeight w:val="315"/>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1088" w:type="dxa"/>
            <w:vAlign w:val="bottom"/>
            <w:hideMark/>
          </w:tcPr>
          <w:p w:rsidR="009339C5" w:rsidRPr="007F54BE" w:rsidRDefault="009339C5" w:rsidP="009339C5">
            <w:pPr>
              <w:spacing w:after="0"/>
              <w:jc w:val="both"/>
              <w:rPr>
                <w:rFonts w:ascii="Arial Narrow" w:eastAsia="Times New Roman" w:hAnsi="Arial Narrow" w:cs="Times New Roman"/>
                <w:b/>
                <w:bCs/>
                <w:lang w:eastAsia="es-SV"/>
              </w:rPr>
            </w:pPr>
            <w:r w:rsidRPr="007F54BE">
              <w:rPr>
                <w:rFonts w:ascii="Arial Narrow" w:eastAsia="Times New Roman" w:hAnsi="Arial Narrow" w:cs="Times New Roman"/>
                <w:b/>
                <w:bCs/>
                <w:lang w:eastAsia="es-SV"/>
              </w:rPr>
              <w:t>VIII.</w:t>
            </w:r>
          </w:p>
        </w:tc>
        <w:tc>
          <w:tcPr>
            <w:tcW w:w="59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Gratuitos son generalmente intuito persona.</w:t>
            </w:r>
          </w:p>
        </w:tc>
      </w:tr>
    </w:tbl>
    <w:p w:rsidR="009339C5" w:rsidRPr="007F54BE" w:rsidRDefault="009339C5" w:rsidP="009339C5">
      <w:pPr>
        <w:spacing w:before="21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12. Conmutativos y Aleatorios.</w:t>
      </w:r>
    </w:p>
    <w:p w:rsidR="00A40078" w:rsidRPr="007F54BE" w:rsidRDefault="009339C5" w:rsidP="00A40078">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contrato oneroso es conmutativo cuando cada una de las partes se obliga a dar o hacer una cosa que se mira como equivalente a lo que la otra parte debe dar o hacer a su vez; y si el equivalente consiste en una contingencia incierta de ganancia o pérdida, se llama aleatorio.</w:t>
      </w:r>
    </w:p>
    <w:p w:rsidR="009339C5" w:rsidRPr="007F54BE" w:rsidRDefault="009339C5" w:rsidP="00A40078">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-Críticas a la disposición: supone que el contrato oneroso siempre es bilateral, establece la equivalencia como igualdad, no menciona a las obligaciones de no hacer, es ambiguo para definir los contratos aleatorios.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-Contratos conmutativos: en los tratos preliminares y al concluir el contrato, las partes pueden valorar los resultados económicos.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-Contratos aleatorios son distintos de los contratos que generan obligaciones condicionales, ya que en éste último es incierta la existencia de las obligaciones.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-Contratos aleatorios: 2258: seguro, renta vitalicia, censo vitalicio, juego y apuesta. (Se agregan: venta de derechos litigiosos).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-Caso de la compraventa de cosa que no existe pero se espera que exista: puede ser aleatorio o conmutativo.</w:t>
      </w:r>
    </w:p>
    <w:p w:rsidR="009339C5" w:rsidRPr="007F54BE" w:rsidRDefault="009339C5" w:rsidP="009339C5">
      <w:pPr>
        <w:spacing w:after="0"/>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b/>
          <w:bCs/>
          <w:color w:val="000000"/>
          <w:lang w:eastAsia="es-SV"/>
        </w:rPr>
        <w:t>Importancia de la clasificación: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Aplicación de la lesión enorme a conmutativos;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II.</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Aplicación de teoría de la imprevisión a conmutativos.</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principales y accesorios.</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contrato es principal cuando subsiste por sí mismo sin necesidad de otra convención; y accesorio, cuando tiene por objeto asegurar el cumplimiento de una obligación principal, de manera que no pueda subsistir sin ella.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 accesorio: caución: cualquiera obligación que se contrae para la seguridad de otra obligación sea propia o ajena.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-Contratos dependientes </w:t>
      </w:r>
      <w:r w:rsidRPr="007F54BE">
        <w:rPr>
          <w:rFonts w:ascii="Arial Narrow" w:eastAsia="Times New Roman" w:hAnsi="Arial Narrow" w:cs="Times New Roman"/>
          <w:b/>
          <w:bCs/>
          <w:color w:val="000000"/>
          <w:lang w:eastAsia="es-SV"/>
        </w:rPr>
        <w:t>no </w:t>
      </w:r>
      <w:r w:rsidRPr="007F54BE">
        <w:rPr>
          <w:rFonts w:ascii="Arial Narrow" w:eastAsia="Times New Roman" w:hAnsi="Arial Narrow" w:cs="Times New Roman"/>
          <w:color w:val="000000"/>
          <w:lang w:eastAsia="es-SV"/>
        </w:rPr>
        <w:t>son accesorios, por no asegurar nada.</w:t>
      </w:r>
    </w:p>
    <w:p w:rsidR="00A40078"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w:t>
      </w:r>
      <w:r w:rsidRPr="007F54BE">
        <w:rPr>
          <w:rFonts w:ascii="Arial Narrow" w:eastAsia="Times New Roman" w:hAnsi="Arial Narrow" w:cs="Times New Roman"/>
          <w:b/>
          <w:bCs/>
          <w:color w:val="000000"/>
          <w:lang w:eastAsia="es-SV"/>
        </w:rPr>
        <w:t>Importancia de la clasificación</w:t>
      </w:r>
      <w:r w:rsidRPr="007F54BE">
        <w:rPr>
          <w:rFonts w:ascii="Arial Narrow" w:eastAsia="Times New Roman" w:hAnsi="Arial Narrow" w:cs="Times New Roman"/>
          <w:color w:val="000000"/>
          <w:lang w:eastAsia="es-SV"/>
        </w:rPr>
        <w:t xml:space="preserve">: </w:t>
      </w:r>
    </w:p>
    <w:p w:rsidR="009339C5" w:rsidRPr="007F54BE" w:rsidRDefault="00A40078"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w:t>
      </w:r>
      <w:r w:rsidR="009339C5" w:rsidRPr="007F54BE">
        <w:rPr>
          <w:rFonts w:ascii="Arial Narrow" w:eastAsia="Times New Roman" w:hAnsi="Arial Narrow" w:cs="Times New Roman"/>
          <w:color w:val="000000"/>
          <w:lang w:eastAsia="es-SV"/>
        </w:rPr>
        <w:t>lo accesorio sigue la suerte de lo principal.</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-Lo accesorio puede existir antes de lo principal, pero no subsistir.</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14. Contratos consensuales, solemnes y reales</w:t>
      </w:r>
    </w:p>
    <w:p w:rsidR="009339C5" w:rsidRPr="007F54BE" w:rsidRDefault="009339C5" w:rsidP="009339C5">
      <w:pPr>
        <w:spacing w:before="3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contrato es real, cuando para que sea perfecto, es necesaria la tradición de la cosa a que se refiere; es solemne cuando está sujeto a la observancia de ciertas formalidades especiales, de manera que sin ellas no produce ningún efecto civil; y es consensual cuando se perfecciona por el solo consentimiento.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-Formalidades: escrituración, autorización, aprobación del juez, sub</w:t>
      </w:r>
      <w:r w:rsidR="00A40078"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color w:val="000000"/>
          <w:lang w:eastAsia="es-SV"/>
        </w:rPr>
        <w:t>inscripción, presencia de testigos, etc.</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15.</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Otras clasificaciones de los contratos no contenidas en el CC.</w:t>
      </w:r>
    </w:p>
    <w:p w:rsidR="009339C5" w:rsidRPr="007F54BE" w:rsidRDefault="009339C5" w:rsidP="009339C5">
      <w:pPr>
        <w:pStyle w:val="Prrafodelista"/>
        <w:numPr>
          <w:ilvl w:val="0"/>
          <w:numId w:val="2"/>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Contratos Típicos y atípicos.</w:t>
      </w:r>
    </w:p>
    <w:p w:rsidR="009339C5" w:rsidRPr="007F54BE" w:rsidRDefault="009339C5" w:rsidP="009339C5">
      <w:pPr>
        <w:pStyle w:val="Prrafodelista"/>
        <w:numPr>
          <w:ilvl w:val="0"/>
          <w:numId w:val="2"/>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De ejecución instantánea, de ejecución diferida y de tracto sucesivo.</w:t>
      </w:r>
    </w:p>
    <w:p w:rsidR="009339C5" w:rsidRPr="007F54BE" w:rsidRDefault="009339C5" w:rsidP="009339C5">
      <w:pPr>
        <w:pStyle w:val="Prrafodelista"/>
        <w:numPr>
          <w:ilvl w:val="0"/>
          <w:numId w:val="2"/>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Individuales y colectivos.</w:t>
      </w:r>
    </w:p>
    <w:p w:rsidR="009339C5" w:rsidRPr="007F54BE" w:rsidRDefault="009339C5" w:rsidP="009339C5">
      <w:pPr>
        <w:pStyle w:val="Prrafodelista"/>
        <w:numPr>
          <w:ilvl w:val="0"/>
          <w:numId w:val="2"/>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De libre discusión y de adhesión.</w:t>
      </w:r>
    </w:p>
    <w:p w:rsidR="009339C5" w:rsidRPr="007F54BE" w:rsidRDefault="009339C5" w:rsidP="009339C5">
      <w:pPr>
        <w:pStyle w:val="Prrafodelista"/>
        <w:numPr>
          <w:ilvl w:val="0"/>
          <w:numId w:val="2"/>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Preparatorios y definitivos.</w:t>
      </w:r>
    </w:p>
    <w:p w:rsidR="009339C5" w:rsidRPr="007F54BE" w:rsidRDefault="009339C5" w:rsidP="009339C5">
      <w:pPr>
        <w:spacing w:before="27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16.</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típicos y atípicos.</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-Los atípicos se sub clasifican en atípicos propiamente tales (tiempo compartido, por ejemplo) y atípicos mixtos (combinación de dos o más contratos típicos).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problema es determinar la legislación supletoria que se aplica. Criterio más aceptado: </w:t>
      </w:r>
      <w:r w:rsidRPr="007F54BE">
        <w:rPr>
          <w:rFonts w:ascii="Arial Narrow" w:eastAsia="Times New Roman" w:hAnsi="Arial Narrow" w:cs="Times New Roman"/>
          <w:b/>
          <w:bCs/>
          <w:color w:val="000000"/>
          <w:lang w:eastAsia="es-SV"/>
        </w:rPr>
        <w:t>CALIFICACIÓN: </w:t>
      </w:r>
      <w:r w:rsidRPr="007F54BE">
        <w:rPr>
          <w:rFonts w:ascii="Arial Narrow" w:eastAsia="Times New Roman" w:hAnsi="Arial Narrow" w:cs="Times New Roman"/>
          <w:color w:val="000000"/>
          <w:lang w:eastAsia="es-SV"/>
        </w:rPr>
        <w:t>asimilación del contrato a figuras típicas más parecidas. La calificación es una cuestión de derecho.</w:t>
      </w:r>
    </w:p>
    <w:p w:rsidR="009339C5" w:rsidRPr="007F54BE" w:rsidRDefault="009339C5" w:rsidP="009339C5">
      <w:pPr>
        <w:spacing w:before="18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17.</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De ejecución instantánea, de ejecución diferida y de tracto sucesivo</w:t>
      </w:r>
    </w:p>
    <w:p w:rsidR="009339C5" w:rsidRPr="007F54BE" w:rsidRDefault="009339C5" w:rsidP="009339C5">
      <w:pPr>
        <w:spacing w:before="45" w:after="0"/>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b/>
          <w:bCs/>
          <w:color w:val="000000"/>
          <w:lang w:eastAsia="es-SV"/>
        </w:rPr>
        <w:t>Importancia de la clasificación:</w:t>
      </w:r>
      <w:r w:rsidRPr="007F54BE">
        <w:rPr>
          <w:rFonts w:ascii="Arial Narrow" w:eastAsia="Times New Roman" w:hAnsi="Arial Narrow" w:cs="Times New Roman"/>
          <w:b/>
          <w:bCs/>
          <w:color w:val="000000"/>
          <w:lang w:eastAsia="es-SV"/>
        </w:rPr>
        <w:t xml:space="preserve"> </w:t>
      </w:r>
    </w:p>
    <w:p w:rsidR="009339C5" w:rsidRPr="007F54BE" w:rsidRDefault="009339C5" w:rsidP="009339C5">
      <w:pPr>
        <w:spacing w:before="45" w:after="0"/>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b/>
          <w:bCs/>
          <w:color w:val="000000"/>
          <w:lang w:eastAsia="es-SV"/>
        </w:rPr>
        <w:t>I.</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Nulidad y resolución en contratos de ejecución instantánea y diferida: efecto retroactivo. En los de tracto sucesivo se produce la terminación.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II.</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Riesgos: en el de tracto sucesivo, la extinción de una obligación genera la extinción de la obligación de la contraparte.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b/>
          <w:bCs/>
          <w:color w:val="000000"/>
          <w:lang w:eastAsia="es-SV"/>
        </w:rPr>
        <w:t>III.</w:t>
      </w:r>
      <w:r w:rsidRPr="007F54BE">
        <w:rPr>
          <w:rFonts w:ascii="Arial Narrow" w:eastAsia="Times New Roman" w:hAnsi="Arial Narrow" w:cs="Times New Roman"/>
          <w:b/>
          <w:bCs/>
          <w:color w:val="000000"/>
          <w:lang w:eastAsia="es-SV"/>
        </w:rPr>
        <w:t xml:space="preserve"> </w:t>
      </w:r>
      <w:r w:rsidRPr="007F54BE">
        <w:rPr>
          <w:rFonts w:ascii="Arial Narrow" w:eastAsia="Times New Roman" w:hAnsi="Arial Narrow" w:cs="Times New Roman"/>
          <w:color w:val="000000"/>
          <w:lang w:eastAsia="es-SV"/>
        </w:rPr>
        <w:t>Teoría de la imprevisión: no cabe en los de ejecución instantánea (se discute en los de diferida).</w:t>
      </w:r>
    </w:p>
    <w:p w:rsidR="009339C5" w:rsidRPr="007F54BE" w:rsidRDefault="009339C5" w:rsidP="009339C5">
      <w:pPr>
        <w:spacing w:before="21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18.</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Individuales y colectivos.</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-Individuales: requiere de la manifestación de voluntad de todas las personas que resultan vinculadas.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-Colectivo: crea obligaciones para personas que no concurren o que no consienten o que disienten. Ej. Convenio judicial en quiebra, acuerdos en propiedades horizontales.</w:t>
      </w:r>
    </w:p>
    <w:p w:rsidR="009339C5" w:rsidRPr="007F54BE" w:rsidRDefault="009339C5" w:rsidP="009339C5">
      <w:pPr>
        <w:spacing w:before="21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19. Libremente discutidos y de adhesión</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-Libremente discutido: las partes han deliberado en cuanto al contenido, siendo fruto de negociaciones preliminares. Existe semejanza en el poder negociador.</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-Adhesión: desequilibrio del poder negociador: el oferente redacta e impone su contrato.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-Doctrina errada establece que la adhesión se da cuando la oferta es general, permanente y minuciosa.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-Concepto de la ley del consumidor: contrato de adhesión es aquel cuyas cláusulas han sido propuestas unilateralmente por el proveedor sin que el consumidor, para celebrarlo, pueda alterar su contenido.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-Naturaleza jurídica del contrato de adhesión:</w:t>
      </w:r>
    </w:p>
    <w:p w:rsidR="009339C5" w:rsidRPr="007F54BE" w:rsidRDefault="009339C5" w:rsidP="009339C5">
      <w:pPr>
        <w:pStyle w:val="Prrafodelista"/>
        <w:numPr>
          <w:ilvl w:val="0"/>
          <w:numId w:val="3"/>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Anti</w:t>
      </w:r>
      <w:r w:rsidR="00A40078"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color w:val="000000"/>
          <w:lang w:eastAsia="es-SV"/>
        </w:rPr>
        <w:t>contractual por la falta de debate entre las partes. El contrato no es obligatorio para el juez, quien podría dejar sin efecto las cláusulas abusivas.</w:t>
      </w:r>
    </w:p>
    <w:p w:rsidR="009339C5" w:rsidRPr="007F54BE" w:rsidRDefault="009339C5" w:rsidP="009339C5">
      <w:pPr>
        <w:pStyle w:val="Prrafodelista"/>
        <w:numPr>
          <w:ilvl w:val="0"/>
          <w:numId w:val="3"/>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Contractual: la voluntad del aceptante es indispensable para concluir el negocio.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-Reglas de interpretación propias de los contratos de adhesión:</w:t>
      </w:r>
    </w:p>
    <w:p w:rsidR="009339C5" w:rsidRPr="007F54BE" w:rsidRDefault="009339C5" w:rsidP="009339C5">
      <w:pPr>
        <w:pStyle w:val="Prrafodelista"/>
        <w:numPr>
          <w:ilvl w:val="0"/>
          <w:numId w:val="4"/>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Interpretación contra redactor.</w:t>
      </w:r>
    </w:p>
    <w:p w:rsidR="009339C5" w:rsidRPr="007F54BE" w:rsidRDefault="009339C5" w:rsidP="009339C5">
      <w:pPr>
        <w:pStyle w:val="Prrafodelista"/>
        <w:numPr>
          <w:ilvl w:val="0"/>
          <w:numId w:val="4"/>
        </w:num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Preferencia de lo manuscrito por sobre lo impreso.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 Soluciones a la adhesión: </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 Contrato dirigido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 Homologación por el poder público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3- Ampliación de la concepción de la lesión enorme </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 Ineficacia de la cláusula abusiva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5- Organismos antimonopolios</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20.</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preparatorios y contratos definitivos.</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Categorías contractuales.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 Contrato dirigido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 b- Contrato tipo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c- Contrato forzoso </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 Contrato ley</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 Contrato por persona a nombrar o por cuenta de quien corresponda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 f- Auto contrato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g- Sub contrato</w:t>
      </w:r>
    </w:p>
    <w:p w:rsidR="009339C5" w:rsidRPr="007F54BE" w:rsidRDefault="009339C5" w:rsidP="009339C5">
      <w:pPr>
        <w:spacing w:before="48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 dirigido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-Existencia de normas mínimas inalterables para las partes: en cuanto a contenido, efectos o a persona con quién contratar.</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 tipo</w:t>
      </w:r>
    </w:p>
    <w:p w:rsidR="009339C5" w:rsidRPr="007F54BE" w:rsidRDefault="009339C5" w:rsidP="009339C5">
      <w:pPr>
        <w:spacing w:before="28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-Acuerdo de voluntades en cuya virtud las partes predisponen las cláusulas de futuros contratos, que se celebrarán masivamente. Redacción previa y generalidad. </w:t>
      </w:r>
      <w:r w:rsidRPr="007F54BE">
        <w:rPr>
          <w:rFonts w:ascii="Arial Narrow" w:eastAsia="Times New Roman" w:hAnsi="Arial Narrow" w:cs="Times New Roman"/>
          <w:b/>
          <w:bCs/>
          <w:color w:val="000000"/>
          <w:lang w:eastAsia="es-SV"/>
        </w:rPr>
        <w:t>Estandarización</w:t>
      </w:r>
      <w:r w:rsidRPr="007F54BE">
        <w:rPr>
          <w:rFonts w:ascii="Arial Narrow" w:eastAsia="Times New Roman" w:hAnsi="Arial Narrow" w:cs="Times New Roman"/>
          <w:color w:val="000000"/>
          <w:lang w:eastAsia="es-SV"/>
        </w:rPr>
        <w:t>. No siempre son de adhesión.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-Clasificación: contrato tipo unilateral (o cartel): intereses convergentes en la determinación del contrato; contrato tipo bilateral: intereses divergentes.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-Generan la obligación de reproducir las cláusulas acordadas.</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 forzoso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legislador obliga a celebrarlo o lo da por celebrado.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-Clasificación: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Forzoso ortodoxo: mandato del legislador a contratar y luego se puede elegir al co</w:t>
      </w: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color w:val="000000"/>
          <w:lang w:eastAsia="es-SV"/>
        </w:rPr>
        <w:t>contratante y discutir e</w:t>
      </w:r>
      <w:r w:rsidRPr="007F54BE">
        <w:rPr>
          <w:rFonts w:ascii="Arial Narrow" w:eastAsia="Times New Roman" w:hAnsi="Arial Narrow" w:cs="Times New Roman"/>
          <w:color w:val="000000"/>
          <w:lang w:eastAsia="es-SV"/>
        </w:rPr>
        <w:t>l contenido con él. Ej</w:t>
      </w:r>
      <w:r w:rsidRPr="007F54BE">
        <w:rPr>
          <w:rFonts w:ascii="Arial Narrow" w:eastAsia="Times New Roman" w:hAnsi="Arial Narrow" w:cs="Times New Roman"/>
          <w:color w:val="000000"/>
          <w:lang w:eastAsia="es-SV"/>
        </w:rPr>
        <w:t>. Seguro de responsabilidad civil en accidentes del tránsito, caución de restitución y conservación que debe rendir el usufructuario.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Forzoso heterodoxo: pérdida completa de la libertad contractual. El vínculo jurídico, las partes y el contenido son det</w:t>
      </w:r>
      <w:r w:rsidR="00A40078" w:rsidRPr="007F54BE">
        <w:rPr>
          <w:rFonts w:ascii="Arial Narrow" w:eastAsia="Times New Roman" w:hAnsi="Arial Narrow" w:cs="Times New Roman"/>
          <w:color w:val="000000"/>
          <w:lang w:eastAsia="es-SV"/>
        </w:rPr>
        <w:t>erminados por el legislador. Ej.</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 Contratos leyes, administración de la sociedad colectiva: mandato recíproco, quiebra (enajenación como unidad económica: los inmuebles se entienden hipotecados y los muebles prendados, para garantizar las obligaciones del adquirente).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-Carácter contractual de los contratos forzosos.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Quienes se lo niegan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Quienes se lo otorgan basados en el análisis del contrato como relación jurídica constituida. El contrato no siempre se configura por el solo acuerdo de voluntades (Hernández Gil: voluntad ayudada de normas legales; norma legal ayudada de la voluntad; o </w:t>
      </w:r>
      <w:r w:rsidRPr="007F54BE">
        <w:rPr>
          <w:rFonts w:ascii="Arial Narrow" w:eastAsia="Times New Roman" w:hAnsi="Arial Narrow" w:cs="Times New Roman"/>
          <w:color w:val="000000"/>
          <w:u w:val="single"/>
          <w:lang w:eastAsia="es-SV"/>
        </w:rPr>
        <w:t>norma legal sin intervención de la voluntad</w:t>
      </w:r>
      <w:r w:rsidRPr="007F54BE">
        <w:rPr>
          <w:rFonts w:ascii="Arial Narrow" w:eastAsia="Times New Roman" w:hAnsi="Arial Narrow" w:cs="Times New Roman"/>
          <w:color w:val="000000"/>
          <w:lang w:eastAsia="es-SV"/>
        </w:rPr>
        <w:t>).</w:t>
      </w:r>
    </w:p>
    <w:p w:rsidR="009339C5" w:rsidRPr="007F54BE" w:rsidRDefault="009339C5" w:rsidP="009339C5">
      <w:pPr>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-Razones para establecer una obligación contractual antes que legal: flexibilidad y razón psicológica del deudor de la obligación, regulación del contrato es más determinada.</w:t>
      </w:r>
    </w:p>
    <w:tbl>
      <w:tblPr>
        <w:tblW w:w="8145" w:type="dxa"/>
        <w:tblCellSpacing w:w="0" w:type="dxa"/>
        <w:tblCellMar>
          <w:left w:w="0" w:type="dxa"/>
          <w:right w:w="0" w:type="dxa"/>
        </w:tblCellMar>
        <w:tblLook w:val="04A0" w:firstRow="1" w:lastRow="0" w:firstColumn="1" w:lastColumn="0" w:noHBand="0" w:noVBand="1"/>
      </w:tblPr>
      <w:tblGrid>
        <w:gridCol w:w="330"/>
        <w:gridCol w:w="7815"/>
      </w:tblGrid>
      <w:tr w:rsidR="009339C5" w:rsidRPr="007F54BE" w:rsidTr="00FA19D5">
        <w:trPr>
          <w:trHeight w:val="375"/>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25.</w:t>
            </w: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Contrato ley</w:t>
            </w:r>
          </w:p>
        </w:tc>
      </w:tr>
      <w:tr w:rsidR="009339C5" w:rsidRPr="007F54BE" w:rsidTr="00FA19D5">
        <w:trPr>
          <w:trHeight w:val="270"/>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El Estado garantiza que en el futuro no modificará ni derogará las franquicias</w:t>
            </w:r>
          </w:p>
        </w:tc>
      </w:tr>
      <w:tr w:rsidR="009339C5" w:rsidRPr="007F54BE" w:rsidTr="00FA19D5">
        <w:trPr>
          <w:trHeight w:val="285"/>
          <w:tblCellSpacing w:w="0" w:type="dxa"/>
        </w:trPr>
        <w:tc>
          <w:tcPr>
            <w:tcW w:w="330" w:type="dxa"/>
            <w:vMerge w:val="restart"/>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contractualmente establecidas.</w:t>
            </w:r>
          </w:p>
        </w:tc>
      </w:tr>
      <w:tr w:rsidR="009339C5" w:rsidRPr="007F54BE" w:rsidTr="00FA19D5">
        <w:trPr>
          <w:trHeight w:val="285"/>
          <w:tblCellSpacing w:w="0" w:type="dxa"/>
        </w:trPr>
        <w:tc>
          <w:tcPr>
            <w:tcW w:w="0" w:type="auto"/>
            <w:vMerge/>
            <w:vAlign w:val="center"/>
            <w:hideMark/>
          </w:tcPr>
          <w:p w:rsidR="009339C5" w:rsidRPr="007F54BE" w:rsidRDefault="009339C5" w:rsidP="009339C5">
            <w:pPr>
              <w:spacing w:after="0"/>
              <w:jc w:val="both"/>
              <w:rPr>
                <w:rFonts w:ascii="Arial Narrow" w:eastAsia="Times New Roman" w:hAnsi="Arial Narrow" w:cs="Times New Roman"/>
                <w:lang w:eastAsia="es-SV"/>
              </w:rPr>
            </w:pP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Jurisprudencia: el Estado no puede modificar estos contratos unilateralmente, por</w:t>
            </w:r>
          </w:p>
        </w:tc>
      </w:tr>
      <w:tr w:rsidR="009339C5" w:rsidRPr="007F54BE" w:rsidTr="00FA19D5">
        <w:trPr>
          <w:trHeight w:val="270"/>
          <w:tblCellSpacing w:w="0" w:type="dxa"/>
        </w:trPr>
        <w:tc>
          <w:tcPr>
            <w:tcW w:w="330" w:type="dxa"/>
            <w:vMerge w:val="restart"/>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haberse generado una convención que hace nacer derechos adquiridos.</w:t>
            </w:r>
          </w:p>
        </w:tc>
      </w:tr>
      <w:tr w:rsidR="009339C5" w:rsidRPr="007F54BE" w:rsidTr="00FA19D5">
        <w:trPr>
          <w:trHeight w:val="315"/>
          <w:tblCellSpacing w:w="0" w:type="dxa"/>
        </w:trPr>
        <w:tc>
          <w:tcPr>
            <w:tcW w:w="0" w:type="auto"/>
            <w:vMerge/>
            <w:vAlign w:val="center"/>
            <w:hideMark/>
          </w:tcPr>
          <w:p w:rsidR="009339C5" w:rsidRPr="007F54BE" w:rsidRDefault="009339C5" w:rsidP="009339C5">
            <w:pPr>
              <w:spacing w:after="0"/>
              <w:jc w:val="both"/>
              <w:rPr>
                <w:rFonts w:ascii="Arial Narrow" w:eastAsia="Times New Roman" w:hAnsi="Arial Narrow" w:cs="Times New Roman"/>
                <w:lang w:eastAsia="es-SV"/>
              </w:rPr>
            </w:pP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Novoa: estos contratos son inconstitucionales por enajenar la soberanía nacional.</w:t>
            </w:r>
          </w:p>
        </w:tc>
      </w:tr>
      <w:tr w:rsidR="009339C5" w:rsidRPr="007F54BE" w:rsidTr="00FA19D5">
        <w:trPr>
          <w:trHeight w:val="525"/>
          <w:tblCellSpacing w:w="0" w:type="dxa"/>
        </w:trPr>
        <w:tc>
          <w:tcPr>
            <w:tcW w:w="330"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26.</w:t>
            </w:r>
          </w:p>
        </w:tc>
        <w:tc>
          <w:tcPr>
            <w:tcW w:w="781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Contrato por persona a nombrar o por cuenta de quien corresponda</w:t>
            </w:r>
          </w:p>
        </w:tc>
      </w:tr>
    </w:tbl>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 por persona a nombrar: una de las partes se reserva la facultad de designar, por medio de una declaración posterior, a la persona que adquirirá los derechos y asumirá las obligaciones inicialmente adquiridas, en forma retroactiva. Una parte es inmutable y la otra fungible (éste puede cumplir por sí o nombrar a otro).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-Contrato por cuenta de quien corresponda: una de las partes queda inicialmente indeterminada, en la seguridad de que luego será individualizada. El contratante formal no es parte. El real lo será en virtud de la obra de una parte o de un suceso extraño.</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27. Auto contrato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-Una misma persona celebra consigo mismo un contrato, sin que concurra físicamente otra, actuando a la vez por 2 o más intereses diversos.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-Causas: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1.Doble representación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Por sí y representando a otro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Como titular de dos patrimonios sin que exista representación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-Discusión en torno a su naturaleza jurídica: no es un contrato (Alessandri: falta el concurso de voluntades); es un contrato (Claro Solar: hay que atender a la idea de representación como modalidad). López Santa María aduce la idea de contrato como relación constituida.</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28. Sub contrato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-Nuevo contrato derivado y dependiente de otro contrato previo de la misma naturaleza.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-CC lo regula a propósito del arrendamiento, de la fianza y del mandato.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-Debe tratarse de un contrato de ejecución diferida o de tracto sucesivo.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-Se presentan 3 partes y el subcontrato depende del contrato base.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sub contrato genera una relación de simultaneidad, a diferencia de la cesión de contrato: traspaso de la íntegra posición jurídica, siendo necesaria la voluntad del primer contratante.</w:t>
      </w:r>
    </w:p>
    <w:p w:rsidR="009339C5" w:rsidRPr="007F54BE" w:rsidRDefault="009339C5" w:rsidP="009339C5">
      <w:pPr>
        <w:spacing w:before="19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29. Principios fundamentales de la contratación.</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-Autonomía de la voluntad como fuente y medida de los derechos y obligaciones.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-Sub principios: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Libertad Contractual</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Consensualismo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Efecto relativo de los contratos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Fuerza obligatoria</w:t>
      </w:r>
    </w:p>
    <w:p w:rsidR="009339C5" w:rsidRPr="007F54BE" w:rsidRDefault="009339C5" w:rsidP="009339C5">
      <w:pPr>
        <w:spacing w:after="0"/>
        <w:jc w:val="both"/>
        <w:rPr>
          <w:rFonts w:ascii="Arial Narrow" w:eastAsia="Times New Roman" w:hAnsi="Arial Narrow" w:cs="Times New Roman"/>
          <w:b/>
          <w:bCs/>
          <w:color w:val="000000"/>
          <w:lang w:eastAsia="es-SV"/>
        </w:rPr>
      </w:pPr>
      <w:r w:rsidRPr="007F54BE">
        <w:rPr>
          <w:rFonts w:ascii="Arial Narrow" w:eastAsia="Times New Roman" w:hAnsi="Arial Narrow" w:cs="Times New Roman"/>
          <w:color w:val="000000"/>
          <w:lang w:eastAsia="es-SV"/>
        </w:rPr>
        <w:t>5.</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Buena Fe: </w:t>
      </w:r>
      <w:r w:rsidRPr="007F54BE">
        <w:rPr>
          <w:rFonts w:ascii="Arial Narrow" w:eastAsia="Times New Roman" w:hAnsi="Arial Narrow" w:cs="Times New Roman"/>
          <w:b/>
          <w:bCs/>
          <w:color w:val="000000"/>
          <w:lang w:eastAsia="es-SV"/>
        </w:rPr>
        <w:t>es independiente de la autonomía de la voluntad</w:t>
      </w:r>
      <w:r w:rsidRPr="007F54BE">
        <w:rPr>
          <w:rFonts w:ascii="Arial Narrow" w:eastAsia="Times New Roman" w:hAnsi="Arial Narrow" w:cs="Times New Roman"/>
          <w:color w:val="000000"/>
          <w:lang w:eastAsia="es-SV"/>
        </w:rPr>
        <w:t>, no siendo propiamente un sub principio.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-Fundamento de la Autonomía de la voluntad: Filosófico: libertad natural del hombre; y económico: liberalismo (justicia y utilidad: desvirtuados en la práctica).</w:t>
      </w:r>
    </w:p>
    <w:p w:rsidR="009339C5" w:rsidRPr="007F54BE" w:rsidRDefault="009339C5" w:rsidP="009339C5">
      <w:pPr>
        <w:spacing w:before="19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30. Principio del Consensualismo.</w:t>
      </w:r>
    </w:p>
    <w:p w:rsidR="009339C5" w:rsidRPr="007F54BE" w:rsidRDefault="009339C5" w:rsidP="009339C5">
      <w:pPr>
        <w:spacing w:before="3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-El </w:t>
      </w:r>
      <w:r w:rsidR="00A40078" w:rsidRPr="007F54BE">
        <w:rPr>
          <w:rFonts w:ascii="Arial Narrow" w:eastAsia="Times New Roman" w:hAnsi="Arial Narrow" w:cs="Times New Roman"/>
          <w:color w:val="000000"/>
          <w:lang w:eastAsia="es-SV"/>
        </w:rPr>
        <w:t>Consensualismo</w:t>
      </w:r>
      <w:r w:rsidRPr="007F54BE">
        <w:rPr>
          <w:rFonts w:ascii="Arial Narrow" w:eastAsia="Times New Roman" w:hAnsi="Arial Narrow" w:cs="Times New Roman"/>
          <w:color w:val="000000"/>
          <w:lang w:eastAsia="es-SV"/>
        </w:rPr>
        <w:t xml:space="preserve"> tiene importancia en 2 sentidos: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Determinar el fundamento de la obligatoriedad; y</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Determinar la existencia de un contrato.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-Clasificación de los contratos consensuales: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Consensuales propiamente tales; y</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Consensuales formales.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-Excepciones al principio del </w:t>
      </w:r>
      <w:r w:rsidR="00A40078" w:rsidRPr="007F54BE">
        <w:rPr>
          <w:rFonts w:ascii="Arial Narrow" w:eastAsia="Times New Roman" w:hAnsi="Arial Narrow" w:cs="Times New Roman"/>
          <w:color w:val="000000"/>
          <w:lang w:eastAsia="es-SV"/>
        </w:rPr>
        <w:t>Consensualismo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Solemnes;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Reales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-Atenuantes al principio del </w:t>
      </w:r>
      <w:r w:rsidR="00A40078" w:rsidRPr="007F54BE">
        <w:rPr>
          <w:rFonts w:ascii="Arial Narrow" w:eastAsia="Times New Roman" w:hAnsi="Arial Narrow" w:cs="Times New Roman"/>
          <w:color w:val="000000"/>
          <w:lang w:eastAsia="es-SV"/>
        </w:rPr>
        <w:t>Consensualismo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Formalidades habilitantes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Formalidades de publicidad</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Formalidades de prueba: solemnidades en atención a naturaleza, juegan también ad probationem; 1709</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Formalidades convencionales</w:t>
      </w:r>
    </w:p>
    <w:p w:rsidR="009339C5" w:rsidRPr="007F54BE" w:rsidRDefault="009339C5" w:rsidP="009339C5">
      <w:pPr>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-Ventajas del formalismo: protección frente al apresuramiento y protege ante la falta de prueba.</w:t>
      </w:r>
    </w:p>
    <w:tbl>
      <w:tblPr>
        <w:tblW w:w="7695" w:type="dxa"/>
        <w:tblCellSpacing w:w="0" w:type="dxa"/>
        <w:tblCellMar>
          <w:left w:w="0" w:type="dxa"/>
          <w:right w:w="0" w:type="dxa"/>
        </w:tblCellMar>
        <w:tblLook w:val="04A0" w:firstRow="1" w:lastRow="0" w:firstColumn="1" w:lastColumn="0" w:noHBand="0" w:noVBand="1"/>
      </w:tblPr>
      <w:tblGrid>
        <w:gridCol w:w="285"/>
        <w:gridCol w:w="705"/>
        <w:gridCol w:w="6705"/>
      </w:tblGrid>
      <w:tr w:rsidR="009339C5" w:rsidRPr="007F54BE" w:rsidTr="00FA19D5">
        <w:trPr>
          <w:trHeight w:val="360"/>
          <w:tblCellSpacing w:w="0" w:type="dxa"/>
        </w:trPr>
        <w:tc>
          <w:tcPr>
            <w:tcW w:w="2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31.</w:t>
            </w:r>
          </w:p>
        </w:tc>
        <w:tc>
          <w:tcPr>
            <w:tcW w:w="7410"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Principio de la Libertad Contractual.</w:t>
            </w:r>
          </w:p>
        </w:tc>
      </w:tr>
      <w:tr w:rsidR="009339C5" w:rsidRPr="007F54BE" w:rsidTr="00FA19D5">
        <w:trPr>
          <w:trHeight w:val="270"/>
          <w:tblCellSpacing w:w="0" w:type="dxa"/>
        </w:trPr>
        <w:tc>
          <w:tcPr>
            <w:tcW w:w="2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410"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Comprende:</w:t>
            </w:r>
          </w:p>
        </w:tc>
      </w:tr>
      <w:tr w:rsidR="009339C5" w:rsidRPr="007F54BE" w:rsidTr="00FA19D5">
        <w:trPr>
          <w:trHeight w:val="270"/>
          <w:tblCellSpacing w:w="0" w:type="dxa"/>
        </w:trPr>
        <w:tc>
          <w:tcPr>
            <w:tcW w:w="2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 </w:t>
            </w:r>
          </w:p>
        </w:tc>
        <w:tc>
          <w:tcPr>
            <w:tcW w:w="70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1.</w:t>
            </w:r>
          </w:p>
        </w:tc>
        <w:tc>
          <w:tcPr>
            <w:tcW w:w="670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Libertad de conclusión</w:t>
            </w:r>
          </w:p>
        </w:tc>
      </w:tr>
      <w:tr w:rsidR="009339C5" w:rsidRPr="007F54BE" w:rsidTr="00FA19D5">
        <w:trPr>
          <w:trHeight w:val="285"/>
          <w:tblCellSpacing w:w="0" w:type="dxa"/>
        </w:trPr>
        <w:tc>
          <w:tcPr>
            <w:tcW w:w="285" w:type="dxa"/>
            <w:vMerge w:val="restart"/>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w:t>
            </w:r>
          </w:p>
        </w:tc>
        <w:tc>
          <w:tcPr>
            <w:tcW w:w="70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2.</w:t>
            </w:r>
          </w:p>
        </w:tc>
        <w:tc>
          <w:tcPr>
            <w:tcW w:w="670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Libertad de configuración</w:t>
            </w:r>
          </w:p>
        </w:tc>
      </w:tr>
      <w:tr w:rsidR="009339C5" w:rsidRPr="007F54BE" w:rsidTr="00FA19D5">
        <w:trPr>
          <w:trHeight w:val="315"/>
          <w:tblCellSpacing w:w="0" w:type="dxa"/>
        </w:trPr>
        <w:tc>
          <w:tcPr>
            <w:tcW w:w="0" w:type="auto"/>
            <w:vMerge/>
            <w:vAlign w:val="center"/>
            <w:hideMark/>
          </w:tcPr>
          <w:p w:rsidR="009339C5" w:rsidRPr="007F54BE" w:rsidRDefault="009339C5" w:rsidP="009339C5">
            <w:pPr>
              <w:spacing w:after="0"/>
              <w:jc w:val="both"/>
              <w:rPr>
                <w:rFonts w:ascii="Arial Narrow" w:eastAsia="Times New Roman" w:hAnsi="Arial Narrow" w:cs="Times New Roman"/>
                <w:lang w:eastAsia="es-SV"/>
              </w:rPr>
            </w:pPr>
          </w:p>
        </w:tc>
        <w:tc>
          <w:tcPr>
            <w:tcW w:w="7410"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Hoy está en oposición a las figuras del contrato dirigido y del contrato forzoso.</w:t>
            </w:r>
          </w:p>
        </w:tc>
      </w:tr>
      <w:tr w:rsidR="009339C5" w:rsidRPr="007F54BE" w:rsidTr="00FA19D5">
        <w:trPr>
          <w:trHeight w:val="525"/>
          <w:tblCellSpacing w:w="0" w:type="dxa"/>
        </w:trPr>
        <w:tc>
          <w:tcPr>
            <w:tcW w:w="285" w:type="dxa"/>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32.</w:t>
            </w:r>
          </w:p>
        </w:tc>
        <w:tc>
          <w:tcPr>
            <w:tcW w:w="7410" w:type="dxa"/>
            <w:gridSpan w:val="2"/>
            <w:vAlign w:val="bottom"/>
            <w:hideMark/>
          </w:tcPr>
          <w:p w:rsidR="009339C5" w:rsidRPr="007F54BE" w:rsidRDefault="009339C5" w:rsidP="009339C5">
            <w:pPr>
              <w:spacing w:after="0"/>
              <w:jc w:val="both"/>
              <w:rPr>
                <w:rFonts w:ascii="Arial Narrow" w:eastAsia="Times New Roman" w:hAnsi="Arial Narrow" w:cs="Times New Roman"/>
                <w:lang w:eastAsia="es-SV"/>
              </w:rPr>
            </w:pPr>
            <w:r w:rsidRPr="007F54BE">
              <w:rPr>
                <w:rFonts w:ascii="Arial Narrow" w:eastAsia="Times New Roman" w:hAnsi="Arial Narrow" w:cs="Times New Roman"/>
                <w:lang w:eastAsia="es-SV"/>
              </w:rPr>
              <w:t>Principio de la fuerza obligatoria de los contratos.</w:t>
            </w:r>
          </w:p>
        </w:tc>
      </w:tr>
    </w:tbl>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-1545: Todo contrato legalmente celebrado es una ley para los contratantes, y no puede ser invalidado sino por su consentimiento mutuo o por causas legales.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-Existen numerosas diferencias con la ley: situación regulada, formación, permanencia, cesación, interpretación.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-Fundamentos del principio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 Concepción voluntarista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 Concepción idealista: el contrato es instrumento del bien común c- Importancia práctica: el contrato es una verdad necesaria.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 Kelsen: la fuerza obligatoria es </w:t>
      </w:r>
      <w:r w:rsidRPr="007F54BE">
        <w:rPr>
          <w:rFonts w:ascii="Arial Narrow" w:eastAsia="Times New Roman" w:hAnsi="Arial Narrow" w:cs="Times New Roman"/>
          <w:b/>
          <w:bCs/>
          <w:color w:val="000000"/>
          <w:lang w:eastAsia="es-SV"/>
        </w:rPr>
        <w:t>delegada por la ley</w:t>
      </w:r>
      <w:r w:rsidRPr="007F54BE">
        <w:rPr>
          <w:rFonts w:ascii="Arial Narrow" w:eastAsia="Times New Roman" w:hAnsi="Arial Narrow" w:cs="Times New Roman"/>
          <w:color w:val="000000"/>
          <w:lang w:eastAsia="es-SV"/>
        </w:rPr>
        <w:t>.</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-López Santa María distingue al contrato como acto de constitución de la relación jurídica (elementos subjetivos priman), del contrato como relación constituida (elementos objetivos priman).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color w:val="000000"/>
          <w:u w:val="single"/>
          <w:lang w:eastAsia="es-SV"/>
        </w:rPr>
        <w:t xml:space="preserve">Principio del </w:t>
      </w:r>
      <w:r w:rsidR="00A40078" w:rsidRPr="007F54BE">
        <w:rPr>
          <w:rFonts w:ascii="Arial Narrow" w:eastAsia="Times New Roman" w:hAnsi="Arial Narrow" w:cs="Times New Roman"/>
          <w:color w:val="000000"/>
          <w:u w:val="single"/>
          <w:lang w:eastAsia="es-SV"/>
        </w:rPr>
        <w:t>Consensualismo</w:t>
      </w:r>
      <w:r w:rsidRPr="007F54BE">
        <w:rPr>
          <w:rFonts w:ascii="Arial Narrow" w:eastAsia="Times New Roman" w:hAnsi="Arial Narrow" w:cs="Times New Roman"/>
          <w:color w:val="000000"/>
          <w:u w:val="single"/>
          <w:lang w:eastAsia="es-SV"/>
        </w:rPr>
        <w:t xml:space="preserve"> frente al legislador</w:t>
      </w:r>
      <w:r w:rsidRPr="007F54BE">
        <w:rPr>
          <w:rFonts w:ascii="Arial Narrow" w:eastAsia="Times New Roman" w:hAnsi="Arial Narrow" w:cs="Times New Roman"/>
          <w:color w:val="000000"/>
          <w:lang w:eastAsia="es-SV"/>
        </w:rPr>
        <w:t>: </w:t>
      </w:r>
      <w:r w:rsidRPr="007F54BE">
        <w:rPr>
          <w:rFonts w:ascii="Arial Narrow" w:eastAsia="Times New Roman" w:hAnsi="Arial Narrow" w:cs="Times New Roman"/>
          <w:b/>
          <w:bCs/>
          <w:color w:val="000000"/>
          <w:lang w:eastAsia="es-SV"/>
        </w:rPr>
        <w:t>intangibilidad </w:t>
      </w:r>
      <w:r w:rsidRPr="007F54BE">
        <w:rPr>
          <w:rFonts w:ascii="Arial Narrow" w:eastAsia="Times New Roman" w:hAnsi="Arial Narrow" w:cs="Times New Roman"/>
          <w:color w:val="000000"/>
          <w:lang w:eastAsia="es-SV"/>
        </w:rPr>
        <w:t>relativa, ya que en ciertos casos el legislador vulnera la fuerza obligatoria: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Leyes de emergencia: concesión de beneficios a deudores no previstos ni contratados.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ii.</w:t>
      </w:r>
      <w:r w:rsidRPr="007F54BE">
        <w:rPr>
          <w:rFonts w:ascii="Arial Narrow" w:eastAsia="Times New Roman" w:hAnsi="Arial Narrow" w:cs="Times New Roman"/>
          <w:color w:val="000000"/>
          <w:lang w:eastAsia="es-SV"/>
        </w:rPr>
        <w:t xml:space="preserve"> </w:t>
      </w:r>
      <w:r w:rsidR="00A40078" w:rsidRPr="007F54BE">
        <w:rPr>
          <w:rFonts w:ascii="Arial Narrow" w:eastAsia="Times New Roman" w:hAnsi="Arial Narrow" w:cs="Times New Roman"/>
          <w:color w:val="000000"/>
          <w:lang w:eastAsia="es-SV"/>
        </w:rPr>
        <w:t xml:space="preserve">Normas permanentes: por ej. </w:t>
      </w:r>
      <w:r w:rsidRPr="007F54BE">
        <w:rPr>
          <w:rFonts w:ascii="Arial Narrow" w:eastAsia="Times New Roman" w:hAnsi="Arial Narrow" w:cs="Times New Roman"/>
          <w:color w:val="000000"/>
          <w:lang w:eastAsia="es-SV"/>
        </w:rPr>
        <w:t xml:space="preserve"> pacto comisorio calificado; o facultad del comodante para exigir antes la restitución.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iii.</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Leyes especiales que modifican contratos en curso.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-Propiedad sobre derechos emanados de contratos.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-Discusión en torno a la cosificación de los derechos personales.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w:t>
      </w:r>
    </w:p>
    <w:p w:rsidR="009339C5" w:rsidRPr="007F54BE" w:rsidRDefault="009339C5" w:rsidP="009339C5">
      <w:pPr>
        <w:spacing w:before="240" w:after="0"/>
        <w:jc w:val="both"/>
        <w:rPr>
          <w:rFonts w:ascii="Arial Narrow" w:eastAsia="Times New Roman" w:hAnsi="Arial Narrow" w:cs="Times New Roman"/>
          <w:color w:val="000000"/>
          <w:u w:val="single"/>
          <w:lang w:eastAsia="es-SV"/>
        </w:rPr>
      </w:pPr>
      <w:r w:rsidRPr="007F54BE">
        <w:rPr>
          <w:rFonts w:ascii="Arial Narrow" w:eastAsia="Times New Roman" w:hAnsi="Arial Narrow" w:cs="Times New Roman"/>
          <w:color w:val="000000"/>
          <w:u w:val="single"/>
          <w:lang w:eastAsia="es-SV"/>
        </w:rPr>
        <w:t xml:space="preserve">-Principio del </w:t>
      </w:r>
      <w:r w:rsidR="00A40078" w:rsidRPr="007F54BE">
        <w:rPr>
          <w:rFonts w:ascii="Arial Narrow" w:eastAsia="Times New Roman" w:hAnsi="Arial Narrow" w:cs="Times New Roman"/>
          <w:color w:val="000000"/>
          <w:u w:val="single"/>
          <w:lang w:eastAsia="es-SV"/>
        </w:rPr>
        <w:t>Consensualismo</w:t>
      </w:r>
      <w:r w:rsidRPr="007F54BE">
        <w:rPr>
          <w:rFonts w:ascii="Arial Narrow" w:eastAsia="Times New Roman" w:hAnsi="Arial Narrow" w:cs="Times New Roman"/>
          <w:color w:val="000000"/>
          <w:u w:val="single"/>
          <w:lang w:eastAsia="es-SV"/>
        </w:rPr>
        <w:t xml:space="preserve"> frente al juez.</w:t>
      </w:r>
    </w:p>
    <w:p w:rsidR="009339C5" w:rsidRPr="007F54BE" w:rsidRDefault="009339C5" w:rsidP="009339C5">
      <w:pPr>
        <w:spacing w:before="240" w:after="0"/>
        <w:jc w:val="both"/>
        <w:rPr>
          <w:rFonts w:ascii="Arial Narrow" w:eastAsia="Times New Roman" w:hAnsi="Arial Narrow" w:cs="Times New Roman"/>
          <w:color w:val="000000"/>
          <w:u w:val="single"/>
          <w:lang w:eastAsia="es-SV"/>
        </w:rPr>
      </w:pPr>
      <w:r w:rsidRPr="007F54BE">
        <w:rPr>
          <w:rFonts w:ascii="Arial Narrow" w:eastAsia="Times New Roman" w:hAnsi="Arial Narrow" w:cs="Times New Roman"/>
          <w:color w:val="000000"/>
          <w:lang w:eastAsia="es-SV"/>
        </w:rPr>
        <w:t>-La jurisprudencia ha establecido la intangibilidad de los contratos en curso, en base al 1545.</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-No se conoce de fallos de tribunales ordinarios que admitan la revisión por causas sobrevivientes. Se ha admitido en tribunales arbitrales.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-Se desarrolla la teoría de la imprevisión, cuyas soluciones son: revisión judicial del contrato y resolución por excesiva onerosidad sobreviniente.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-Casos en que el CC la acepta.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-Casos en que el CC la niega.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-Presupuestos para la teoría de la imprevisión: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 de ejecución diferida o de tracto sucesivo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 conmutativo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Que sobrevenga un hecho imprevisible al formarse el consentimiento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Que dificulte de modo considerable el cumplimiento.</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-Revisión judicial de los contratos. 3 posturas equivocadas: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Pr="007F54BE">
        <w:rPr>
          <w:rFonts w:ascii="Arial Narrow" w:eastAsia="Times New Roman" w:hAnsi="Arial Narrow" w:cs="Times New Roman"/>
          <w:color w:val="000000"/>
          <w:lang w:eastAsia="es-SV"/>
        </w:rPr>
        <w:t xml:space="preserve"> </w:t>
      </w:r>
      <w:r w:rsidR="00A40078" w:rsidRPr="007F54BE">
        <w:rPr>
          <w:rFonts w:ascii="Arial Narrow" w:eastAsia="Times New Roman" w:hAnsi="Arial Narrow" w:cs="Times New Roman"/>
          <w:color w:val="000000"/>
          <w:lang w:eastAsia="es-SV"/>
        </w:rPr>
        <w:t>Rebús</w:t>
      </w:r>
      <w:r w:rsidRPr="007F54BE">
        <w:rPr>
          <w:rFonts w:ascii="Arial Narrow" w:eastAsia="Times New Roman" w:hAnsi="Arial Narrow" w:cs="Times New Roman"/>
          <w:color w:val="000000"/>
          <w:lang w:eastAsia="es-SV"/>
        </w:rPr>
        <w:t xml:space="preserve"> sic stantibus. La cláusula no fue pactada, no pudiendo darse por establecida.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Enriquecimiento sin causa. El contrato siempre va a actuar como causa.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Doctrina del abuso del derecho.</w:t>
      </w:r>
    </w:p>
    <w:p w:rsidR="009339C5" w:rsidRPr="007F54BE" w:rsidRDefault="009339C5" w:rsidP="009339C5">
      <w:pPr>
        <w:spacing w:before="27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-Posturas mejor fundadas a favor de la revisión.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Reglas de la responsabilidad contractual: daños indemnizables y nivel de diligencia exigido.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Buena fe objetiva.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Método de la libre investigación: la solución es moralmente más justa y más útil económicamente hablando.</w:t>
      </w:r>
    </w:p>
    <w:p w:rsidR="009339C5" w:rsidRPr="007F54BE" w:rsidRDefault="009339C5" w:rsidP="009339C5">
      <w:pPr>
        <w:spacing w:before="21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-Resolución por excesiva onerosidad sobreviniente. El afectado demanda la resolución y el acreedor puede enervar la acción ofreciendo modificar equitativamente el contrato.</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-Cláusula HARDSCHIP: permite a cualquiera de las partes exigir una adaptación del contrato cuando se produce una modificación en las circunstancias, de modo que el cambio no le produzca un rigor injusto.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-La autoridad muchas veces otorga herramientas p</w:t>
      </w:r>
      <w:r w:rsidR="00A40078" w:rsidRPr="007F54BE">
        <w:rPr>
          <w:rFonts w:ascii="Arial Narrow" w:eastAsia="Times New Roman" w:hAnsi="Arial Narrow" w:cs="Times New Roman"/>
          <w:color w:val="000000"/>
          <w:lang w:eastAsia="es-SV"/>
        </w:rPr>
        <w:t>ara reprogramar voluntariamente.</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Terminación del contrato o agotamiento de su fuerza obligatoria.</w:t>
      </w:r>
    </w:p>
    <w:p w:rsidR="009339C5" w:rsidRPr="007F54BE" w:rsidRDefault="009339C5" w:rsidP="009339C5">
      <w:pPr>
        <w:spacing w:before="3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-Modo normal: MEO.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-Terminación anormal: invalidación o por causas legales (Resciliación, nulidad, resolución, revocación, etc.)</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34. El Recurso de Casación en el Fondo por infracción de la ley del contrato.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-La obligatoriedad para las partes y para el juez, es suficiente para concluir que su violación autoriza la interposición del recurso.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-Sería injusto que el contratante minucioso, por incorporar y adecuar lo que la ley dice a su contrato, no pudiera entablarlo, mientras que el que contrato estableciendo las cláusulas mínimas, pueda entablarlo.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-Historia fidedigna del establecimiento de la ley: se extrae que es posible su interposición.</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35. El principio del efecto Relativo de los contratos.</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 xml:space="preserve">-Res inter allios acta: </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-Declinación del principio: excepciones y efecto absoluto o reflejo.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-Sujetos concernidos por el efecto relativo: partes (incluye a los herederos a título universal), causahabientes a título singular y acreedores. Situación de terceros absolutos.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-Excepciones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colectivos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Estipulación a favor de otro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-Estipulación a favor de otro: cualquiera puede estipular a favor de una tercera persona, aunque no tenga derecho de representarla; pero sólo esta tercera persona tiene derecho para demandar lo estipulado; y mientras no medie su aceptación expresa o tácita, podrá revocarse el contrato por la voluntad de los que concurrieron a él.</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-Naturaleza jurídica: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Teoría de la oferta.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Teoría de la agencia oficiosa.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Teoría de la declaración unilateral de voluntad del obligado.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Figura autónoma como excepción al efecto relativo. Adquisición directa del derecho. Aceptación: es únicamente requisito para exigir el derecho.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-Promesa de hecho ajeno: no es una excepción.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-Fuente de la obligación en la promesa por hecho ajeno: agencia oficiosa, declaración unilateral del deudor, ley.</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-Efecto absoluto o reflejo de los contratos: el contrato como hecho.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-Casos en que se aplica: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Verificación de créditos en la quiebra;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Contratos de Familia;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Acción Pauliana;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Casos en que se otorga acción contra el deudor del cocontratante;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5.</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Casos de REC;</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6.</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Sub contratos: mandato por ej.</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w:t>
      </w:r>
      <w:r w:rsidRPr="007F54BE">
        <w:rPr>
          <w:rFonts w:ascii="Arial Narrow" w:eastAsia="Times New Roman" w:hAnsi="Arial Narrow" w:cs="Times New Roman"/>
          <w:b/>
          <w:bCs/>
          <w:color w:val="000000"/>
          <w:lang w:eastAsia="es-SV"/>
        </w:rPr>
        <w:t>Inoponibilidad</w:t>
      </w:r>
      <w:r w:rsidRPr="007F54BE">
        <w:rPr>
          <w:rFonts w:ascii="Arial Narrow" w:eastAsia="Times New Roman" w:hAnsi="Arial Narrow" w:cs="Times New Roman"/>
          <w:color w:val="000000"/>
          <w:lang w:eastAsia="es-SV"/>
        </w:rPr>
        <w:t>: Sanción civil de ineficacia que impide hacer valer un acto o contrato respecto de terceros.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-Diferencias con la nulidad:</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Acto válidamente constituido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Efecto sólo respecto de terceros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De orden privado y renunciable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No puede ser declarada de oficio por el juez</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-Causales de inoponibilidad</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1.</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Omisión de formalidad de publicidad</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Falta de concurrencia – consentimiento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Quiebra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4.</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Fraude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5.</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Simulación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6.</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Falta de fecha cierta en los instrumentos privados</w:t>
      </w:r>
    </w:p>
    <w:p w:rsidR="00A40078" w:rsidRPr="007F54BE" w:rsidRDefault="009339C5" w:rsidP="00A40078">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7.</w:t>
      </w:r>
      <w:r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Nulidad</w:t>
      </w:r>
    </w:p>
    <w:p w:rsidR="009339C5" w:rsidRPr="007F54BE" w:rsidRDefault="009339C5" w:rsidP="00A40078">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8.</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Resolución</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-Simulación. Lícita e ilícita; absoluta, relativa o por interposición de personas.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-Efectos de la simulación entre las partes y respecto de los terceros.</w:t>
      </w:r>
    </w:p>
    <w:p w:rsidR="009339C5" w:rsidRPr="007F54BE" w:rsidRDefault="009339C5" w:rsidP="009339C5">
      <w:pPr>
        <w:spacing w:before="25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36. Principio de Buena fe contractual</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-Buena fe subjetiva. Conciencia (posesión, matrimonio putativo, pago de lo no debido).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-Buena fe objetiva. Estándar de conducta (íter contractual).</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-1546: los contratos deben ejecutarse de buena fe y por consiguiente obligan no sólo a lo que en ellos se expresa, sino que precisamente a las cosas que emanan de la naturaleza misma de la obligación, o que por la costumbre o por la ley, pertenecen a ella.</w:t>
      </w:r>
    </w:p>
    <w:p w:rsidR="009339C5" w:rsidRPr="007F54BE" w:rsidRDefault="009339C5" w:rsidP="009339C5">
      <w:pPr>
        <w:spacing w:before="24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37. Interpretación de los contratos.</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w:t>
      </w:r>
      <w:r w:rsidR="00A40078" w:rsidRPr="007F54BE">
        <w:rPr>
          <w:rFonts w:ascii="Arial Narrow" w:eastAsia="Times New Roman" w:hAnsi="Arial Narrow" w:cs="Times New Roman"/>
          <w:color w:val="000000"/>
          <w:lang w:eastAsia="es-SV"/>
        </w:rPr>
        <w:t>Interpretación subjetiva</w:t>
      </w:r>
      <w:r w:rsidRPr="007F54BE">
        <w:rPr>
          <w:rFonts w:ascii="Arial Narrow" w:eastAsia="Times New Roman" w:hAnsi="Arial Narrow" w:cs="Times New Roman"/>
          <w:color w:val="000000"/>
          <w:lang w:eastAsia="es-SV"/>
        </w:rPr>
        <w:t>: Conocida claramente la intención de los contratantes debe estarse a ella más que a lo literal de las palabras.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-Necesidad de acudir a las circunstancias del caso en caso de no poder conocer claramente la voluntad común.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-Condición para que tenga lugar la interpretación: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Oscuridad del contrato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Todo contrato claro u oscuro debe interpretarse, debido a que el tenor literal del contrato puede ser muy claro y la intención no serlo.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Conclusión: el presupuesto mínimo para interpretar es la existencia de una contienda entre las partes.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-Reglas de interpretación de los contratos: ver cuadro en página siguiente.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-Naturaleza de las reglas de interpretación; </w:t>
      </w:r>
      <w:r w:rsidRPr="007F54BE">
        <w:rPr>
          <w:rFonts w:ascii="Arial Narrow" w:eastAsia="Times New Roman" w:hAnsi="Arial Narrow" w:cs="Times New Roman"/>
          <w:color w:val="000000"/>
          <w:u w:val="single"/>
          <w:lang w:eastAsia="es-SV"/>
        </w:rPr>
        <w:t>normas jurídicas imperativas </w:t>
      </w:r>
      <w:r w:rsidRPr="007F54BE">
        <w:rPr>
          <w:rFonts w:ascii="Arial Narrow" w:eastAsia="Times New Roman" w:hAnsi="Arial Narrow" w:cs="Times New Roman"/>
          <w:color w:val="000000"/>
          <w:lang w:eastAsia="es-SV"/>
        </w:rPr>
        <w:t>o meros consejos.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-Críticas al sistema subjetivo de interpretación: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Intérprete se transforma en psicólogo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2.</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Es falsa la noción de “intención común”.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Individualista.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-Interpretación objetiva. Sistema alemán.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-Sentido normal de la declaración conforme a los que el hombre medio razonable entienda.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-Tal como la subjetiva, no toma sólo en cuenta el tenor literal, sino que toma en consideración las circunstancias de la especie, pero sólo las </w:t>
      </w:r>
      <w:r w:rsidRPr="007F54BE">
        <w:rPr>
          <w:rFonts w:ascii="Arial Narrow" w:eastAsia="Times New Roman" w:hAnsi="Arial Narrow" w:cs="Times New Roman"/>
          <w:b/>
          <w:bCs/>
          <w:color w:val="000000"/>
          <w:lang w:eastAsia="es-SV"/>
        </w:rPr>
        <w:t>objetivas</w:t>
      </w:r>
      <w:r w:rsidRPr="007F54BE">
        <w:rPr>
          <w:rFonts w:ascii="Arial Narrow" w:eastAsia="Times New Roman" w:hAnsi="Arial Narrow" w:cs="Times New Roman"/>
          <w:color w:val="000000"/>
          <w:lang w:eastAsia="es-SV"/>
        </w:rPr>
        <w:t>.</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-El objetivo da la opción del Recurso de Casación, por infracción en la interpretación.</w:t>
      </w:r>
    </w:p>
    <w:p w:rsidR="009339C5" w:rsidRPr="007F54BE" w:rsidRDefault="009339C5" w:rsidP="009339C5">
      <w:pPr>
        <w:spacing w:before="480"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38. Interpretación y calificación frente al Recurso de Casación en el Fondo.</w:t>
      </w:r>
    </w:p>
    <w:p w:rsidR="009339C5" w:rsidRPr="007F54BE" w:rsidRDefault="009339C5" w:rsidP="009339C5">
      <w:pPr>
        <w:spacing w:before="1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-Calificación: determinación de la naturaleza jurídica.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-1º se interpreta y luego se califica.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lastRenderedPageBreak/>
        <w:t>-Calificación: cuestión de derecho. Ley del contrato, ley del contrato mal calificado, ley del contrato que se pretendió, normas supletorias.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-Interpretación y Casación: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Improcedencia en todo caso. Ley en sentido estricto y función del Recurso.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Improcedencia del recurso, salvo desnaturalización: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i- Tesis francesa: sólo en claras procede la desnaturalización. ii- Claro Solar: procede en claras y oscuras.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Siempre procede por errónea interpretación.</w:t>
      </w:r>
    </w:p>
    <w:p w:rsidR="009339C5" w:rsidRPr="007F54BE" w:rsidRDefault="009339C5" w:rsidP="009339C5">
      <w:pPr>
        <w:spacing w:before="225"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39.</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Efectos particulares de los contratos sinalagmáticos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A)Excepción de contrato no cumplido: En los contratos bilaterales ninguno de los contratantes está en mora dejando de cumplir lo pactado, mientras el otro no lo cumple por su parte, o no se allana a cumplirlo en la forma y tiempo debidos. (contrato bilateral, demandante incumple o no está llano, la obligación del demandante es actualmente exigible).</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B)Condición Resolutoria Tácita. Resolución por inejecución. (contrato bilateral, incumplimiento imputable, cumplimiento o llaneza de la propia obligación).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C)Teoría de los riesgos. (Contrato bilateral en curso, extinción de una obligación por pérdida fortuita). El riesgo del cuerpo cierto cuya entrega se deba es siempre del acreedor.</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-Excepciones:</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a.</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Se obligó a entregar a dos personas la misma cosa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b.</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Deudor se encuentra en mora de la entrega</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c.</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Deudor asume el riesgo en caso fortuito</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d.</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Riesgo de la cosa debida bajo condición</w:t>
      </w:r>
    </w:p>
    <w:p w:rsidR="009339C5" w:rsidRPr="007F54BE" w:rsidRDefault="009339C5" w:rsidP="009339C5">
      <w:pPr>
        <w:spacing w:after="0"/>
        <w:jc w:val="both"/>
        <w:rPr>
          <w:rFonts w:ascii="Arial Narrow" w:eastAsia="Times New Roman" w:hAnsi="Arial Narrow" w:cs="Times New Roman"/>
          <w:color w:val="000000"/>
          <w:lang w:eastAsia="es-SV"/>
        </w:rPr>
      </w:pPr>
      <w:r w:rsidRPr="007F54BE">
        <w:rPr>
          <w:rFonts w:ascii="Arial Narrow" w:eastAsia="Times New Roman" w:hAnsi="Arial Narrow" w:cs="Times New Roman"/>
          <w:color w:val="000000"/>
          <w:lang w:eastAsia="es-SV"/>
        </w:rPr>
        <w:t>e.</w:t>
      </w:r>
      <w:r w:rsidR="00A40078" w:rsidRPr="007F54BE">
        <w:rPr>
          <w:rFonts w:ascii="Arial Narrow" w:eastAsia="Times New Roman" w:hAnsi="Arial Narrow" w:cs="Times New Roman"/>
          <w:color w:val="000000"/>
          <w:lang w:eastAsia="es-SV"/>
        </w:rPr>
        <w:t xml:space="preserve"> </w:t>
      </w:r>
      <w:r w:rsidRPr="007F54BE">
        <w:rPr>
          <w:rFonts w:ascii="Arial Narrow" w:eastAsia="Times New Roman" w:hAnsi="Arial Narrow" w:cs="Times New Roman"/>
          <w:color w:val="000000"/>
          <w:lang w:eastAsia="es-SV"/>
        </w:rPr>
        <w:t>Obligación de género.</w:t>
      </w:r>
    </w:p>
    <w:p w:rsidR="00BB1DC0" w:rsidRPr="007F54BE" w:rsidRDefault="00BB1DC0" w:rsidP="009339C5">
      <w:pPr>
        <w:jc w:val="both"/>
        <w:rPr>
          <w:rFonts w:ascii="Arial Narrow" w:hAnsi="Arial Narrow"/>
        </w:rPr>
      </w:pPr>
      <w:bookmarkStart w:id="0" w:name="_GoBack"/>
      <w:bookmarkEnd w:id="0"/>
    </w:p>
    <w:sectPr w:rsidR="00BB1DC0" w:rsidRPr="007F54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24AF"/>
    <w:multiLevelType w:val="hybridMultilevel"/>
    <w:tmpl w:val="049E6C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52CCF"/>
    <w:multiLevelType w:val="hybridMultilevel"/>
    <w:tmpl w:val="5810E5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697350F"/>
    <w:multiLevelType w:val="hybridMultilevel"/>
    <w:tmpl w:val="602CE2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FC078E4"/>
    <w:multiLevelType w:val="hybridMultilevel"/>
    <w:tmpl w:val="207A6E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C5"/>
    <w:rsid w:val="00140DD4"/>
    <w:rsid w:val="007F54BE"/>
    <w:rsid w:val="009339C5"/>
    <w:rsid w:val="00A40078"/>
    <w:rsid w:val="00BB1DC0"/>
    <w:rsid w:val="00D631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9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3528</Words>
  <Characters>19404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Ana´s</cp:lastModifiedBy>
  <cp:revision>3</cp:revision>
  <cp:lastPrinted>2013-09-11T02:16:00Z</cp:lastPrinted>
  <dcterms:created xsi:type="dcterms:W3CDTF">2013-09-11T01:31:00Z</dcterms:created>
  <dcterms:modified xsi:type="dcterms:W3CDTF">2013-09-11T03:33:00Z</dcterms:modified>
</cp:coreProperties>
</file>