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EL CONTRATO DE PRENDA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Se define que es un derecho real que se constituye sobre bienes muebles enajenables, determinados, que se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entregan real o jurídicamente al acreedor, para garantizar el cumplimiento de una obligación principal y su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preferencia en el pago, concediéndole además los derechos de persecución y de venta sobre los citados bienes en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caso de incumplimiento.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Para definir la prenda como derecho real y como contrato real y accesorio, podemos definirla diciendo que es un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contrato accesorio por virtud del cual el deudor o un tercero entregan al acreedor una cosa mueble, enajenable,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determinada, para garantizar el cumplimiento de una obligación principal, concediéndole un derecho real de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persecución, venta y preferencia en el pago para el caso de incumplimiento, con la obligación de devolver la cosa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recibida, una vez que se cumpla dicha obligación.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2.1.2 ELEMENTOS DE LA DEFINICIÓN DE PRENDA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a) La prenda es un contrato accesorio.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b) La prenda es un contrato real.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c) Da nacimiento a un derecho real de garantía, y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d) Recae sobre bienes muebles, enajenables y determinados.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A. LA PRENDA ES UN CONTRATO ACCESORIO: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Este carácter nos permite afirmar que la existencia y validez del contrato accesorio dependerán de la existencia y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validez del contrato principal, por lo tanto, si el contrato principal, es inexistente o nulo de pleno derecho, la prenda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también lo será. Como consecuencia de ser la prenda un contrato accesorio, solo puede constituirse para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garantizar hasta el monto de la obligación principal, o una cantidad inferior, pero nunca una superior.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Por lo que se refiere a las modalidades que pueden afectar a la obligación principal, el carácter accesorio de la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prenda motivara que si la obligación principal depend</w:t>
      </w:r>
      <w:r w:rsidRPr="00F40702">
        <w:rPr>
          <w:rFonts w:ascii="Arial" w:hAnsi="Arial" w:cs="Arial"/>
          <w:sz w:val="24"/>
          <w:szCs w:val="24"/>
        </w:rPr>
        <w:t xml:space="preserve">e de una condición suspensiva o </w:t>
      </w:r>
      <w:r w:rsidRPr="00F40702">
        <w:rPr>
          <w:rFonts w:ascii="Arial" w:hAnsi="Arial" w:cs="Arial"/>
          <w:sz w:val="24"/>
          <w:szCs w:val="24"/>
        </w:rPr>
        <w:t>resolutoria, la obligación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accesoria quedara sujeta para su nacimiento o extinción a dichas condiciones; lo mismo debe decirse cuando la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modalidad es un término suspensivo o extintivo.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B. LA PRENDA ES UN CONTRATO REAL: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La prenda como contrato real solo existe desde el momento en que se hace la entrega de la cosa al acreedor. Se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ha reconocido en términos absolutos, exigiéndose una entrega material de la cosa, de tal manera que si esta no se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 xml:space="preserve">la </w:t>
      </w:r>
      <w:r w:rsidRPr="00F40702">
        <w:rPr>
          <w:rFonts w:ascii="Arial" w:hAnsi="Arial" w:cs="Arial"/>
          <w:sz w:val="24"/>
          <w:szCs w:val="24"/>
        </w:rPr>
        <w:lastRenderedPageBreak/>
        <w:t>entregaba, no se llegaba a constituir el contrato, existiendo solo una promesa de prenda o ante contrato, para el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caso de que el deudor o un tercero se obligaran a entregar la cosa al acreedor.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C) LA ENTREGA JURÍDICA VIENE A DESVIRTUAR EL CARÁCTER REAL DE LA PRENDA: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Es una consecuencia de la propensión del legislador que tiende a suprimir los contratos reales, habiendo privado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de este carácter, según ya indicamos, a los contratos de mutuo, depósito y comodato, que en unión con la prenda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constituyeron los contratos reales del derecho romano.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Para evitar en parte los conflictos que pueden suscitarse con tercero en los casos de entrega jurídica o de prenda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de frutos pendientes de bienes raíces.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D) LA PRENDA RECAE SOBRE BIENES MUEBLES ENAJENABLES: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Sobre bienes muebles enajenables; el requisito de la enajenación es evidente desde dos puntos de vista: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-</w:t>
      </w:r>
      <w:r w:rsidRPr="00F40702">
        <w:rPr>
          <w:rFonts w:ascii="Arial" w:hAnsi="Arial" w:cs="Arial"/>
          <w:sz w:val="24"/>
          <w:szCs w:val="24"/>
        </w:rPr>
        <w:tab/>
        <w:t xml:space="preserve">Porque la constitución de </w:t>
      </w:r>
      <w:proofErr w:type="spellStart"/>
      <w:r w:rsidRPr="00F40702">
        <w:rPr>
          <w:rFonts w:ascii="Arial" w:hAnsi="Arial" w:cs="Arial"/>
          <w:sz w:val="24"/>
          <w:szCs w:val="24"/>
        </w:rPr>
        <w:t>a</w:t>
      </w:r>
      <w:proofErr w:type="spellEnd"/>
      <w:r w:rsidRPr="00F40702">
        <w:rPr>
          <w:rFonts w:ascii="Arial" w:hAnsi="Arial" w:cs="Arial"/>
          <w:sz w:val="24"/>
          <w:szCs w:val="24"/>
        </w:rPr>
        <w:t xml:space="preserve"> prenda implica un acto de domino, es decir, una enajenación parcial y, por lo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tanto solo los bienes enajenables pueden ser susceptibles de tales actos.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-</w:t>
      </w:r>
      <w:r w:rsidRPr="00F40702">
        <w:rPr>
          <w:rFonts w:ascii="Arial" w:hAnsi="Arial" w:cs="Arial"/>
          <w:sz w:val="24"/>
          <w:szCs w:val="24"/>
        </w:rPr>
        <w:tab/>
        <w:t>Porque el objeto de la prenda es garantizar una obligación y su preferencia en el pago, para cuyo fin el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acreedor está facultado para vender la cosa; ahora bien, tal finalidad no podría alcanzarse si aquella fuera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inalienable.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2.2 LOS BIENES A LOS CUALES SE EXTIENDEN LA GARANTÍA PRENDARIA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El derecho que da la prenda al acreedor se extiende a todos los accesorios de la cosa y a todos los autos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momentos de ella. Respecto de los frutos, estos pertenecen al deudor y no quedan comprendidos en la garantía, si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no existe convenio en tal sentido, los frutos de la cosa empeñada pertenecen al deudor; mas si por convenio los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percibe los percibe al a creedor, su importe se imputara primero a los gastos, después a los intereses y el sobrante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al capital.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2.3 PRENDA DE BIENES INCORPORALES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Comprende todos los derechos personales susceptibles de enajenación, y los derechos reales muebles que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puedan ser objeto de transferencia durante la vida de su titular; la prenda se puede constituir sobre los derechos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personales en general, que son bienes muebles y que presentan un valor apreciable en dinero. Solo aquellos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derechos personales que son intransferibles durante la vida de su titular, no pueden ser objeto de prenda, dado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que se trata de bienes inalienables. En la prenda sobre derechos personales es frecuente la que se constituye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sobre créditos ya sean civiles o mercantiles, normativos, a la orden o al portador.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lastRenderedPageBreak/>
        <w:t>2.3.1 LA PRENDA DE DERECHOS REALES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El principio general es el que puede constituirse prenda sobre derechos reales que recaigan en bienes muebles,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siempre y cuando esos derechos reales sean enajenables.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2.4 CARACTERÍSTICAS Y ELEMENTOS DE LA PRENDA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La prenda se clasifica como un contrato accesorio, real, bilateral, oneroso o gratuito, formal y cuya finalidad es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jurídico económica.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-</w:t>
      </w:r>
      <w:r w:rsidRPr="00F40702">
        <w:rPr>
          <w:rFonts w:ascii="Arial" w:hAnsi="Arial" w:cs="Arial"/>
          <w:sz w:val="24"/>
          <w:szCs w:val="24"/>
        </w:rPr>
        <w:tab/>
        <w:t>La prenda es un contrato bilateral en virtud de que origina derechos y obligaciones para ambas partes: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para el acreedor, consiste en un derecho de persecución, retención, venta y preferencia en el pago; así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como de indemnización de los gastos necesarios y útiles que hiciere para conservar la cosa empeñada; en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cuanto a las obligaciones que reporta el acreedor, y que consecuentemente se traducen en derechos del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constituyente de la prenda, consiste en conservar la cosa</w:t>
      </w:r>
      <w:r w:rsidRPr="00F40702">
        <w:rPr>
          <w:rFonts w:ascii="Arial" w:hAnsi="Arial" w:cs="Arial"/>
          <w:sz w:val="24"/>
          <w:szCs w:val="24"/>
        </w:rPr>
        <w:t xml:space="preserve"> empeñada como si fuera propia, </w:t>
      </w:r>
      <w:r w:rsidRPr="00F40702">
        <w:rPr>
          <w:rFonts w:ascii="Arial" w:hAnsi="Arial" w:cs="Arial"/>
          <w:sz w:val="24"/>
          <w:szCs w:val="24"/>
        </w:rPr>
        <w:t>respondiendo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de los deterioros y perjuicios que sufra por du culpa o negligencia, y en restituir la prenda luego que estén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pagados íntegramente el crédito, sus intereses y los gastos de conservación de la cosa.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Las obligaciones que impone el contrato de prenda al constituyente de la garantía, son las siguientes: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a) Pagar los gastos necesarios y útiles que este hubiere hecho el acreedor para conservar la cosa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empeñada, a no ser que hubiere usado de ella por convenio;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b) Constituir otra prenda, si la cosa empeñada se pierde o se deteriora sin culpa del acreedor, es decir, por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culpa del deudor, de un tercero</w:t>
      </w:r>
      <w:r w:rsidRPr="00F40702">
        <w:rPr>
          <w:rFonts w:ascii="Arial" w:hAnsi="Arial" w:cs="Arial"/>
          <w:sz w:val="24"/>
          <w:szCs w:val="24"/>
        </w:rPr>
        <w:tab/>
        <w:t>o por caso fortuito. Esta obligación es imperfecta, en virtud de que la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facultad del acreedor para exigir una nueva prenda, no puede exigirse coactivamente en los casos de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oposición, de tal manera que por la garantía, para otorgar otra, pudiendo firmar el juez el contrato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respectivo, en rebeldía del condenado y decretar el secuestro de la cosa para la posesión material al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acreedor.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c) Defender la cosa dada en prenda, sino cumple con esta obligación, será responsable de los daños y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perjuicios.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La prenda puede ser un contrato oneroso o gratuito, según se constituya por el deudor o por un tercero. Si la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 xml:space="preserve">impone el deudor, es un contrato oneroso, en virtud de que existen provechos y </w:t>
      </w:r>
      <w:proofErr w:type="spellStart"/>
      <w:r w:rsidRPr="00F40702">
        <w:rPr>
          <w:rFonts w:ascii="Arial" w:hAnsi="Arial" w:cs="Arial"/>
          <w:sz w:val="24"/>
          <w:szCs w:val="24"/>
        </w:rPr>
        <w:t>gravamentos</w:t>
      </w:r>
      <w:proofErr w:type="spellEnd"/>
      <w:r w:rsidRPr="00F40702">
        <w:rPr>
          <w:rFonts w:ascii="Arial" w:hAnsi="Arial" w:cs="Arial"/>
          <w:sz w:val="24"/>
          <w:szCs w:val="24"/>
        </w:rPr>
        <w:t xml:space="preserve"> recíprocos: el 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creedor tiene el provecho inherente a la garantía y el gravamen relativo a la custodia y conservación y útiles, que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aun cuando les serán pagados al extinguirse la prenda, implican un gravamen por el hecho de su anticipación; el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deudor a su vez, tiene el provecho consiguiente a la obtención del valor que ampara la obligación o crédito a su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cargo, íntimamente relacionado con la constitución de la garantía y el gravamen de entregar real o jurídicamente la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 xml:space="preserve">prenda, generalmente se caracteriza </w:t>
      </w:r>
      <w:r w:rsidRPr="00F40702">
        <w:rPr>
          <w:rFonts w:ascii="Arial" w:hAnsi="Arial" w:cs="Arial"/>
          <w:sz w:val="24"/>
          <w:szCs w:val="24"/>
        </w:rPr>
        <w:lastRenderedPageBreak/>
        <w:t>como gratuita, en virtud de que no recibe provecho alguno y si reporta los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gravámenes consiguientes a la disposición y posible venta de la cosa.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La prenda además de caracteriza como un contrato formal, en virtud que se haga constara en documento privado,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del cual se formaran dos ejemplares, uno para cada contratante, siendo menester además, para que surta efectos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contra tercero que conste la certeza de la fecha del repetido documento, por el registro o por alguna otra manera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fehaciente. También en los casos de prenda de frutos pendientes de bienes raíces, prenda con entrega jurídica y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 xml:space="preserve">prenda de frutos pendientes de bienes raíces; prenda con entre jurídica y prenda de un </w:t>
      </w:r>
      <w:proofErr w:type="spellStart"/>
      <w:r w:rsidRPr="00F40702">
        <w:rPr>
          <w:rFonts w:ascii="Arial" w:hAnsi="Arial" w:cs="Arial"/>
          <w:sz w:val="24"/>
          <w:szCs w:val="24"/>
        </w:rPr>
        <w:t>titulo</w:t>
      </w:r>
      <w:proofErr w:type="spellEnd"/>
      <w:r w:rsidRPr="00F40702">
        <w:rPr>
          <w:rFonts w:ascii="Arial" w:hAnsi="Arial" w:cs="Arial"/>
          <w:sz w:val="24"/>
          <w:szCs w:val="24"/>
        </w:rPr>
        <w:t xml:space="preserve"> de crédito que deba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constar en el registro; es menester la inscripción del contrato a efecto de que pueda perjudicar a tercero.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La prenda es un contrato cuya finalidad es jurídico económica, es decir, atendiendo a la finalidad jurídica o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económica, hemos clasificado los contratos en tres categorías: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a) Contratos que tienen por objeto una finalidad económica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b) Contratos que tienen por finalidad jurídica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 xml:space="preserve">c) Contratos que tienen por objeto una finalidad </w:t>
      </w:r>
      <w:proofErr w:type="spellStart"/>
      <w:r w:rsidRPr="00F40702">
        <w:rPr>
          <w:rFonts w:ascii="Arial" w:hAnsi="Arial" w:cs="Arial"/>
          <w:sz w:val="24"/>
          <w:szCs w:val="24"/>
        </w:rPr>
        <w:t>juridico-economica</w:t>
      </w:r>
      <w:proofErr w:type="spellEnd"/>
      <w:r w:rsidRPr="00F40702">
        <w:rPr>
          <w:rFonts w:ascii="Arial" w:hAnsi="Arial" w:cs="Arial"/>
          <w:sz w:val="24"/>
          <w:szCs w:val="24"/>
        </w:rPr>
        <w:t>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En los contratos llamados garantía, principalmente existe una función que consiste en garantizar el cumplimiento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de una obligación principal.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Esta función jurídica puede no tener contenido económico en la fianza y en la hipoteca si el deudor cumple su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obligación principal, pero en la prenda y en la anticresis, desde la constitución de la garantía existe una finalidad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económica, cuando el acreedor prendario está facultado para usar la cosa e inclusive para apropiarse de los frutos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que se habrán de imputar a los gastos de conservación, después a los intereses y el sobrante al capital, o bien,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en la anticresis, como un contrato por virtud del cual una persona llamada deudor presta para seguridad de su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deuda, un inmueble de su propiedad, a otra persona llamada acreedor, concediéndole el derecho de disfrutarlo por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cuenta de los intereses debidos, o del capital, si no se deben intereses.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En la explotación de la cosa a que se faculta al a acreedor existe desde luego una finalidad economía.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En los contratos de garantía y fuera de las excepciones relativas a la prenda y la anticresis, cuando se cumple la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obligación principal, la función económica solo se tuvo en reserva, como una disponibilidad para llegar a tener una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apropiación de riqueza que no pudo realizarse en virtud del pago, pero que en el caso de incumplimiento si pudo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llegar a tener ejecución.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2.4.1 CARACTERÍSTICAS DE NATURALEZA DE LA PRENDA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Las características de naturaleza, se distinguen de las de esencia, en las que las primeras pueden renunciarse por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 xml:space="preserve">convenio, y las segundas son irrenunciables, al </w:t>
      </w:r>
      <w:r w:rsidRPr="00F40702">
        <w:rPr>
          <w:rFonts w:ascii="Arial" w:hAnsi="Arial" w:cs="Arial"/>
          <w:sz w:val="24"/>
          <w:szCs w:val="24"/>
        </w:rPr>
        <w:lastRenderedPageBreak/>
        <w:t>construir elementos esenciales para integrar el contrato, acto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jurídico o figura de que se trate.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Como características de esencia en la prenda, la determinación del bien y su naturaleza mueble enajenable.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Ninguna de estas características puede alterarse o renunciarse por convenio.</w:t>
      </w:r>
      <w:r w:rsidRPr="00F40702">
        <w:rPr>
          <w:rFonts w:ascii="Arial" w:hAnsi="Arial" w:cs="Arial"/>
          <w:sz w:val="24"/>
          <w:szCs w:val="24"/>
        </w:rPr>
        <w:t xml:space="preserve"> 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Son características de naturaleza en la prenda la indivisibilidad en cuanto al crédito y a los bienes objeto de la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garantía; el derecho y la obligación que resultan de la prenda son indivisibles, salvo el caso en que haya estipulado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en contrario; sin embargo, cuando el deudor está facultado para hacer pagos parciales y se hayan dado en prenda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varios objetos, o uno sea cómodamente divisible, esta se irá reduciendo proporcionalmente a los pagos hechos,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con tal que los derechos del acreedor siempre queden eficazmente garantizados.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La indivisibilidad en cuanto al crédito significa que la garantía continua en todo su valor y extensión aun cuando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disminuye la obligación principal por pagos parciales, de tal manera que el deudor no podrá exigir, en el caso de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que la cosa fuera divisible, o cuando hubiera entregado varias prendas, la liberación de parte de esa cosa o de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alguna o algunas de las prendas, salvo pacto en contrario.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Regula una modalidad al admitir que cuando el deudor este facultado para hacer pagos parciales y se hayan dado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en prenda varios objetos, o uno que sea cómodamente divisible, la garantía se irá reduciendo proporcionalmente 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los pagos hechos, siempre y cuando los derechos del acreedor queden eficazmente garantizados.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El principio de indivisibilidad en cuanto a los bienes gravados, significa que aun cuando se den en garantía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diversos bines, no es forzoso determinar la parte por la que cada bien responderá, de manera que el acreedor, en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el caso de incumplimiento, podrá ejercitar su acción respecto de todos y cada uno de los bienes afectados, o hacer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efectiva la obligación sobre cualquiera de ellos si así lo prefiere.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2.5 ELEMENTOS ESENCIALES DEL CONTRATO DE PRENDA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De los elementos esenciales de todo contrato, consentimiento y objeto merece especial mención el objeto indirecto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en el caso de la prenda, ya que el consentimiento sigue las reglas generales.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En todo contrato accesorio o de garantía existe un elemento esencial para su existencia, consistente en que a su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vez exista el contrato principal, ya que ante la inexistencia de dicho contrato, necesariamente, sobreviene la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inexistencia del accesorio, en el caso de la prenda, debiendo decirse lo mismo para la finanza, la hipoteca y la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anticresis. Para el contrato de prenda, además de que la cosa exista en la naturaleza y en el comercio no basta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con que sea determinable, sino que debe ser determinada individualmente.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lastRenderedPageBreak/>
        <w:t>El requisito de que la cosa exista en el comercio, común para todos los contratos, solo debemos agregar que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cuando la prenda no exista en el mismo nos referimos a la cosa dada en garantía, el contrato es inexistente; pero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si dicho se encuentra en el comercio y es inalienable, el contrato también será inexistente, por ser jurídicamente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imposible su objeto directo: la constitución de la aprenda.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Elementos de validez; trataremos especialmente de la capacidad, la forma y el objeto motivo o fin lícitos.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 CAPACIDAD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 xml:space="preserve">La prenda implica un </w:t>
      </w:r>
      <w:proofErr w:type="spellStart"/>
      <w:r w:rsidRPr="00F40702">
        <w:rPr>
          <w:rFonts w:ascii="Arial" w:hAnsi="Arial" w:cs="Arial"/>
          <w:sz w:val="24"/>
          <w:szCs w:val="24"/>
        </w:rPr>
        <w:t>cato</w:t>
      </w:r>
      <w:proofErr w:type="spellEnd"/>
      <w:r w:rsidRPr="00F40702">
        <w:rPr>
          <w:rFonts w:ascii="Arial" w:hAnsi="Arial" w:cs="Arial"/>
          <w:sz w:val="24"/>
          <w:szCs w:val="24"/>
        </w:rPr>
        <w:t xml:space="preserve"> de dominio y, por lo tanto, es necesario tener capacidad para enajenar.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La autorización concedida por mandato requiere, términos generales, que dicho mandato se haya otorgado para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ejecutar actos de dominio, supuesto que la prenda es un acto de la naturaleza, basta probar una autorización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tacita, cuando el dueño presta la cosa a otro con el objeto de que la empeñe, a efecto de que la prenda sea válida.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 CASOS DE NULIDAD DE LA PRENDA POR INCAPACIDAD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Casos principales de nulidad de la aprenda cuando el son constituyente de la misma no tiene la propiedad del bien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materia de la garantía, podemos mencionar los siguientes: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a) Prenda de cosa ajena;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b) Prenda constituida por el propietario aparente;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c) Prenda continuidad por el propietario cuyo título se declara nulo.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 FORMALIDADES PARA LA CONSTITUCIÓN DE LA PRENDA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La prenda se caracteriza como un contrato formal, estando sujeto para su constitución y efectos respecto de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tercero, a los siguientes requisitos: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a) El contrato de prenda debe constar por escrito. Si se otorga en documento privado, se formularan dos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ejemplares, uno para cada contratante.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No surtirá efecto la prenda contra tercero si no consta la certeza de la fecha por el registro, escritura pública o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de alguna otra manera fehaciente.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b) Si el objeto dado en prenda fuese un crédito o acciones que no sean al portador o negociables por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endoso, para que la prenda quede legalmente constituida, debe ser notificado el deudor de crédito dado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en prenda.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c) Se requiere además el registro de la prenda en los casos en que esta recaiga sobre los frutos pendientes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de bienes raíces, cuando exista entrega jurídica de la cosa en poder del deudor o de un tercero, y en caso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de que la prenda recaiga sobre un crédito que deba constar en registro público.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lastRenderedPageBreak/>
        <w:t>La inscripción en el registro público tiene por objeto que la prenda surta efectos contra de terceros, debiendo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inscribirse en el caso de que recaiga sobre frutos pendientes de bienes raíces en el registro público a que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corresponda la finca respectiva, y cuando se constituya sobre un crédito, en el registro público en donde se haya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inscrito el mismo.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2.6 DIVERSIDAD DE MODALIDADES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En caso de la prenda como en el de hipoteca, pueden mencionarse las siguientes modalidades: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a) Las que afectan a la obligación principal;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b) Las que afectan al contrato accesorio;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c) Las que afectan al derecho de propiedad del constituyente de la garantía.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2.6.1 MODALIDADES QUE AFECTAN A LA OBLIGACIÓN PRINCIPAL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A pesar del carácter accesorio de la prenda, es posible constituir esta garantía tratándose de obligaciones sujetas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a una condición suspensiva. Asimismo, puede imponerse la prenda para garantizar obligaciones sujetas a una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condición resolutoria, tanto por lo que ve a que lo accesorio corra la suerte de lo principal, como por lo que atañe 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que la prenda quedara sujeta en su exigibilidad y efectos a la realización de la obligación principal, de tal manera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que si la condición suspensiva no llega a cumplirse, tampoco tendrá vigencia la prenda vigencia la prenda, y si la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condición resolutoria se realiza, al extinguirse la obligación principal, también la prenda corre igual suerte.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2.6.2 MODALIDADES QUE AFECTAN A LA PRENDA MISMA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El contrato accesorio de prenda puede quedar afectado a una condición suspensiva o resolutoria, no obstante que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la obligación principal sea pura y simple. En dichos casos, si la condición suspensiva no se cumple, la prenda no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llega a tener existencia, y si se realiza la condición resolutoria, la prenda se extingue, subsistiendo como es natural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la obligación principal que tiene vida independiente.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2.6.3 MODALIDADES QUE AFECTAN AL DERECHO DE PROPIEDAD DEL CONSTITUYENTE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DE LA PRENDA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Esta garantía corre las mismas modalidades que afectan el dominio del constituyente. Debe distinguirse entre la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prenda constituida sobre una cosa corporal y la establecida sobre derechos reales que afecten bienes muebles, e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la primera, cuando el dominio está sujeto a condición resolutoria, hemos dicho que la prenda corre igual suerte, y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que no es posible constituir la garantía la garantía en los casos en los cuales para adquirir la propiedad deba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realizarse una condición suspensiva, o sea, en las adquisiciones con reserva de dominio.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Es aplicable también; la prenda, conforme, el propietario cuyo derecho sea condicional, o de cualquiera otra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 xml:space="preserve">manera limitado, deberá declarar en el contrato la </w:t>
      </w:r>
      <w:r w:rsidRPr="00F40702">
        <w:rPr>
          <w:rFonts w:ascii="Arial" w:hAnsi="Arial" w:cs="Arial"/>
          <w:sz w:val="24"/>
          <w:szCs w:val="24"/>
        </w:rPr>
        <w:lastRenderedPageBreak/>
        <w:t>naturaleza de su propiedad si la conoce. La omisión de esta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circunstancia induce presunción de fraude.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En el caso de que solo se tenga la nuda propiedad y se oculte este hecho, la prenda no se extenderá al usufructo.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En cuanto a los derechos</w:t>
      </w:r>
      <w:r w:rsidRPr="00F40702">
        <w:rPr>
          <w:rFonts w:ascii="Arial" w:hAnsi="Arial" w:cs="Arial"/>
          <w:sz w:val="24"/>
          <w:szCs w:val="24"/>
        </w:rPr>
        <w:tab/>
        <w:t>reales constituidos sobre bienes muebles, la muebles, estará afectada a las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modalidades que reporten esos derechos, extinguiéndose cuando los mismos concluyan.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2.7 EFECTOS DE LA PRENDA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Efectos inherentes al derecho real prendario y efectos inherentes al contrato, para determinar los derechos y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obligaciones de las partes.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Efectos inherentes al derecho real prendario. La prenda como derecho real otorga al acreedor los siguientes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derechos: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1- Derecho de venta;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2- Derecho de preferencia en el pago;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3- Derecho de retención;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4- Derecho de persecución;</w:t>
      </w:r>
      <w:bookmarkStart w:id="0" w:name="_GoBack"/>
      <w:bookmarkEnd w:id="0"/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5- Derecho de ser indemnizado por los gastos efectuados en la conservación de la cosa.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2.7.1 FORMAS DE VENTA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El acreedor prendario está facultado para solicitar la enajenación de la cosa, o para venderla extrajudicialmente,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cuando no se le paga puntualmente la obligación principal. Esta facultad constituye lógicamente el medio para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hacer valer el derecho de preferencia y obtener los resultados inherentes a la garantía misma que extraña la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prenda. A fin de que el acreedor pueda pagarse preferentemente con el valor del bien, está facultado para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proceder a su enajenación judicial o extrajudicial, según se haya convenido. En tal virtud, es nulo todo pacto por el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cual el acreedor renuncie a este derecho, o bien se obligue a no enajenar la prenda, pues vendrían a constituir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una anomalía dentro de la naturaleza, función y fines del derecho real de garantía.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No debe confundirse la apropiación de la prenda prohibida por el precepto indicado, el deudor, sin embargo, puede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convenir con el acreedor en que este se quede con la prenda en el precio que se fije al vencimiento de la deuda,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pero no al tiempo de celebrarse el contrato. Este convenio no puede perjudicar los derechos de terceros.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Para que el deudor tenga libertad en la determinación de un precio justo y por consiguiente, para que no sufra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 xml:space="preserve">lesión en sus derechos, ni el acreedor pueda </w:t>
      </w:r>
      <w:r w:rsidRPr="00F40702">
        <w:rPr>
          <w:rFonts w:ascii="Arial" w:hAnsi="Arial" w:cs="Arial"/>
          <w:sz w:val="24"/>
          <w:szCs w:val="24"/>
        </w:rPr>
        <w:lastRenderedPageBreak/>
        <w:t>aprovecharse de la situación económica de aquel, se exige en el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precepto aludido, que el precio se fije al vencimiento de la deuda, y nunca al tiempo de celebrarse el contrato,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pues de violarse esta prohibición, el pacto sería nulo.</w:t>
      </w:r>
    </w:p>
    <w:p w:rsidR="00F40702" w:rsidRPr="00F40702" w:rsidRDefault="00F40702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40702">
        <w:rPr>
          <w:rFonts w:ascii="Arial" w:hAnsi="Arial" w:cs="Arial"/>
          <w:sz w:val="24"/>
          <w:szCs w:val="24"/>
        </w:rPr>
        <w:t>El derecho de venta está consignado en la misma definición de la prenda, por consiguiente, es una facultad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 xml:space="preserve">esencial al contrato y a al </w:t>
      </w:r>
      <w:proofErr w:type="spellStart"/>
      <w:r w:rsidRPr="00F40702">
        <w:rPr>
          <w:rFonts w:ascii="Arial" w:hAnsi="Arial" w:cs="Arial"/>
          <w:sz w:val="24"/>
          <w:szCs w:val="24"/>
        </w:rPr>
        <w:t>garantia</w:t>
      </w:r>
      <w:proofErr w:type="spellEnd"/>
      <w:r w:rsidRPr="00F40702">
        <w:rPr>
          <w:rFonts w:ascii="Arial" w:hAnsi="Arial" w:cs="Arial"/>
          <w:sz w:val="24"/>
          <w:szCs w:val="24"/>
        </w:rPr>
        <w:t xml:space="preserve"> real constituida, razón por la cual que no puede renunciarse. Este derecho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puede presentarse como consecuencia el ejercicio de la acción, de la simple petición al juez para que se proceda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la venta de la cosa, o por virtud de un pacto en que se convenga la venta extrajudicial. En rigor, por lo tanto, solo</w:t>
      </w:r>
      <w:r w:rsidRPr="00F40702">
        <w:rPr>
          <w:rFonts w:ascii="Arial" w:hAnsi="Arial" w:cs="Arial"/>
          <w:sz w:val="24"/>
          <w:szCs w:val="24"/>
        </w:rPr>
        <w:t xml:space="preserve"> </w:t>
      </w:r>
      <w:r w:rsidRPr="00F40702">
        <w:rPr>
          <w:rFonts w:ascii="Arial" w:hAnsi="Arial" w:cs="Arial"/>
          <w:sz w:val="24"/>
          <w:szCs w:val="24"/>
        </w:rPr>
        <w:t>caben dos situaciones: la venta judicial y la extrajudicial.</w:t>
      </w:r>
    </w:p>
    <w:p w:rsidR="00316F3D" w:rsidRPr="00F40702" w:rsidRDefault="00316F3D" w:rsidP="00F4070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316F3D" w:rsidRPr="00F407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02"/>
    <w:rsid w:val="00316F3D"/>
    <w:rsid w:val="00F4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7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7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3176</Words>
  <Characters>17474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Saliss93</dc:creator>
  <cp:lastModifiedBy>Saliss93</cp:lastModifiedBy>
  <cp:revision>1</cp:revision>
  <dcterms:created xsi:type="dcterms:W3CDTF">2013-04-12T02:47:00Z</dcterms:created>
  <dcterms:modified xsi:type="dcterms:W3CDTF">2013-04-12T02:57:00Z</dcterms:modified>
</cp:coreProperties>
</file>