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67" w:rsidRPr="00EB5F63" w:rsidRDefault="008A6767" w:rsidP="00EB5F63">
      <w:pPr>
        <w:jc w:val="both"/>
        <w:rPr>
          <w:rFonts w:ascii="Century Gothic" w:hAnsi="Century Gothic"/>
        </w:rPr>
      </w:pPr>
      <w:r w:rsidRPr="00EB5F63">
        <w:rPr>
          <w:rFonts w:ascii="Century Gothic" w:hAnsi="Century Gothic"/>
        </w:rPr>
        <w:t xml:space="preserve">       </w:t>
      </w:r>
    </w:p>
    <w:p w:rsidR="008A6767" w:rsidRPr="00EB5F63" w:rsidRDefault="008A6767" w:rsidP="00EB5F63">
      <w:pPr>
        <w:jc w:val="center"/>
        <w:rPr>
          <w:rFonts w:ascii="Century Gothic" w:hAnsi="Century Gothic"/>
          <w:b/>
          <w:sz w:val="32"/>
          <w:szCs w:val="32"/>
        </w:rPr>
      </w:pPr>
      <w:r w:rsidRPr="00EB5F63">
        <w:rPr>
          <w:rFonts w:ascii="Century Gothic" w:hAnsi="Century Gothic"/>
          <w:b/>
          <w:sz w:val="32"/>
          <w:szCs w:val="32"/>
        </w:rPr>
        <w:t>Beneficio de separación</w:t>
      </w:r>
    </w:p>
    <w:p w:rsidR="008A6767" w:rsidRDefault="008A6767" w:rsidP="00EB5F63">
      <w:pPr>
        <w:jc w:val="both"/>
        <w:rPr>
          <w:rFonts w:ascii="Century Gothic" w:hAnsi="Century Gothic"/>
          <w:sz w:val="28"/>
          <w:szCs w:val="28"/>
        </w:rPr>
      </w:pPr>
      <w:r>
        <w:rPr>
          <w:rFonts w:ascii="Century Gothic" w:hAnsi="Century Gothic"/>
          <w:sz w:val="32"/>
          <w:szCs w:val="32"/>
        </w:rPr>
        <w:t xml:space="preserve">El beneficio de Separación de Bienes dispone </w:t>
      </w:r>
      <w:r w:rsidRPr="00EB5F63">
        <w:rPr>
          <w:rFonts w:ascii="Century Gothic" w:hAnsi="Century Gothic"/>
          <w:sz w:val="28"/>
          <w:szCs w:val="28"/>
        </w:rPr>
        <w:t>que los acreedores hereditarios y los acreedores testamentarios  podrán pedir que no se confundan los bienes del difunto con los bienes del heredero; y en virtud de este beneficio de separación tendrán derecho a que los bienes del difunto  se les cumpla las obligaciones hereditarias o testamentarias con prefer</w:t>
      </w:r>
      <w:r>
        <w:rPr>
          <w:rFonts w:ascii="Century Gothic" w:hAnsi="Century Gothic"/>
          <w:sz w:val="28"/>
          <w:szCs w:val="28"/>
        </w:rPr>
        <w:t xml:space="preserve">encia a las deudas del heredero, Esto según lo dispuesto en el Articulo 1258 de nuestro Código Civil, entonces podemos afirmar que el beneficio de separación de bienes es una </w:t>
      </w:r>
      <w:r w:rsidRPr="00163ED3">
        <w:rPr>
          <w:rFonts w:ascii="Century Gothic" w:hAnsi="Century Gothic"/>
          <w:i/>
          <w:sz w:val="28"/>
          <w:szCs w:val="28"/>
          <w:u w:val="single"/>
        </w:rPr>
        <w:t>facultad</w:t>
      </w:r>
      <w:r w:rsidRPr="00163ED3">
        <w:rPr>
          <w:rFonts w:ascii="Century Gothic" w:hAnsi="Century Gothic"/>
          <w:i/>
          <w:sz w:val="28"/>
          <w:szCs w:val="28"/>
        </w:rPr>
        <w:t xml:space="preserve"> </w:t>
      </w:r>
      <w:r w:rsidRPr="00163ED3">
        <w:rPr>
          <w:rFonts w:ascii="Century Gothic" w:hAnsi="Century Gothic"/>
          <w:sz w:val="28"/>
          <w:szCs w:val="28"/>
        </w:rPr>
        <w:t xml:space="preserve">que le confiere </w:t>
      </w:r>
      <w:smartTag w:uri="urn:schemas-microsoft-com:office:smarttags" w:element="PersonName">
        <w:smartTagPr>
          <w:attr w:name="ProductID" w:val="la Ley"/>
        </w:smartTagPr>
        <w:r w:rsidRPr="00163ED3">
          <w:rPr>
            <w:rFonts w:ascii="Century Gothic" w:hAnsi="Century Gothic"/>
            <w:sz w:val="28"/>
            <w:szCs w:val="28"/>
          </w:rPr>
          <w:t>la Ley</w:t>
        </w:r>
      </w:smartTag>
      <w:r w:rsidRPr="00163ED3">
        <w:rPr>
          <w:rFonts w:ascii="Century Gothic" w:hAnsi="Century Gothic"/>
          <w:sz w:val="28"/>
          <w:szCs w:val="28"/>
        </w:rPr>
        <w:t xml:space="preserve"> y que le compete a los acreedore</w:t>
      </w:r>
      <w:r>
        <w:rPr>
          <w:rFonts w:ascii="Century Gothic" w:hAnsi="Century Gothic"/>
          <w:sz w:val="28"/>
          <w:szCs w:val="28"/>
        </w:rPr>
        <w:t>s hereditarios y testamentarios.</w:t>
      </w:r>
    </w:p>
    <w:p w:rsidR="008A6767" w:rsidRPr="00163ED3" w:rsidRDefault="008A6767" w:rsidP="00163ED3">
      <w:pPr>
        <w:jc w:val="center"/>
        <w:rPr>
          <w:rFonts w:ascii="Century Gothic" w:hAnsi="Century Gothic"/>
          <w:b/>
          <w:sz w:val="28"/>
          <w:szCs w:val="28"/>
        </w:rPr>
      </w:pPr>
    </w:p>
    <w:p w:rsidR="008A6767" w:rsidRPr="00163ED3" w:rsidRDefault="008A6767" w:rsidP="00163ED3">
      <w:pPr>
        <w:jc w:val="center"/>
        <w:rPr>
          <w:rFonts w:ascii="Century Gothic" w:hAnsi="Century Gothic"/>
          <w:b/>
          <w:sz w:val="28"/>
          <w:szCs w:val="28"/>
        </w:rPr>
      </w:pPr>
      <w:r w:rsidRPr="00163ED3">
        <w:rPr>
          <w:rFonts w:ascii="Century Gothic" w:hAnsi="Century Gothic"/>
          <w:b/>
          <w:sz w:val="32"/>
          <w:szCs w:val="32"/>
        </w:rPr>
        <w:t>Fundamento del beneficio de separación</w:t>
      </w:r>
      <w:r w:rsidRPr="00163ED3">
        <w:rPr>
          <w:rFonts w:ascii="Century Gothic" w:hAnsi="Century Gothic"/>
          <w:b/>
          <w:sz w:val="28"/>
          <w:szCs w:val="28"/>
        </w:rPr>
        <w:t>:</w:t>
      </w:r>
    </w:p>
    <w:p w:rsidR="008A6767" w:rsidRDefault="008A6767" w:rsidP="00EB5F63">
      <w:pPr>
        <w:jc w:val="both"/>
        <w:rPr>
          <w:rFonts w:ascii="Century Gothic" w:hAnsi="Century Gothic"/>
          <w:sz w:val="28"/>
          <w:szCs w:val="28"/>
        </w:rPr>
      </w:pPr>
      <w:r w:rsidRPr="00EB5F63">
        <w:rPr>
          <w:rFonts w:ascii="Century Gothic" w:hAnsi="Century Gothic"/>
          <w:sz w:val="28"/>
          <w:szCs w:val="28"/>
        </w:rPr>
        <w:t xml:space="preserve">El </w:t>
      </w:r>
      <w:r>
        <w:rPr>
          <w:rFonts w:ascii="Century Gothic" w:hAnsi="Century Gothic"/>
          <w:sz w:val="28"/>
          <w:szCs w:val="28"/>
        </w:rPr>
        <w:t xml:space="preserve">fundamento del  Beneficio de Separación es: </w:t>
      </w:r>
    </w:p>
    <w:p w:rsidR="008A6767" w:rsidRDefault="008A6767" w:rsidP="00163ED3">
      <w:pPr>
        <w:numPr>
          <w:ilvl w:val="0"/>
          <w:numId w:val="2"/>
        </w:numPr>
        <w:jc w:val="both"/>
        <w:rPr>
          <w:rFonts w:ascii="Century Gothic" w:hAnsi="Century Gothic"/>
          <w:sz w:val="28"/>
          <w:szCs w:val="28"/>
        </w:rPr>
      </w:pPr>
      <w:r>
        <w:rPr>
          <w:rFonts w:ascii="Century Gothic" w:hAnsi="Century Gothic"/>
          <w:sz w:val="28"/>
          <w:szCs w:val="28"/>
        </w:rPr>
        <w:t>La justicia.</w:t>
      </w:r>
    </w:p>
    <w:p w:rsidR="008A6767" w:rsidRPr="00EB5F63" w:rsidRDefault="008A6767" w:rsidP="00163ED3">
      <w:pPr>
        <w:numPr>
          <w:ilvl w:val="0"/>
          <w:numId w:val="2"/>
        </w:numPr>
        <w:jc w:val="both"/>
        <w:rPr>
          <w:rFonts w:ascii="Century Gothic" w:hAnsi="Century Gothic"/>
          <w:sz w:val="28"/>
          <w:szCs w:val="28"/>
        </w:rPr>
      </w:pPr>
      <w:r>
        <w:rPr>
          <w:rFonts w:ascii="Century Gothic" w:hAnsi="Century Gothic"/>
          <w:sz w:val="28"/>
          <w:szCs w:val="28"/>
        </w:rPr>
        <w:t>L</w:t>
      </w:r>
      <w:r w:rsidRPr="00EB5F63">
        <w:rPr>
          <w:rFonts w:ascii="Century Gothic" w:hAnsi="Century Gothic"/>
          <w:sz w:val="28"/>
          <w:szCs w:val="28"/>
        </w:rPr>
        <w:t>a equidad.</w:t>
      </w:r>
    </w:p>
    <w:p w:rsidR="008A6767" w:rsidRDefault="008A6767" w:rsidP="00441AD5">
      <w:pPr>
        <w:jc w:val="both"/>
        <w:rPr>
          <w:rFonts w:ascii="Century Gothic" w:hAnsi="Century Gothic"/>
          <w:sz w:val="28"/>
          <w:szCs w:val="28"/>
        </w:rPr>
      </w:pPr>
      <w:r>
        <w:rPr>
          <w:rFonts w:ascii="Century Gothic" w:hAnsi="Century Gothic"/>
          <w:sz w:val="28"/>
          <w:szCs w:val="28"/>
        </w:rPr>
        <w:t>Podemos observarlo en el siguiente ejemplo:</w:t>
      </w:r>
      <w:r w:rsidRPr="00EB5F63">
        <w:rPr>
          <w:rFonts w:ascii="Century Gothic" w:hAnsi="Century Gothic"/>
          <w:sz w:val="28"/>
          <w:szCs w:val="28"/>
        </w:rPr>
        <w:t xml:space="preserve"> puede acontecer que la herencia dejada por el causante estuviere muy poco gravada, de modo que sus acreedores están en cómoda situación para el pago de sus deudas, y en cambio el heredero tuviere un pasivo enorme, es decir, estuviere cargado de deudas. En esta situación al juntarse los patrimonios del heredero y del causante, es decir, al confundirse los bienes hereditarios con el escaso activo del heredero, concurrirían en iguales condiciones para pagarse de sus créditos los acreedores hereditarios y los personales del heredero.</w:t>
      </w:r>
    </w:p>
    <w:p w:rsidR="008A6767" w:rsidRPr="00441AD5" w:rsidRDefault="008A6767" w:rsidP="00441AD5">
      <w:pPr>
        <w:jc w:val="both"/>
        <w:rPr>
          <w:rFonts w:ascii="Century Gothic" w:hAnsi="Century Gothic"/>
          <w:b/>
          <w:sz w:val="28"/>
          <w:szCs w:val="28"/>
        </w:rPr>
      </w:pPr>
      <w:r w:rsidRPr="00441AD5">
        <w:rPr>
          <w:rFonts w:ascii="Century Gothic" w:hAnsi="Century Gothic"/>
          <w:b/>
          <w:sz w:val="32"/>
          <w:szCs w:val="32"/>
        </w:rPr>
        <w:t>¿Quienes pueden solicitar el beneficio de separación?</w:t>
      </w:r>
    </w:p>
    <w:p w:rsidR="008A6767" w:rsidRPr="00EB5F63" w:rsidRDefault="008A6767" w:rsidP="00EB5F63">
      <w:pPr>
        <w:jc w:val="both"/>
        <w:rPr>
          <w:rFonts w:ascii="Century Gothic" w:hAnsi="Century Gothic"/>
          <w:sz w:val="32"/>
          <w:szCs w:val="32"/>
        </w:rPr>
      </w:pPr>
      <w:r>
        <w:rPr>
          <w:rFonts w:ascii="Century Gothic" w:hAnsi="Century Gothic"/>
          <w:sz w:val="32"/>
          <w:szCs w:val="32"/>
        </w:rPr>
        <w:t>1. L</w:t>
      </w:r>
      <w:r w:rsidRPr="00EB5F63">
        <w:rPr>
          <w:rFonts w:ascii="Century Gothic" w:hAnsi="Century Gothic"/>
          <w:sz w:val="32"/>
          <w:szCs w:val="32"/>
        </w:rPr>
        <w:t>os acreedores hereditarios</w:t>
      </w:r>
      <w:r>
        <w:rPr>
          <w:rFonts w:ascii="Century Gothic" w:hAnsi="Century Gothic"/>
          <w:sz w:val="32"/>
          <w:szCs w:val="32"/>
        </w:rPr>
        <w:t>.</w:t>
      </w:r>
    </w:p>
    <w:p w:rsidR="008A6767" w:rsidRPr="00EB5F63" w:rsidRDefault="008A6767" w:rsidP="00EB5F63">
      <w:pPr>
        <w:jc w:val="both"/>
        <w:rPr>
          <w:rFonts w:ascii="Century Gothic" w:hAnsi="Century Gothic"/>
          <w:sz w:val="32"/>
          <w:szCs w:val="32"/>
        </w:rPr>
      </w:pPr>
      <w:r w:rsidRPr="00EB5F63">
        <w:rPr>
          <w:rFonts w:ascii="Century Gothic" w:hAnsi="Century Gothic"/>
          <w:sz w:val="32"/>
          <w:szCs w:val="32"/>
        </w:rPr>
        <w:t>2</w:t>
      </w:r>
      <w:r>
        <w:rPr>
          <w:rFonts w:ascii="Century Gothic" w:hAnsi="Century Gothic"/>
          <w:sz w:val="32"/>
          <w:szCs w:val="32"/>
        </w:rPr>
        <w:t>. L</w:t>
      </w:r>
      <w:r w:rsidRPr="00EB5F63">
        <w:rPr>
          <w:rFonts w:ascii="Century Gothic" w:hAnsi="Century Gothic"/>
          <w:sz w:val="32"/>
          <w:szCs w:val="32"/>
        </w:rPr>
        <w:t>os acreedores testamentarios</w:t>
      </w:r>
    </w:p>
    <w:p w:rsidR="008A6767" w:rsidRDefault="008A6767" w:rsidP="00EB5F63">
      <w:pPr>
        <w:jc w:val="both"/>
        <w:rPr>
          <w:rFonts w:ascii="Century Gothic" w:hAnsi="Century Gothic"/>
          <w:sz w:val="28"/>
          <w:szCs w:val="28"/>
        </w:rPr>
      </w:pPr>
      <w:r>
        <w:rPr>
          <w:rFonts w:ascii="Century Gothic" w:hAnsi="Century Gothic"/>
          <w:sz w:val="28"/>
          <w:szCs w:val="28"/>
        </w:rPr>
        <w:t>En conformidad al ART 1259</w:t>
      </w:r>
      <w:r w:rsidRPr="00EB5F63">
        <w:rPr>
          <w:rFonts w:ascii="Century Gothic" w:hAnsi="Century Gothic"/>
          <w:sz w:val="28"/>
          <w:szCs w:val="28"/>
        </w:rPr>
        <w:t>, no solo puede invocarlo el acreedo</w:t>
      </w:r>
      <w:r>
        <w:rPr>
          <w:rFonts w:ascii="Century Gothic" w:hAnsi="Century Gothic"/>
          <w:sz w:val="28"/>
          <w:szCs w:val="28"/>
        </w:rPr>
        <w:t>r puro y simple si no a</w:t>
      </w:r>
      <w:r w:rsidRPr="00EB5F63">
        <w:rPr>
          <w:rFonts w:ascii="Century Gothic" w:hAnsi="Century Gothic"/>
          <w:sz w:val="28"/>
          <w:szCs w:val="28"/>
        </w:rPr>
        <w:t>que</w:t>
      </w:r>
      <w:r>
        <w:rPr>
          <w:rFonts w:ascii="Century Gothic" w:hAnsi="Century Gothic"/>
          <w:sz w:val="28"/>
          <w:szCs w:val="28"/>
        </w:rPr>
        <w:t>l</w:t>
      </w:r>
      <w:r w:rsidRPr="00EB5F63">
        <w:rPr>
          <w:rFonts w:ascii="Century Gothic" w:hAnsi="Century Gothic"/>
          <w:sz w:val="28"/>
          <w:szCs w:val="28"/>
        </w:rPr>
        <w:t xml:space="preserve"> cuyo derecho está sujeto a  plazo o condición.</w:t>
      </w:r>
    </w:p>
    <w:p w:rsidR="008A6767" w:rsidRDefault="008A6767" w:rsidP="00EB5F63">
      <w:pPr>
        <w:jc w:val="both"/>
        <w:rPr>
          <w:rFonts w:ascii="Century Gothic" w:hAnsi="Century Gothic"/>
          <w:sz w:val="28"/>
          <w:szCs w:val="28"/>
        </w:rPr>
      </w:pPr>
      <w:r w:rsidRPr="00EB5F63">
        <w:rPr>
          <w:rFonts w:ascii="Century Gothic" w:hAnsi="Century Gothic"/>
          <w:sz w:val="28"/>
          <w:szCs w:val="28"/>
        </w:rPr>
        <w:t xml:space="preserve"> Dice</w:t>
      </w:r>
      <w:r>
        <w:rPr>
          <w:rFonts w:ascii="Century Gothic" w:hAnsi="Century Gothic"/>
          <w:sz w:val="28"/>
          <w:szCs w:val="28"/>
        </w:rPr>
        <w:t xml:space="preserve"> el precepto: </w:t>
      </w:r>
    </w:p>
    <w:p w:rsidR="008A6767" w:rsidRPr="0098615B" w:rsidRDefault="008A6767" w:rsidP="00EB5F63">
      <w:pPr>
        <w:jc w:val="both"/>
        <w:rPr>
          <w:rFonts w:ascii="Century Gothic" w:hAnsi="Century Gothic"/>
          <w:i/>
          <w:sz w:val="28"/>
          <w:szCs w:val="28"/>
        </w:rPr>
      </w:pPr>
      <w:r w:rsidRPr="0098615B">
        <w:rPr>
          <w:rFonts w:ascii="Century Gothic" w:hAnsi="Century Gothic"/>
          <w:i/>
          <w:sz w:val="28"/>
          <w:szCs w:val="28"/>
        </w:rPr>
        <w:t>“Para que pueda impetrarse el beneficio de separación no es necesario que lo que deba sea inmediatamente exigible; basta que se deba a día cierto o bajo condició</w:t>
      </w:r>
      <w:r>
        <w:rPr>
          <w:rFonts w:ascii="Century Gothic" w:hAnsi="Century Gothic"/>
          <w:i/>
          <w:sz w:val="28"/>
          <w:szCs w:val="28"/>
        </w:rPr>
        <w:t>n”.</w:t>
      </w:r>
    </w:p>
    <w:p w:rsidR="008A6767" w:rsidRPr="00EB5F63" w:rsidRDefault="008A6767" w:rsidP="00EB5F63">
      <w:pPr>
        <w:jc w:val="both"/>
        <w:rPr>
          <w:rFonts w:ascii="Century Gothic" w:hAnsi="Century Gothic"/>
          <w:sz w:val="28"/>
          <w:szCs w:val="28"/>
        </w:rPr>
      </w:pPr>
      <w:r>
        <w:rPr>
          <w:rFonts w:ascii="Century Gothic" w:hAnsi="Century Gothic"/>
          <w:sz w:val="28"/>
          <w:szCs w:val="28"/>
        </w:rPr>
        <w:t>Y se explica que a</w:t>
      </w:r>
      <w:r w:rsidRPr="00EB5F63">
        <w:rPr>
          <w:rFonts w:ascii="Century Gothic" w:hAnsi="Century Gothic"/>
          <w:sz w:val="28"/>
          <w:szCs w:val="28"/>
        </w:rPr>
        <w:t>un el acreedor condicional puede invocar este beneficio, porque, en el fondo, este no es sino una medida conservativa que tiene los acreedores para defender su derecho y el acreedor condicional esta expresamente facultado para solicitar tales medidas.</w:t>
      </w:r>
    </w:p>
    <w:p w:rsidR="008A6767" w:rsidRPr="00EB5F63" w:rsidRDefault="008A6767" w:rsidP="00EB5F63">
      <w:pPr>
        <w:jc w:val="both"/>
        <w:rPr>
          <w:rFonts w:ascii="Century Gothic" w:hAnsi="Century Gothic"/>
          <w:sz w:val="28"/>
          <w:szCs w:val="28"/>
        </w:rPr>
      </w:pPr>
      <w:r w:rsidRPr="00EB5F63">
        <w:rPr>
          <w:rFonts w:ascii="Century Gothic" w:hAnsi="Century Gothic"/>
          <w:sz w:val="28"/>
          <w:szCs w:val="28"/>
        </w:rPr>
        <w:t>Como medida conservativa que es, el beneficio de separación debe ser catalogado entre los derechos auxiliares para obtener el cumplimiento de las obligaciones de sus deudores.</w:t>
      </w:r>
    </w:p>
    <w:p w:rsidR="008A6767" w:rsidRPr="0098615B" w:rsidRDefault="008A6767" w:rsidP="0098615B">
      <w:pPr>
        <w:jc w:val="center"/>
        <w:rPr>
          <w:rFonts w:ascii="Century Gothic" w:hAnsi="Century Gothic"/>
          <w:b/>
          <w:sz w:val="32"/>
          <w:szCs w:val="32"/>
        </w:rPr>
      </w:pPr>
      <w:r w:rsidRPr="0098615B">
        <w:rPr>
          <w:rFonts w:ascii="Century Gothic" w:hAnsi="Century Gothic"/>
          <w:b/>
          <w:sz w:val="32"/>
          <w:szCs w:val="32"/>
        </w:rPr>
        <w:t>Los acreedores del heredero no gozan del beneficio de separación:</w:t>
      </w:r>
    </w:p>
    <w:p w:rsidR="008A6767" w:rsidRDefault="008A6767" w:rsidP="00EB5F63">
      <w:pPr>
        <w:jc w:val="both"/>
        <w:rPr>
          <w:rFonts w:ascii="Century Gothic" w:hAnsi="Century Gothic"/>
          <w:sz w:val="28"/>
          <w:szCs w:val="28"/>
        </w:rPr>
      </w:pPr>
      <w:r>
        <w:rPr>
          <w:rFonts w:ascii="Century Gothic" w:hAnsi="Century Gothic"/>
          <w:sz w:val="28"/>
          <w:szCs w:val="28"/>
        </w:rPr>
        <w:t xml:space="preserve">EL ART </w:t>
      </w:r>
      <w:smartTag w:uri="urn:schemas-microsoft-com:office:smarttags" w:element="metricconverter">
        <w:smartTagPr>
          <w:attr w:name="ProductID" w:val="1261, a"/>
        </w:smartTagPr>
        <w:r>
          <w:rPr>
            <w:rFonts w:ascii="Century Gothic" w:hAnsi="Century Gothic"/>
            <w:sz w:val="28"/>
            <w:szCs w:val="28"/>
          </w:rPr>
          <w:t>1261, a</w:t>
        </w:r>
      </w:smartTag>
      <w:r>
        <w:rPr>
          <w:rFonts w:ascii="Century Gothic" w:hAnsi="Century Gothic"/>
          <w:sz w:val="28"/>
          <w:szCs w:val="28"/>
        </w:rPr>
        <w:t xml:space="preserve"> causa de</w:t>
      </w:r>
      <w:r w:rsidRPr="00EB5F63">
        <w:rPr>
          <w:rFonts w:ascii="Century Gothic" w:hAnsi="Century Gothic"/>
          <w:sz w:val="28"/>
          <w:szCs w:val="28"/>
        </w:rPr>
        <w:t xml:space="preserve"> las deudas que hubieran podido presentarse dispone expresamente que</w:t>
      </w:r>
      <w:r>
        <w:rPr>
          <w:rFonts w:ascii="Century Gothic" w:hAnsi="Century Gothic"/>
          <w:sz w:val="28"/>
          <w:szCs w:val="28"/>
        </w:rPr>
        <w:t>:</w:t>
      </w:r>
    </w:p>
    <w:p w:rsidR="008A6767" w:rsidRDefault="008A6767" w:rsidP="00EB5F63">
      <w:pPr>
        <w:jc w:val="both"/>
        <w:rPr>
          <w:rFonts w:ascii="Century Gothic" w:hAnsi="Century Gothic"/>
          <w:sz w:val="28"/>
          <w:szCs w:val="28"/>
        </w:rPr>
      </w:pPr>
      <w:r w:rsidRPr="00EB5F63">
        <w:rPr>
          <w:rFonts w:ascii="Century Gothic" w:hAnsi="Century Gothic"/>
          <w:sz w:val="28"/>
          <w:szCs w:val="28"/>
        </w:rPr>
        <w:t xml:space="preserve"> </w:t>
      </w:r>
      <w:r>
        <w:rPr>
          <w:rFonts w:ascii="Century Gothic" w:hAnsi="Century Gothic"/>
          <w:sz w:val="28"/>
          <w:szCs w:val="28"/>
        </w:rPr>
        <w:t>“</w:t>
      </w:r>
      <w:r w:rsidRPr="0098615B">
        <w:rPr>
          <w:rFonts w:ascii="Century Gothic" w:hAnsi="Century Gothic"/>
          <w:i/>
          <w:sz w:val="28"/>
          <w:szCs w:val="28"/>
        </w:rPr>
        <w:t>Los acreedores herederos no tendrán derecho a pedir a beneficio de su crédito la separación de bienes de lo que habla los Art. precedentes”</w:t>
      </w:r>
      <w:r w:rsidRPr="00EB5F63">
        <w:rPr>
          <w:rFonts w:ascii="Century Gothic" w:hAnsi="Century Gothic"/>
          <w:sz w:val="28"/>
          <w:szCs w:val="28"/>
        </w:rPr>
        <w:t xml:space="preserve"> </w:t>
      </w:r>
    </w:p>
    <w:p w:rsidR="008A6767" w:rsidRPr="00EB5F63" w:rsidRDefault="008A6767" w:rsidP="00EB5F63">
      <w:pPr>
        <w:jc w:val="both"/>
        <w:rPr>
          <w:rFonts w:ascii="Century Gothic" w:hAnsi="Century Gothic"/>
          <w:sz w:val="28"/>
          <w:szCs w:val="28"/>
        </w:rPr>
      </w:pPr>
      <w:r>
        <w:rPr>
          <w:rFonts w:ascii="Century Gothic" w:hAnsi="Century Gothic"/>
          <w:sz w:val="28"/>
          <w:szCs w:val="28"/>
        </w:rPr>
        <w:t>D</w:t>
      </w:r>
      <w:r w:rsidRPr="00EB5F63">
        <w:rPr>
          <w:rFonts w:ascii="Century Gothic" w:hAnsi="Century Gothic"/>
          <w:sz w:val="28"/>
          <w:szCs w:val="28"/>
        </w:rPr>
        <w:t>e modo que el benefi</w:t>
      </w:r>
      <w:r>
        <w:rPr>
          <w:rFonts w:ascii="Century Gothic" w:hAnsi="Century Gothic"/>
          <w:sz w:val="28"/>
          <w:szCs w:val="28"/>
        </w:rPr>
        <w:t>cio de separación compete a</w:t>
      </w:r>
      <w:r w:rsidRPr="00EB5F63">
        <w:rPr>
          <w:rFonts w:ascii="Century Gothic" w:hAnsi="Century Gothic"/>
          <w:sz w:val="28"/>
          <w:szCs w:val="28"/>
        </w:rPr>
        <w:t xml:space="preserve"> los acreedores hereditarios y testamentarios, e incluso aquellos cuyos derechos están sujetos a modalidad, pero </w:t>
      </w:r>
      <w:r w:rsidRPr="0098615B">
        <w:rPr>
          <w:rFonts w:ascii="Century Gothic" w:hAnsi="Century Gothic"/>
          <w:b/>
          <w:sz w:val="28"/>
          <w:szCs w:val="28"/>
        </w:rPr>
        <w:t>no</w:t>
      </w:r>
      <w:r w:rsidRPr="00EB5F63">
        <w:rPr>
          <w:rFonts w:ascii="Century Gothic" w:hAnsi="Century Gothic"/>
          <w:sz w:val="28"/>
          <w:szCs w:val="28"/>
        </w:rPr>
        <w:t xml:space="preserve"> a los acreedores personales del heredero.</w:t>
      </w:r>
    </w:p>
    <w:p w:rsidR="008A6767" w:rsidRPr="00EB5F63" w:rsidRDefault="008A6767" w:rsidP="00FB602F">
      <w:pPr>
        <w:rPr>
          <w:rFonts w:ascii="Century Gothic" w:hAnsi="Century Gothic"/>
          <w:sz w:val="28"/>
          <w:szCs w:val="28"/>
        </w:rPr>
      </w:pPr>
    </w:p>
    <w:p w:rsidR="008A6767" w:rsidRPr="0098615B" w:rsidRDefault="008A6767" w:rsidP="0098615B">
      <w:pPr>
        <w:jc w:val="center"/>
        <w:rPr>
          <w:rFonts w:ascii="Century Gothic" w:hAnsi="Century Gothic"/>
          <w:b/>
          <w:sz w:val="32"/>
          <w:szCs w:val="32"/>
        </w:rPr>
      </w:pPr>
      <w:r w:rsidRPr="0098615B">
        <w:rPr>
          <w:rFonts w:ascii="Century Gothic" w:hAnsi="Century Gothic"/>
          <w:b/>
          <w:sz w:val="32"/>
          <w:szCs w:val="32"/>
        </w:rPr>
        <w:t>C</w:t>
      </w:r>
      <w:r>
        <w:rPr>
          <w:rFonts w:ascii="Century Gothic" w:hAnsi="Century Gothic"/>
          <w:b/>
          <w:sz w:val="32"/>
          <w:szCs w:val="32"/>
        </w:rPr>
        <w:t>asos</w:t>
      </w:r>
      <w:r w:rsidRPr="0098615B">
        <w:rPr>
          <w:rFonts w:ascii="Century Gothic" w:hAnsi="Century Gothic"/>
          <w:b/>
          <w:sz w:val="32"/>
          <w:szCs w:val="32"/>
        </w:rPr>
        <w:t xml:space="preserve"> los acreedores hereditarios y testamentarios no pueden solicitar el beneficio de separación.</w:t>
      </w:r>
    </w:p>
    <w:p w:rsidR="008A6767" w:rsidRPr="00EB5F63" w:rsidRDefault="008A6767" w:rsidP="00FB602F">
      <w:pPr>
        <w:rPr>
          <w:rFonts w:ascii="Century Gothic" w:hAnsi="Century Gothic"/>
          <w:sz w:val="28"/>
          <w:szCs w:val="28"/>
        </w:rPr>
      </w:pPr>
    </w:p>
    <w:p w:rsidR="008A6767" w:rsidRPr="002D7ADD" w:rsidRDefault="008A6767" w:rsidP="002D7ADD">
      <w:pPr>
        <w:jc w:val="center"/>
        <w:rPr>
          <w:rFonts w:ascii="Century Gothic" w:hAnsi="Century Gothic"/>
          <w:i/>
          <w:sz w:val="28"/>
          <w:szCs w:val="28"/>
        </w:rPr>
      </w:pPr>
      <w:r w:rsidRPr="002D7ADD">
        <w:rPr>
          <w:rFonts w:ascii="Century Gothic" w:hAnsi="Century Gothic"/>
          <w:i/>
          <w:sz w:val="28"/>
          <w:szCs w:val="28"/>
        </w:rPr>
        <w:t>“No siempre los acreedores  hereditarios y testamentarios podrán invocar el beneficio de separación”</w:t>
      </w:r>
    </w:p>
    <w:p w:rsidR="008A6767" w:rsidRDefault="008A6767" w:rsidP="002D7ADD">
      <w:pPr>
        <w:jc w:val="both"/>
        <w:rPr>
          <w:rFonts w:ascii="Century Gothic" w:hAnsi="Century Gothic"/>
          <w:sz w:val="28"/>
          <w:szCs w:val="28"/>
        </w:rPr>
      </w:pPr>
      <w:r>
        <w:rPr>
          <w:rFonts w:ascii="Century Gothic" w:hAnsi="Century Gothic"/>
          <w:sz w:val="28"/>
          <w:szCs w:val="28"/>
        </w:rPr>
        <w:t>Podemos fundamentar esta situación según el  Art. 1260 CC en los siguientes casos:</w:t>
      </w:r>
    </w:p>
    <w:p w:rsidR="008A6767" w:rsidRDefault="008A6767" w:rsidP="002D7ADD">
      <w:pPr>
        <w:numPr>
          <w:ilvl w:val="0"/>
          <w:numId w:val="3"/>
        </w:numPr>
        <w:jc w:val="both"/>
        <w:rPr>
          <w:rFonts w:ascii="Century Gothic" w:hAnsi="Century Gothic"/>
          <w:sz w:val="28"/>
          <w:szCs w:val="28"/>
        </w:rPr>
      </w:pPr>
      <w:r>
        <w:rPr>
          <w:rFonts w:ascii="Century Gothic" w:hAnsi="Century Gothic"/>
          <w:sz w:val="28"/>
          <w:szCs w:val="28"/>
        </w:rPr>
        <w:t>Cuando sus derechos no han prescrito.</w:t>
      </w:r>
    </w:p>
    <w:p w:rsidR="008A6767" w:rsidRDefault="008A6767" w:rsidP="002D7ADD">
      <w:pPr>
        <w:numPr>
          <w:ilvl w:val="0"/>
          <w:numId w:val="3"/>
        </w:numPr>
        <w:jc w:val="both"/>
        <w:rPr>
          <w:rFonts w:ascii="Century Gothic" w:hAnsi="Century Gothic"/>
          <w:sz w:val="28"/>
          <w:szCs w:val="28"/>
        </w:rPr>
      </w:pPr>
      <w:r>
        <w:rPr>
          <w:rFonts w:ascii="Century Gothic" w:hAnsi="Century Gothic"/>
          <w:sz w:val="28"/>
          <w:szCs w:val="28"/>
        </w:rPr>
        <w:t>Cuando hayan renunciado a el.</w:t>
      </w:r>
    </w:p>
    <w:p w:rsidR="008A6767" w:rsidRDefault="008A6767" w:rsidP="002D7ADD">
      <w:pPr>
        <w:numPr>
          <w:ilvl w:val="0"/>
          <w:numId w:val="3"/>
        </w:numPr>
        <w:jc w:val="both"/>
        <w:rPr>
          <w:rFonts w:ascii="Century Gothic" w:hAnsi="Century Gothic"/>
          <w:sz w:val="28"/>
          <w:szCs w:val="28"/>
        </w:rPr>
      </w:pPr>
      <w:r>
        <w:rPr>
          <w:rFonts w:ascii="Century Gothic" w:hAnsi="Century Gothic"/>
          <w:sz w:val="28"/>
          <w:szCs w:val="28"/>
        </w:rPr>
        <w:t>Cuando los bienes de la sucesión han salido ya de manos del heredero.</w:t>
      </w:r>
    </w:p>
    <w:p w:rsidR="008A6767" w:rsidRDefault="008A6767" w:rsidP="002D7ADD">
      <w:pPr>
        <w:numPr>
          <w:ilvl w:val="0"/>
          <w:numId w:val="3"/>
        </w:numPr>
        <w:jc w:val="both"/>
        <w:rPr>
          <w:rFonts w:ascii="Century Gothic" w:hAnsi="Century Gothic"/>
          <w:sz w:val="28"/>
          <w:szCs w:val="28"/>
        </w:rPr>
      </w:pPr>
      <w:r>
        <w:rPr>
          <w:rFonts w:ascii="Century Gothic" w:hAnsi="Century Gothic"/>
          <w:sz w:val="28"/>
          <w:szCs w:val="28"/>
        </w:rPr>
        <w:t>Cuando los bienes de la sucesión se han confundido con los de los  herederos.</w:t>
      </w:r>
    </w:p>
    <w:p w:rsidR="008A6767" w:rsidRPr="002D7ADD" w:rsidRDefault="008A6767" w:rsidP="002D7ADD">
      <w:pPr>
        <w:ind w:left="360"/>
        <w:rPr>
          <w:rFonts w:ascii="Century Gothic" w:hAnsi="Century Gothic"/>
          <w:i/>
          <w:sz w:val="28"/>
          <w:szCs w:val="28"/>
        </w:rPr>
      </w:pPr>
      <w:r w:rsidRPr="002D7ADD">
        <w:rPr>
          <w:rFonts w:ascii="Century Gothic" w:hAnsi="Century Gothic"/>
          <w:i/>
          <w:sz w:val="28"/>
          <w:szCs w:val="28"/>
        </w:rPr>
        <w:t>Expliquemos cada caso:</w:t>
      </w:r>
    </w:p>
    <w:p w:rsidR="008A6767" w:rsidRDefault="008A6767" w:rsidP="002D7ADD">
      <w:pPr>
        <w:numPr>
          <w:ilvl w:val="0"/>
          <w:numId w:val="4"/>
        </w:numPr>
        <w:jc w:val="both"/>
        <w:rPr>
          <w:rFonts w:ascii="Century Gothic" w:hAnsi="Century Gothic"/>
          <w:sz w:val="28"/>
          <w:szCs w:val="28"/>
        </w:rPr>
      </w:pPr>
      <w:r>
        <w:rPr>
          <w:rFonts w:ascii="Century Gothic" w:hAnsi="Century Gothic"/>
          <w:sz w:val="28"/>
          <w:szCs w:val="28"/>
        </w:rPr>
        <w:t>Mientras su crédito no haya prescrito puede optar al beneficio de separación una vez  prescribe el derecho se extingue.</w:t>
      </w:r>
    </w:p>
    <w:p w:rsidR="008A6767" w:rsidRPr="002D7ADD" w:rsidRDefault="008A6767" w:rsidP="002D7ADD">
      <w:pPr>
        <w:numPr>
          <w:ilvl w:val="0"/>
          <w:numId w:val="4"/>
        </w:numPr>
        <w:jc w:val="both"/>
        <w:rPr>
          <w:rFonts w:ascii="Century Gothic" w:hAnsi="Century Gothic"/>
          <w:i/>
          <w:sz w:val="28"/>
          <w:szCs w:val="28"/>
        </w:rPr>
      </w:pPr>
      <w:r>
        <w:rPr>
          <w:rFonts w:ascii="Century Gothic" w:hAnsi="Century Gothic"/>
          <w:sz w:val="28"/>
          <w:szCs w:val="28"/>
        </w:rPr>
        <w:t xml:space="preserve">Este beneficio es perfectamente renunciable, pues mira el interés del acreedor hereditario o Testamentario, y dicha renuncia puede ser expresa o tacita, la </w:t>
      </w:r>
      <w:r w:rsidRPr="002D7ADD">
        <w:rPr>
          <w:rFonts w:ascii="Century Gothic" w:hAnsi="Century Gothic"/>
          <w:i/>
          <w:sz w:val="28"/>
          <w:szCs w:val="28"/>
        </w:rPr>
        <w:t>expresa</w:t>
      </w:r>
      <w:r>
        <w:rPr>
          <w:rFonts w:ascii="Century Gothic" w:hAnsi="Century Gothic"/>
          <w:sz w:val="28"/>
          <w:szCs w:val="28"/>
        </w:rPr>
        <w:t xml:space="preserve"> es cuando se formula en términos explícitos, </w:t>
      </w:r>
      <w:r w:rsidRPr="002D7ADD">
        <w:rPr>
          <w:rFonts w:ascii="Century Gothic" w:hAnsi="Century Gothic"/>
          <w:i/>
          <w:sz w:val="28"/>
          <w:szCs w:val="28"/>
        </w:rPr>
        <w:t>tacita</w:t>
      </w:r>
      <w:r>
        <w:rPr>
          <w:rFonts w:ascii="Century Gothic" w:hAnsi="Century Gothic"/>
          <w:sz w:val="28"/>
          <w:szCs w:val="28"/>
        </w:rPr>
        <w:t xml:space="preserve"> en el caso del nº 1 del Art. 1260 que expresamente dice: “</w:t>
      </w:r>
      <w:r w:rsidRPr="002D7ADD">
        <w:rPr>
          <w:rFonts w:ascii="Century Gothic" w:hAnsi="Century Gothic"/>
          <w:i/>
          <w:sz w:val="28"/>
          <w:szCs w:val="28"/>
        </w:rPr>
        <w:t>Cuando el acreedor ha reconocido al heredero como deudor aceptando un pagare,  prenda, hipoteca o fianza del dicho heredero, o un pago parcial de la deuda”</w:t>
      </w:r>
      <w:r>
        <w:rPr>
          <w:rFonts w:ascii="Century Gothic" w:hAnsi="Century Gothic"/>
          <w:i/>
          <w:sz w:val="28"/>
          <w:szCs w:val="28"/>
        </w:rPr>
        <w:t xml:space="preserve">, </w:t>
      </w:r>
      <w:r>
        <w:rPr>
          <w:rFonts w:ascii="Century Gothic" w:hAnsi="Century Gothic"/>
          <w:sz w:val="28"/>
          <w:szCs w:val="28"/>
        </w:rPr>
        <w:t>una vez renunciando a este derecho no puede ser invocado otra vez.</w:t>
      </w:r>
    </w:p>
    <w:p w:rsidR="008A6767" w:rsidRPr="00876C82" w:rsidRDefault="008A6767" w:rsidP="002D7ADD">
      <w:pPr>
        <w:numPr>
          <w:ilvl w:val="0"/>
          <w:numId w:val="4"/>
        </w:numPr>
        <w:jc w:val="both"/>
        <w:rPr>
          <w:rFonts w:ascii="Century Gothic" w:hAnsi="Century Gothic"/>
          <w:i/>
          <w:sz w:val="28"/>
          <w:szCs w:val="28"/>
        </w:rPr>
      </w:pPr>
      <w:r>
        <w:rPr>
          <w:rFonts w:ascii="Century Gothic" w:hAnsi="Century Gothic"/>
          <w:sz w:val="28"/>
          <w:szCs w:val="28"/>
        </w:rPr>
        <w:t>Si los bienes hereditarios han salido de las manos del heredero, no tiene objeto solicitar este beneficio.</w:t>
      </w:r>
    </w:p>
    <w:p w:rsidR="008A6767" w:rsidRPr="00876C82" w:rsidRDefault="008A6767" w:rsidP="002D7ADD">
      <w:pPr>
        <w:numPr>
          <w:ilvl w:val="0"/>
          <w:numId w:val="4"/>
        </w:numPr>
        <w:jc w:val="both"/>
        <w:rPr>
          <w:rFonts w:ascii="Century Gothic" w:hAnsi="Century Gothic"/>
          <w:i/>
          <w:sz w:val="28"/>
          <w:szCs w:val="28"/>
        </w:rPr>
      </w:pPr>
      <w:r>
        <w:rPr>
          <w:rFonts w:ascii="Century Gothic" w:hAnsi="Century Gothic"/>
          <w:sz w:val="28"/>
          <w:szCs w:val="28"/>
        </w:rPr>
        <w:t>Si no es posible identificar los bienes de la sucesión seria materialmente muy difícil que pudiera operar el beneficio de separación.</w:t>
      </w:r>
    </w:p>
    <w:p w:rsidR="008A6767" w:rsidRPr="002D7ADD" w:rsidRDefault="008A6767" w:rsidP="00876C82">
      <w:pPr>
        <w:ind w:left="360"/>
        <w:jc w:val="both"/>
        <w:rPr>
          <w:rFonts w:ascii="Century Gothic" w:hAnsi="Century Gothic"/>
          <w:i/>
          <w:sz w:val="28"/>
          <w:szCs w:val="28"/>
        </w:rPr>
      </w:pPr>
      <w:r>
        <w:rPr>
          <w:rFonts w:ascii="Century Gothic" w:hAnsi="Century Gothic"/>
          <w:sz w:val="28"/>
          <w:szCs w:val="28"/>
        </w:rPr>
        <w:t xml:space="preserve">   </w:t>
      </w:r>
    </w:p>
    <w:p w:rsidR="008A6767" w:rsidRPr="009351C3" w:rsidRDefault="008A6767" w:rsidP="009351C3">
      <w:pPr>
        <w:jc w:val="center"/>
        <w:rPr>
          <w:rFonts w:ascii="Century Gothic" w:hAnsi="Century Gothic"/>
          <w:b/>
          <w:sz w:val="32"/>
          <w:szCs w:val="32"/>
        </w:rPr>
      </w:pPr>
      <w:r w:rsidRPr="009351C3">
        <w:rPr>
          <w:rFonts w:ascii="Century Gothic" w:hAnsi="Century Gothic"/>
          <w:b/>
          <w:sz w:val="32"/>
          <w:szCs w:val="32"/>
        </w:rPr>
        <w:t>El Beneficio de separación obtenido por uno de los acreedores hereditarios o testamentarios favorece a todos los demás. Excepción.</w:t>
      </w:r>
    </w:p>
    <w:p w:rsidR="008A6767" w:rsidRPr="009351C3" w:rsidRDefault="008A6767" w:rsidP="009351C3">
      <w:pPr>
        <w:jc w:val="center"/>
        <w:rPr>
          <w:rFonts w:ascii="Century Gothic" w:hAnsi="Century Gothic"/>
          <w:sz w:val="28"/>
          <w:szCs w:val="28"/>
        </w:rPr>
      </w:pPr>
      <w:r>
        <w:rPr>
          <w:rFonts w:ascii="Century Gothic" w:hAnsi="Century Gothic"/>
          <w:sz w:val="32"/>
          <w:szCs w:val="32"/>
        </w:rPr>
        <w:t xml:space="preserve"> </w:t>
      </w:r>
    </w:p>
    <w:p w:rsidR="008A6767" w:rsidRDefault="008A6767" w:rsidP="009351C3">
      <w:pPr>
        <w:jc w:val="both"/>
        <w:rPr>
          <w:rFonts w:ascii="Century Gothic" w:hAnsi="Century Gothic"/>
          <w:sz w:val="28"/>
          <w:szCs w:val="28"/>
        </w:rPr>
      </w:pPr>
      <w:r w:rsidRPr="00102F85">
        <w:rPr>
          <w:rFonts w:ascii="Century Gothic" w:hAnsi="Century Gothic"/>
          <w:sz w:val="28"/>
          <w:szCs w:val="28"/>
        </w:rPr>
        <w:t>El Art. 1262 Inc. 1ª dispone que: “</w:t>
      </w:r>
      <w:r w:rsidRPr="00102F85">
        <w:rPr>
          <w:rFonts w:ascii="Century Gothic" w:hAnsi="Century Gothic"/>
          <w:i/>
          <w:sz w:val="28"/>
          <w:szCs w:val="28"/>
        </w:rPr>
        <w:t>Obtenida la separación de patrimonios por uno de los acreedores de la sucesión aprovechara a los demás acreedores de la misma manera que la invoquen y cuyos créditos no hayan prescrito que no se hallen en el caso del Art. 1260 nº1”</w:t>
      </w:r>
      <w:r w:rsidRPr="00102F85">
        <w:rPr>
          <w:rFonts w:ascii="Century Gothic" w:hAnsi="Century Gothic"/>
          <w:sz w:val="28"/>
          <w:szCs w:val="28"/>
        </w:rPr>
        <w:t xml:space="preserve">  de modo que el beneficio de separación solicitado</w:t>
      </w:r>
      <w:r w:rsidRPr="00102F85">
        <w:rPr>
          <w:rFonts w:ascii="Century Gothic" w:hAnsi="Century Gothic"/>
          <w:i/>
          <w:sz w:val="28"/>
          <w:szCs w:val="28"/>
        </w:rPr>
        <w:t xml:space="preserve">  </w:t>
      </w:r>
      <w:r w:rsidRPr="00102F85">
        <w:rPr>
          <w:rFonts w:ascii="Century Gothic" w:hAnsi="Century Gothic"/>
          <w:sz w:val="28"/>
          <w:szCs w:val="28"/>
        </w:rPr>
        <w:t>y obtenido no favorece solo al acreedor que lo pidió sino también a todos los acreedores hereditarios o testamentarios siempre que sus derechos no hayan prescrito ni hayan renunciado a solicitarlo.</w:t>
      </w:r>
    </w:p>
    <w:p w:rsidR="008A6767" w:rsidRDefault="008A6767" w:rsidP="009351C3">
      <w:pPr>
        <w:jc w:val="both"/>
        <w:rPr>
          <w:rFonts w:ascii="Century Gothic" w:hAnsi="Century Gothic"/>
          <w:sz w:val="28"/>
          <w:szCs w:val="28"/>
        </w:rPr>
      </w:pPr>
    </w:p>
    <w:p w:rsidR="008A6767" w:rsidRDefault="008A6767" w:rsidP="009351C3">
      <w:pPr>
        <w:jc w:val="both"/>
        <w:rPr>
          <w:rFonts w:ascii="Century Gothic" w:hAnsi="Century Gothic"/>
          <w:sz w:val="28"/>
          <w:szCs w:val="28"/>
        </w:rPr>
      </w:pPr>
    </w:p>
    <w:p w:rsidR="008A6767" w:rsidRPr="00102F85" w:rsidRDefault="008A6767" w:rsidP="009351C3">
      <w:pPr>
        <w:jc w:val="both"/>
        <w:rPr>
          <w:rFonts w:ascii="Century Gothic" w:hAnsi="Century Gothic"/>
          <w:sz w:val="28"/>
          <w:szCs w:val="28"/>
        </w:rPr>
      </w:pPr>
    </w:p>
    <w:p w:rsidR="008A6767" w:rsidRDefault="008A6767" w:rsidP="00102F85">
      <w:pPr>
        <w:jc w:val="center"/>
        <w:rPr>
          <w:rFonts w:ascii="Century Gothic" w:hAnsi="Century Gothic"/>
          <w:b/>
          <w:sz w:val="32"/>
          <w:szCs w:val="32"/>
        </w:rPr>
      </w:pPr>
      <w:r w:rsidRPr="00102F85">
        <w:rPr>
          <w:rFonts w:ascii="Century Gothic" w:hAnsi="Century Gothic"/>
          <w:b/>
          <w:sz w:val="32"/>
          <w:szCs w:val="32"/>
        </w:rPr>
        <w:t>Efectos del Beneficio de Separación</w:t>
      </w:r>
      <w:r>
        <w:rPr>
          <w:rFonts w:ascii="Century Gothic" w:hAnsi="Century Gothic"/>
          <w:b/>
          <w:sz w:val="32"/>
          <w:szCs w:val="32"/>
        </w:rPr>
        <w:t>, desde cuando se producen.</w:t>
      </w:r>
    </w:p>
    <w:p w:rsidR="008A6767" w:rsidRDefault="008A6767" w:rsidP="00102F85">
      <w:pPr>
        <w:jc w:val="center"/>
        <w:rPr>
          <w:rFonts w:ascii="Century Gothic" w:hAnsi="Century Gothic"/>
          <w:b/>
          <w:sz w:val="32"/>
          <w:szCs w:val="32"/>
        </w:rPr>
      </w:pPr>
    </w:p>
    <w:p w:rsidR="008A6767" w:rsidRDefault="008A6767" w:rsidP="00102F85">
      <w:pPr>
        <w:jc w:val="both"/>
        <w:rPr>
          <w:rFonts w:ascii="Century Gothic" w:hAnsi="Century Gothic"/>
          <w:sz w:val="28"/>
          <w:szCs w:val="28"/>
        </w:rPr>
      </w:pPr>
      <w:r>
        <w:rPr>
          <w:rFonts w:ascii="Century Gothic" w:hAnsi="Century Gothic"/>
          <w:sz w:val="28"/>
          <w:szCs w:val="28"/>
        </w:rPr>
        <w:t>Al respecto hay que hacer un distingo según se trate de los bienes muebles, de la sucesión o de los inmuebles de la misma.</w:t>
      </w:r>
    </w:p>
    <w:p w:rsidR="008A6767" w:rsidRDefault="008A6767" w:rsidP="00102F85">
      <w:pPr>
        <w:jc w:val="both"/>
        <w:rPr>
          <w:rFonts w:ascii="Century Gothic" w:hAnsi="Century Gothic"/>
          <w:sz w:val="28"/>
          <w:szCs w:val="28"/>
        </w:rPr>
      </w:pPr>
      <w:r>
        <w:rPr>
          <w:rFonts w:ascii="Century Gothic" w:hAnsi="Century Gothic"/>
          <w:sz w:val="28"/>
          <w:szCs w:val="28"/>
        </w:rPr>
        <w:t xml:space="preserve">Respecto de los </w:t>
      </w:r>
      <w:r w:rsidRPr="00EF4CB4">
        <w:rPr>
          <w:rFonts w:ascii="Century Gothic" w:hAnsi="Century Gothic"/>
          <w:i/>
          <w:sz w:val="28"/>
          <w:szCs w:val="28"/>
        </w:rPr>
        <w:t>bienes muebles</w:t>
      </w:r>
      <w:r>
        <w:rPr>
          <w:rFonts w:ascii="Century Gothic" w:hAnsi="Century Gothic"/>
          <w:sz w:val="28"/>
          <w:szCs w:val="28"/>
        </w:rPr>
        <w:t xml:space="preserve"> el beneficio de separación produce  sus efectos desde que se dicta la sentencia que lo concede.</w:t>
      </w:r>
    </w:p>
    <w:p w:rsidR="008A6767" w:rsidRDefault="008A6767" w:rsidP="00102F85">
      <w:pPr>
        <w:jc w:val="both"/>
        <w:rPr>
          <w:rFonts w:ascii="Century Gothic" w:hAnsi="Century Gothic"/>
          <w:sz w:val="28"/>
          <w:szCs w:val="28"/>
        </w:rPr>
      </w:pPr>
      <w:r>
        <w:rPr>
          <w:rFonts w:ascii="Century Gothic" w:hAnsi="Century Gothic"/>
          <w:sz w:val="28"/>
          <w:szCs w:val="28"/>
        </w:rPr>
        <w:t xml:space="preserve">En cambio, tratándose de los </w:t>
      </w:r>
      <w:r w:rsidRPr="00EF4CB4">
        <w:rPr>
          <w:rFonts w:ascii="Century Gothic" w:hAnsi="Century Gothic"/>
          <w:i/>
          <w:sz w:val="28"/>
          <w:szCs w:val="28"/>
        </w:rPr>
        <w:t>bienes raíces</w:t>
      </w:r>
      <w:r>
        <w:rPr>
          <w:rFonts w:ascii="Century Gothic" w:hAnsi="Century Gothic"/>
          <w:sz w:val="28"/>
          <w:szCs w:val="28"/>
        </w:rPr>
        <w:t xml:space="preserve"> es además necesario que la sentencia  se inscriba en el Registro correspondiente, esta inscripción se exige con el objeto de dar publicidad al decreto que concede el beneficio de separación. La sanción por su omisión es la inoponibilidad respecto de terceros, en este caso con relación a los acreedores personales del heredero. En consecuencia, mientras no  se inscriba el respectivo decreto, los acreedores personales del heredero pueden perseguir el pago de sus créditos los inmuebles hereditarios.</w:t>
      </w:r>
    </w:p>
    <w:p w:rsidR="008A6767" w:rsidRDefault="008A6767" w:rsidP="00102F85">
      <w:pPr>
        <w:jc w:val="both"/>
        <w:rPr>
          <w:rFonts w:ascii="Century Gothic" w:hAnsi="Century Gothic"/>
          <w:sz w:val="28"/>
          <w:szCs w:val="28"/>
        </w:rPr>
      </w:pPr>
    </w:p>
    <w:p w:rsidR="008A6767" w:rsidRDefault="008A6767" w:rsidP="00EF4CB4">
      <w:pPr>
        <w:jc w:val="center"/>
        <w:rPr>
          <w:rFonts w:ascii="Century Gothic" w:hAnsi="Century Gothic"/>
          <w:b/>
          <w:sz w:val="32"/>
          <w:szCs w:val="32"/>
        </w:rPr>
      </w:pPr>
      <w:r w:rsidRPr="00EF4CB4">
        <w:rPr>
          <w:rFonts w:ascii="Century Gothic" w:hAnsi="Century Gothic"/>
          <w:b/>
          <w:sz w:val="32"/>
          <w:szCs w:val="32"/>
        </w:rPr>
        <w:t>El beneficio de separación produce la separación de Patrimonios.</w:t>
      </w:r>
    </w:p>
    <w:p w:rsidR="008A6767" w:rsidRDefault="008A6767" w:rsidP="00EF4CB4">
      <w:pPr>
        <w:jc w:val="center"/>
        <w:rPr>
          <w:rFonts w:ascii="Century Gothic" w:hAnsi="Century Gothic"/>
          <w:b/>
          <w:sz w:val="32"/>
          <w:szCs w:val="32"/>
        </w:rPr>
      </w:pPr>
    </w:p>
    <w:p w:rsidR="008A6767" w:rsidRDefault="008A6767" w:rsidP="00EF4CB4">
      <w:pPr>
        <w:jc w:val="both"/>
        <w:rPr>
          <w:rFonts w:ascii="Century Gothic" w:hAnsi="Century Gothic"/>
          <w:sz w:val="28"/>
          <w:szCs w:val="28"/>
        </w:rPr>
      </w:pPr>
      <w:r>
        <w:rPr>
          <w:rFonts w:ascii="Century Gothic" w:hAnsi="Century Gothic"/>
          <w:sz w:val="28"/>
          <w:szCs w:val="28"/>
        </w:rPr>
        <w:t>El beneficio de separación a diferencia del Beneficio de inventario produce la separación de Patrimonios del causante y de los herederos, la consecuencia de esto estriba en que los bienes hereditarios solo pueden ser perseguidos, sacados a remate y embargados por los acreedores hereditarios y testamentarios pero no por los acreedores personales del heredero.</w:t>
      </w:r>
    </w:p>
    <w:p w:rsidR="008A6767" w:rsidRDefault="008A6767" w:rsidP="00210EE9">
      <w:pPr>
        <w:jc w:val="center"/>
        <w:rPr>
          <w:rFonts w:ascii="Century Gothic" w:hAnsi="Century Gothic"/>
          <w:b/>
          <w:sz w:val="32"/>
          <w:szCs w:val="32"/>
        </w:rPr>
      </w:pPr>
      <w:r w:rsidRPr="00210EE9">
        <w:rPr>
          <w:rFonts w:ascii="Century Gothic" w:hAnsi="Century Gothic"/>
          <w:b/>
          <w:sz w:val="32"/>
          <w:szCs w:val="32"/>
        </w:rPr>
        <w:t xml:space="preserve">Efectos del beneficio de </w:t>
      </w:r>
      <w:r>
        <w:rPr>
          <w:rFonts w:ascii="Century Gothic" w:hAnsi="Century Gothic"/>
          <w:b/>
          <w:sz w:val="32"/>
          <w:szCs w:val="32"/>
        </w:rPr>
        <w:t>separación entre los acreedores  hereditarios y testamentarios entre si.</w:t>
      </w:r>
    </w:p>
    <w:p w:rsidR="008A6767" w:rsidRDefault="008A6767" w:rsidP="00210EE9">
      <w:pPr>
        <w:jc w:val="center"/>
        <w:rPr>
          <w:rFonts w:ascii="Century Gothic" w:hAnsi="Century Gothic"/>
          <w:sz w:val="28"/>
          <w:szCs w:val="28"/>
        </w:rPr>
      </w:pPr>
    </w:p>
    <w:p w:rsidR="008A6767" w:rsidRDefault="008A6767" w:rsidP="00210EE9">
      <w:pPr>
        <w:jc w:val="both"/>
        <w:rPr>
          <w:rFonts w:ascii="Century Gothic" w:hAnsi="Century Gothic"/>
          <w:sz w:val="28"/>
          <w:szCs w:val="28"/>
        </w:rPr>
      </w:pPr>
      <w:r>
        <w:rPr>
          <w:rFonts w:ascii="Century Gothic" w:hAnsi="Century Gothic"/>
          <w:sz w:val="28"/>
          <w:szCs w:val="28"/>
        </w:rPr>
        <w:t>El código en sus Art. 1262 y 1263, reglamenta las relaciones que se producen en virtud del beneficio de separación entre los acreedores hereditarios y testamentarios de una parte y de los personales del heredero de otra. Al respecto distingue entre los bienes hereditarios es decir del causante y de los herederos.</w:t>
      </w:r>
    </w:p>
    <w:p w:rsidR="008A6767" w:rsidRDefault="008A6767" w:rsidP="00210EE9">
      <w:pPr>
        <w:jc w:val="both"/>
        <w:rPr>
          <w:rFonts w:ascii="Century Gothic" w:hAnsi="Century Gothic"/>
          <w:sz w:val="28"/>
          <w:szCs w:val="28"/>
        </w:rPr>
      </w:pPr>
      <w:r>
        <w:rPr>
          <w:rFonts w:ascii="Century Gothic" w:hAnsi="Century Gothic"/>
          <w:sz w:val="28"/>
          <w:szCs w:val="28"/>
        </w:rPr>
        <w:t>Respecto de los primeros la regla general es que, obtenida la separación de los patrimonios, se pagan preferentemente en los bienes de la sucesión los acreedores hereditarios y testamentarios.</w:t>
      </w:r>
    </w:p>
    <w:p w:rsidR="008A6767" w:rsidRDefault="008A6767" w:rsidP="00210EE9">
      <w:pPr>
        <w:jc w:val="both"/>
        <w:rPr>
          <w:rFonts w:ascii="Century Gothic" w:hAnsi="Century Gothic"/>
          <w:sz w:val="28"/>
          <w:szCs w:val="28"/>
        </w:rPr>
      </w:pPr>
      <w:r>
        <w:rPr>
          <w:rFonts w:ascii="Century Gothic" w:hAnsi="Century Gothic"/>
          <w:sz w:val="28"/>
          <w:szCs w:val="28"/>
        </w:rPr>
        <w:t>Ahora en caso de que pagados los acreedores hereditarios y testamentarios quedare un sobrante se aplica el inciso segundo del Art. 1262, según el cual “</w:t>
      </w:r>
      <w:r>
        <w:rPr>
          <w:rFonts w:ascii="Century Gothic" w:hAnsi="Century Gothic"/>
          <w:i/>
          <w:sz w:val="28"/>
          <w:szCs w:val="28"/>
        </w:rPr>
        <w:t>El sobrante, si lo hubiere se agregara a los bienes del heredero para satisfacer a sus acreedores propios</w:t>
      </w:r>
      <w:r>
        <w:rPr>
          <w:rFonts w:ascii="Century Gothic" w:hAnsi="Century Gothic"/>
          <w:sz w:val="28"/>
          <w:szCs w:val="28"/>
        </w:rPr>
        <w:t>, con los cuales concurrirán los acreedores de la sucesión que no gocen del beneficio”</w:t>
      </w:r>
    </w:p>
    <w:p w:rsidR="008A6767" w:rsidRDefault="008A6767" w:rsidP="00210EE9">
      <w:pPr>
        <w:jc w:val="both"/>
        <w:rPr>
          <w:rFonts w:ascii="Century Gothic" w:hAnsi="Century Gothic"/>
          <w:sz w:val="28"/>
          <w:szCs w:val="28"/>
        </w:rPr>
      </w:pPr>
      <w:r>
        <w:rPr>
          <w:rFonts w:ascii="Century Gothic" w:hAnsi="Century Gothic"/>
          <w:sz w:val="28"/>
          <w:szCs w:val="28"/>
        </w:rPr>
        <w:t>De modo que en los bienes de la sucesión los acreedores hereditarios y testamentarios gozan de una especie de preferencia para el pago de un hacedores y aun de los acreedores hereditarios y testamentarios que no gocen del beneficio de separación. Estos podrán ser únicamente los que hayan renunciado a el o no lo  invoquen pues los demás acreedores que no gozan del beneficio son aquellos cuyos derechos han prescrito  y estos no pueden ya hacer valer sus créditos. En los otros casos del artículo 1263 no hay beneficio de separación para ningún acreedor hereditario o testamentario. Decíamos que en esta situación hay un verdadero privilegio respecto estos acreedores por que primero se pagan ellos y solo el resto aprovecha a los acreedores del heredero.</w:t>
      </w:r>
    </w:p>
    <w:p w:rsidR="008A6767" w:rsidRDefault="008A6767" w:rsidP="00210EE9">
      <w:pPr>
        <w:jc w:val="both"/>
        <w:rPr>
          <w:rFonts w:ascii="Century Gothic" w:hAnsi="Century Gothic"/>
          <w:sz w:val="28"/>
          <w:szCs w:val="28"/>
        </w:rPr>
      </w:pPr>
      <w:r>
        <w:rPr>
          <w:rFonts w:ascii="Century Gothic" w:hAnsi="Century Gothic"/>
          <w:sz w:val="28"/>
          <w:szCs w:val="28"/>
        </w:rPr>
        <w:t>Radicalmente inversa es a situación respecto de los bienes propios del heredero. El Art. 1263  establece que:</w:t>
      </w:r>
    </w:p>
    <w:p w:rsidR="008A6767" w:rsidRPr="0037289A" w:rsidRDefault="008A6767" w:rsidP="00210EE9">
      <w:pPr>
        <w:jc w:val="both"/>
        <w:rPr>
          <w:rFonts w:ascii="Century Gothic" w:hAnsi="Century Gothic"/>
          <w:i/>
          <w:sz w:val="28"/>
          <w:szCs w:val="28"/>
        </w:rPr>
      </w:pPr>
      <w:r>
        <w:rPr>
          <w:rFonts w:ascii="Century Gothic" w:hAnsi="Century Gothic"/>
          <w:i/>
          <w:sz w:val="28"/>
          <w:szCs w:val="28"/>
        </w:rPr>
        <w:t>“L</w:t>
      </w:r>
      <w:r w:rsidRPr="0037289A">
        <w:rPr>
          <w:rFonts w:ascii="Century Gothic" w:hAnsi="Century Gothic"/>
          <w:i/>
          <w:sz w:val="28"/>
          <w:szCs w:val="28"/>
        </w:rPr>
        <w:t xml:space="preserve">os acreedores </w:t>
      </w:r>
      <w:r>
        <w:rPr>
          <w:rFonts w:ascii="Century Gothic" w:hAnsi="Century Gothic"/>
          <w:i/>
          <w:sz w:val="28"/>
          <w:szCs w:val="28"/>
        </w:rPr>
        <w:t xml:space="preserve">hereditarios o testamentarios que hayan obtenido la separación o aprovechándose de ella en conformidad al articulo precedente, no tendrá acción  </w:t>
      </w:r>
    </w:p>
    <w:p w:rsidR="008A6767" w:rsidRPr="00210EE9" w:rsidRDefault="008A6767" w:rsidP="00210EE9">
      <w:pPr>
        <w:jc w:val="both"/>
        <w:rPr>
          <w:rFonts w:ascii="Century Gothic" w:hAnsi="Century Gothic"/>
          <w:sz w:val="28"/>
          <w:szCs w:val="28"/>
        </w:rPr>
      </w:pPr>
      <w:r>
        <w:rPr>
          <w:rFonts w:ascii="Century Gothic" w:hAnsi="Century Gothic"/>
          <w:sz w:val="28"/>
          <w:szCs w:val="28"/>
        </w:rPr>
        <w:t xml:space="preserve">   </w:t>
      </w:r>
    </w:p>
    <w:p w:rsidR="008A6767" w:rsidRPr="00EF4CB4" w:rsidRDefault="008A6767" w:rsidP="00EF4CB4">
      <w:pPr>
        <w:rPr>
          <w:rFonts w:ascii="Century Gothic" w:hAnsi="Century Gothic"/>
          <w:sz w:val="28"/>
          <w:szCs w:val="28"/>
        </w:rPr>
      </w:pPr>
    </w:p>
    <w:p w:rsidR="008A6767" w:rsidRDefault="008A6767" w:rsidP="00102F85">
      <w:pPr>
        <w:jc w:val="both"/>
        <w:rPr>
          <w:rFonts w:ascii="Century Gothic" w:hAnsi="Century Gothic"/>
          <w:sz w:val="28"/>
          <w:szCs w:val="28"/>
        </w:rPr>
      </w:pPr>
      <w:r>
        <w:rPr>
          <w:rFonts w:ascii="Century Gothic" w:hAnsi="Century Gothic"/>
          <w:sz w:val="28"/>
          <w:szCs w:val="28"/>
        </w:rPr>
        <w:t xml:space="preserve"> </w:t>
      </w:r>
    </w:p>
    <w:p w:rsidR="008A6767" w:rsidRPr="00102F85" w:rsidRDefault="008A6767" w:rsidP="00102F85">
      <w:pPr>
        <w:jc w:val="both"/>
        <w:rPr>
          <w:rFonts w:ascii="Century Gothic" w:hAnsi="Century Gothic"/>
          <w:sz w:val="28"/>
          <w:szCs w:val="28"/>
        </w:rPr>
      </w:pPr>
    </w:p>
    <w:p w:rsidR="008A6767" w:rsidRDefault="008A6767" w:rsidP="00102F85">
      <w:pPr>
        <w:jc w:val="center"/>
        <w:rPr>
          <w:rFonts w:ascii="Century Gothic" w:hAnsi="Century Gothic"/>
          <w:b/>
          <w:sz w:val="32"/>
          <w:szCs w:val="32"/>
        </w:rPr>
      </w:pPr>
    </w:p>
    <w:p w:rsidR="008A6767" w:rsidRPr="00102F85" w:rsidRDefault="008A6767" w:rsidP="00102F85">
      <w:pPr>
        <w:jc w:val="both"/>
        <w:rPr>
          <w:rFonts w:ascii="Century Gothic" w:hAnsi="Century Gothic"/>
          <w:sz w:val="28"/>
          <w:szCs w:val="28"/>
        </w:rPr>
      </w:pPr>
    </w:p>
    <w:p w:rsidR="008A6767" w:rsidRPr="00102F85" w:rsidRDefault="008A6767" w:rsidP="009351C3">
      <w:pPr>
        <w:jc w:val="both"/>
        <w:rPr>
          <w:rFonts w:ascii="Century Gothic" w:hAnsi="Century Gothic"/>
          <w:b/>
          <w:sz w:val="32"/>
          <w:szCs w:val="32"/>
        </w:rPr>
      </w:pPr>
    </w:p>
    <w:p w:rsidR="008A6767" w:rsidRPr="00EB5F63" w:rsidRDefault="008A6767" w:rsidP="00FB602F">
      <w:pPr>
        <w:rPr>
          <w:rFonts w:ascii="Century Gothic" w:hAnsi="Century Gothic"/>
          <w:sz w:val="32"/>
          <w:szCs w:val="32"/>
        </w:rPr>
      </w:pPr>
    </w:p>
    <w:p w:rsidR="008A6767" w:rsidRPr="00EB5F63" w:rsidRDefault="008A6767" w:rsidP="00FB602F">
      <w:pPr>
        <w:rPr>
          <w:rFonts w:ascii="Century Gothic" w:hAnsi="Century Gothic"/>
          <w:sz w:val="28"/>
          <w:szCs w:val="28"/>
        </w:rPr>
      </w:pPr>
    </w:p>
    <w:p w:rsidR="008A6767" w:rsidRPr="00EB5F63" w:rsidRDefault="008A6767" w:rsidP="00FB602F">
      <w:pPr>
        <w:rPr>
          <w:rFonts w:ascii="Century Gothic" w:hAnsi="Century Gothic"/>
          <w:sz w:val="28"/>
          <w:szCs w:val="28"/>
        </w:rPr>
      </w:pPr>
    </w:p>
    <w:p w:rsidR="008A6767" w:rsidRPr="00EB5F63" w:rsidRDefault="008A6767" w:rsidP="00FB602F">
      <w:pPr>
        <w:rPr>
          <w:rFonts w:ascii="Century Gothic" w:hAnsi="Century Gothic"/>
          <w:sz w:val="28"/>
          <w:szCs w:val="28"/>
        </w:rPr>
      </w:pPr>
    </w:p>
    <w:p w:rsidR="008A6767" w:rsidRPr="00EB5F63" w:rsidRDefault="008A6767">
      <w:pPr>
        <w:rPr>
          <w:rFonts w:ascii="Century Gothic" w:hAnsi="Century Gothic"/>
          <w:sz w:val="28"/>
          <w:szCs w:val="28"/>
        </w:rPr>
      </w:pPr>
    </w:p>
    <w:p w:rsidR="008A6767" w:rsidRPr="00EB5F63" w:rsidRDefault="008A6767">
      <w:pPr>
        <w:rPr>
          <w:rFonts w:ascii="Century Gothic" w:hAnsi="Century Gothic"/>
          <w:sz w:val="32"/>
          <w:szCs w:val="32"/>
        </w:rPr>
      </w:pPr>
    </w:p>
    <w:sectPr w:rsidR="008A6767" w:rsidRPr="00EB5F63" w:rsidSect="000804B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B0D"/>
    <w:multiLevelType w:val="hybridMultilevel"/>
    <w:tmpl w:val="AEDE29B4"/>
    <w:lvl w:ilvl="0" w:tplc="815E7A14">
      <w:start w:val="1"/>
      <w:numFmt w:val="decimal"/>
      <w:lvlText w:val="%1-"/>
      <w:lvlJc w:val="left"/>
      <w:pPr>
        <w:tabs>
          <w:tab w:val="num" w:pos="720"/>
        </w:tabs>
        <w:ind w:left="720" w:hanging="36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
    <w:nsid w:val="1B8E5185"/>
    <w:multiLevelType w:val="hybridMultilevel"/>
    <w:tmpl w:val="C87AA29E"/>
    <w:lvl w:ilvl="0" w:tplc="040A000F">
      <w:start w:val="1"/>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
    <w:nsid w:val="3BD34987"/>
    <w:multiLevelType w:val="hybridMultilevel"/>
    <w:tmpl w:val="0FE296D4"/>
    <w:lvl w:ilvl="0" w:tplc="BABAF38E">
      <w:start w:val="1"/>
      <w:numFmt w:val="upperLetter"/>
      <w:lvlText w:val="%1."/>
      <w:lvlJc w:val="left"/>
      <w:pPr>
        <w:tabs>
          <w:tab w:val="num" w:pos="735"/>
        </w:tabs>
        <w:ind w:left="735" w:hanging="375"/>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3">
    <w:nsid w:val="3D77395D"/>
    <w:multiLevelType w:val="hybridMultilevel"/>
    <w:tmpl w:val="D77E7FCA"/>
    <w:lvl w:ilvl="0" w:tplc="040A000F">
      <w:start w:val="1"/>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2C77"/>
    <w:rsid w:val="000804B1"/>
    <w:rsid w:val="000937F1"/>
    <w:rsid w:val="00102F85"/>
    <w:rsid w:val="00141B06"/>
    <w:rsid w:val="00163ED3"/>
    <w:rsid w:val="001900C1"/>
    <w:rsid w:val="001A046F"/>
    <w:rsid w:val="001D02F0"/>
    <w:rsid w:val="001D5B0F"/>
    <w:rsid w:val="00210EE9"/>
    <w:rsid w:val="002A11E7"/>
    <w:rsid w:val="002D7ADD"/>
    <w:rsid w:val="00311C44"/>
    <w:rsid w:val="00331CB5"/>
    <w:rsid w:val="0037289A"/>
    <w:rsid w:val="00384D64"/>
    <w:rsid w:val="00441AD5"/>
    <w:rsid w:val="00556DB0"/>
    <w:rsid w:val="0056466D"/>
    <w:rsid w:val="00661582"/>
    <w:rsid w:val="00666091"/>
    <w:rsid w:val="006749FE"/>
    <w:rsid w:val="006A7153"/>
    <w:rsid w:val="006F1490"/>
    <w:rsid w:val="006F75A3"/>
    <w:rsid w:val="006F763B"/>
    <w:rsid w:val="00757BE2"/>
    <w:rsid w:val="00790949"/>
    <w:rsid w:val="007F38BC"/>
    <w:rsid w:val="00876C82"/>
    <w:rsid w:val="00887D02"/>
    <w:rsid w:val="00893458"/>
    <w:rsid w:val="008A6767"/>
    <w:rsid w:val="009351C3"/>
    <w:rsid w:val="00956F1E"/>
    <w:rsid w:val="0098615B"/>
    <w:rsid w:val="00A17852"/>
    <w:rsid w:val="00A344BC"/>
    <w:rsid w:val="00AC3003"/>
    <w:rsid w:val="00AC5D5F"/>
    <w:rsid w:val="00AE2F33"/>
    <w:rsid w:val="00B718F5"/>
    <w:rsid w:val="00BA7061"/>
    <w:rsid w:val="00CA40D4"/>
    <w:rsid w:val="00DE506A"/>
    <w:rsid w:val="00E0461A"/>
    <w:rsid w:val="00E214D7"/>
    <w:rsid w:val="00EA2C77"/>
    <w:rsid w:val="00EB1CDE"/>
    <w:rsid w:val="00EB5F63"/>
    <w:rsid w:val="00EF4CB4"/>
    <w:rsid w:val="00FB602F"/>
    <w:rsid w:val="00FE33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1"/>
    <w:pPr>
      <w:spacing w:after="200" w:line="276" w:lineRule="auto"/>
    </w:pPr>
    <w:rPr>
      <w:lang w:val="es-SV"/>
    </w:rPr>
  </w:style>
  <w:style w:type="paragraph" w:styleId="Heading1">
    <w:name w:val="heading 1"/>
    <w:basedOn w:val="Normal"/>
    <w:next w:val="Normal"/>
    <w:link w:val="Heading1Char"/>
    <w:uiPriority w:val="99"/>
    <w:qFormat/>
    <w:rsid w:val="00FB602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B602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602F"/>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B602F"/>
    <w:rPr>
      <w:rFonts w:ascii="Cambria" w:hAnsi="Cambria" w:cs="Times New Roman"/>
      <w:b/>
      <w:bCs/>
      <w:color w:val="4F81BD"/>
      <w:sz w:val="26"/>
      <w:szCs w:val="26"/>
    </w:rPr>
  </w:style>
  <w:style w:type="paragraph" w:styleId="NoSpacing">
    <w:name w:val="No Spacing"/>
    <w:uiPriority w:val="99"/>
    <w:qFormat/>
    <w:rsid w:val="00FB602F"/>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985</TotalTime>
  <Pages>7</Pages>
  <Words>1241</Words>
  <Characters>6831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gladis esmeralda zayas lopez</dc:creator>
  <cp:keywords/>
  <dc:description/>
  <cp:lastModifiedBy>fsmilia lopez</cp:lastModifiedBy>
  <cp:revision>10</cp:revision>
  <dcterms:created xsi:type="dcterms:W3CDTF">2009-11-04T19:21:00Z</dcterms:created>
  <dcterms:modified xsi:type="dcterms:W3CDTF">2009-11-08T18:33:00Z</dcterms:modified>
</cp:coreProperties>
</file>