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DECRETO Nº 2591.-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LA ASAMBLEA LEGISLATIVA DE LA REPUBLICA DE EL SALVADOR,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CONSIDERANDO: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I- Que la demanda de casas para alquiler desde hace varios años excede en notable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 xml:space="preserve">proporción a su oferta, lo cual ha originado en el </w:t>
      </w:r>
      <w:r>
        <w:rPr>
          <w:rFonts w:ascii="Arial" w:hAnsi="Arial" w:cs="Arial"/>
          <w:sz w:val="24"/>
          <w:szCs w:val="24"/>
        </w:rPr>
        <w:t xml:space="preserve">país un estado de desequilibrio </w:t>
      </w:r>
      <w:r w:rsidRPr="003F68AF">
        <w:rPr>
          <w:rFonts w:ascii="Arial" w:hAnsi="Arial" w:cs="Arial"/>
          <w:sz w:val="24"/>
          <w:szCs w:val="24"/>
        </w:rPr>
        <w:t>en cuanto a inquilinato se refiere, que es necesario corregir dictando las medidas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convenientes;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II- Que conforme al Artículo 136 de la Constitución Política, que "garantiza la libertad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económica, en lo que no se oponga al interés social", es evidente el deber y el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derecho del Estado, para intervenir por medio de regulaciones especiales, a efecto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 balancear, en cuanto sea posible, los interes</w:t>
      </w:r>
      <w:r>
        <w:rPr>
          <w:rFonts w:ascii="Arial" w:hAnsi="Arial" w:cs="Arial"/>
          <w:sz w:val="24"/>
          <w:szCs w:val="24"/>
        </w:rPr>
        <w:t xml:space="preserve">es de las partes en el contrato </w:t>
      </w:r>
      <w:r w:rsidRPr="003F68AF">
        <w:rPr>
          <w:rFonts w:ascii="Arial" w:hAnsi="Arial" w:cs="Arial"/>
          <w:sz w:val="24"/>
          <w:szCs w:val="24"/>
        </w:rPr>
        <w:t>de arrendamiento para viviendas; y, por razones de índole diferente, en los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arrendamientos de casas o locales para escuelas públicas o privadas;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 xml:space="preserve">III- Que la vigente Ley de Inquilinato no responde </w:t>
      </w:r>
      <w:r>
        <w:rPr>
          <w:rFonts w:ascii="Arial" w:hAnsi="Arial" w:cs="Arial"/>
          <w:sz w:val="24"/>
          <w:szCs w:val="24"/>
        </w:rPr>
        <w:t xml:space="preserve">cumplidamente a las finalidades </w:t>
      </w:r>
      <w:r w:rsidRPr="003F68AF">
        <w:rPr>
          <w:rFonts w:ascii="Arial" w:hAnsi="Arial" w:cs="Arial"/>
          <w:sz w:val="24"/>
          <w:szCs w:val="24"/>
        </w:rPr>
        <w:t>para las que fue decretada, y su aplicación, por e</w:t>
      </w:r>
      <w:r>
        <w:rPr>
          <w:rFonts w:ascii="Arial" w:hAnsi="Arial" w:cs="Arial"/>
          <w:sz w:val="24"/>
          <w:szCs w:val="24"/>
        </w:rPr>
        <w:t xml:space="preserve">l contrario, ha creado un clima </w:t>
      </w:r>
      <w:r w:rsidRPr="003F68AF">
        <w:rPr>
          <w:rFonts w:ascii="Arial" w:hAnsi="Arial" w:cs="Arial"/>
          <w:sz w:val="24"/>
          <w:szCs w:val="24"/>
        </w:rPr>
        <w:t>de injusticia ya que, sin proteger adecuadamente al inquilino cumplidor de sus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obligaciones, desampara al propietario frente a la malicia del inquilino moroso;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IV- Que es, pues, urgente sustituir la mencionada L</w:t>
      </w:r>
      <w:r>
        <w:rPr>
          <w:rFonts w:ascii="Arial" w:hAnsi="Arial" w:cs="Arial"/>
          <w:sz w:val="24"/>
          <w:szCs w:val="24"/>
        </w:rPr>
        <w:t xml:space="preserve">ey por una que armonice de modo </w:t>
      </w:r>
      <w:r w:rsidRPr="003F68AF">
        <w:rPr>
          <w:rFonts w:ascii="Arial" w:hAnsi="Arial" w:cs="Arial"/>
          <w:sz w:val="24"/>
          <w:szCs w:val="24"/>
        </w:rPr>
        <w:t>justo y efectivo los derechos de las partes, protegiendo a los inquilinos contra el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alza inmoderada de los alquileres; pero garantizando al mismo tiempo a los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propietarios de inmuebles urbanos el cobro rápido de los cánones respectivos;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V- Que la experiencia ha demostrado que las leyes dictadas en el país, para regular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la materia de inquilinato, aún cuando fueron emitidas como leyes transitorias,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su vigencia se ha conservado indefinidamente, con lo cual se reconoce la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existencia de una prolongada situación de desequilibrio entre la oferta y la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demanda de viviendas. En consecuencia, la nueva ley no debe regir para un plazo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 xml:space="preserve">determinado; pero, por otra parte, es </w:t>
      </w:r>
      <w:r>
        <w:rPr>
          <w:rFonts w:ascii="Arial" w:hAnsi="Arial" w:cs="Arial"/>
          <w:sz w:val="24"/>
          <w:szCs w:val="24"/>
        </w:rPr>
        <w:t xml:space="preserve">prudente prever que, tan pronto </w:t>
      </w:r>
      <w:r w:rsidRPr="003F68AF">
        <w:rPr>
          <w:rFonts w:ascii="Arial" w:hAnsi="Arial" w:cs="Arial"/>
          <w:sz w:val="24"/>
          <w:szCs w:val="24"/>
        </w:rPr>
        <w:t>desaparezca dicho estado de desequilibrio, debe</w:t>
      </w:r>
      <w:r>
        <w:rPr>
          <w:rFonts w:ascii="Arial" w:hAnsi="Arial" w:cs="Arial"/>
          <w:sz w:val="24"/>
          <w:szCs w:val="24"/>
        </w:rPr>
        <w:t xml:space="preserve"> ser reformada, pues el derecho </w:t>
      </w:r>
      <w:r w:rsidRPr="003F68AF">
        <w:rPr>
          <w:rFonts w:ascii="Arial" w:hAnsi="Arial" w:cs="Arial"/>
          <w:sz w:val="24"/>
          <w:szCs w:val="24"/>
        </w:rPr>
        <w:t>a la libre contratación constituye el mejor sistema para regular la oferta y la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demanda en las relaciones económicas normales;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POR TANTO,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3F68AF">
        <w:rPr>
          <w:rFonts w:ascii="Arial" w:hAnsi="Arial" w:cs="Arial"/>
          <w:sz w:val="24"/>
          <w:szCs w:val="24"/>
        </w:rPr>
        <w:t>en</w:t>
      </w:r>
      <w:proofErr w:type="gramEnd"/>
      <w:r w:rsidRPr="003F68AF">
        <w:rPr>
          <w:rFonts w:ascii="Arial" w:hAnsi="Arial" w:cs="Arial"/>
          <w:sz w:val="24"/>
          <w:szCs w:val="24"/>
        </w:rPr>
        <w:t xml:space="preserve"> uso de sus facultades constitucionales, a iniciativa del Presi</w:t>
      </w:r>
      <w:r>
        <w:rPr>
          <w:rFonts w:ascii="Arial" w:hAnsi="Arial" w:cs="Arial"/>
          <w:sz w:val="24"/>
          <w:szCs w:val="24"/>
        </w:rPr>
        <w:t xml:space="preserve">dente de la República por medio </w:t>
      </w:r>
      <w:r w:rsidRPr="003F68AF">
        <w:rPr>
          <w:rFonts w:ascii="Arial" w:hAnsi="Arial" w:cs="Arial"/>
          <w:sz w:val="24"/>
          <w:szCs w:val="24"/>
        </w:rPr>
        <w:t>de su Ministro de Justicia y oído el parecer de la Corte Suprema de Justicia,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DECRETA, la siguiente</w:t>
      </w:r>
    </w:p>
    <w:p w:rsidR="003F68AF" w:rsidRPr="003F68AF" w:rsidRDefault="003F68AF" w:rsidP="003F68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LEY DE INQUILINATO</w:t>
      </w:r>
    </w:p>
    <w:p w:rsidR="003F68AF" w:rsidRPr="003F68AF" w:rsidRDefault="003F68AF" w:rsidP="003F68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CAPITULO I</w:t>
      </w:r>
    </w:p>
    <w:p w:rsidR="003F68AF" w:rsidRPr="003F68AF" w:rsidRDefault="003F68AF" w:rsidP="003F68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ALCANCES DE LA LEY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1.- La presente Ley se aplicará al arrendamiento y subarrendamiento de casas y locales que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se destinen: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a) Para vivienda;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b) Para instalar en ellos un establecimiento comercial o industrial cuyo activo no exceda de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quince mil colones (¢15.000.00), siempre que el inquilino sea el dueño del negocio y habite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permanentemente en el mismo edificio en piezas contiguas y comunicadas con el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establecimiento de que se trate;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c) Para centros educativos dependientes del Ministerio de Cultura o de la Universidad de El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Salvador, o en donde se imparta enseñanza sujeta al control o vigilancia de dichos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 xml:space="preserve">organismos, o de cualquiera otro del Estado; y </w:t>
      </w:r>
      <w:r w:rsidRPr="00BA1EC5">
        <w:rPr>
          <w:rFonts w:ascii="Arial" w:hAnsi="Arial" w:cs="Arial"/>
          <w:sz w:val="18"/>
          <w:szCs w:val="18"/>
        </w:rPr>
        <w:t>DEMÁS CENTROS DE DIFUSIÓN DE LA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CULTURA Y DE ESPECTÁCULOS P</w:t>
      </w:r>
      <w:r w:rsidRPr="00BA1EC5">
        <w:rPr>
          <w:rFonts w:ascii="Arial" w:hAnsi="Arial" w:cs="Arial"/>
          <w:sz w:val="18"/>
          <w:szCs w:val="18"/>
        </w:rPr>
        <w:t xml:space="preserve">ÚBLICOS LEGALMENTE AUTORIZADOS; </w:t>
      </w:r>
      <w:proofErr w:type="gramStart"/>
      <w:r w:rsidRPr="00BA1EC5">
        <w:rPr>
          <w:rFonts w:ascii="Arial" w:hAnsi="Arial" w:cs="Arial"/>
          <w:sz w:val="18"/>
          <w:szCs w:val="18"/>
        </w:rPr>
        <w:t>Y(</w:t>
      </w:r>
      <w:proofErr w:type="gramEnd"/>
      <w:r w:rsidRPr="00BA1EC5">
        <w:rPr>
          <w:rFonts w:ascii="Arial" w:hAnsi="Arial" w:cs="Arial"/>
          <w:sz w:val="18"/>
          <w:szCs w:val="18"/>
        </w:rPr>
        <w:t>7)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d) Para oficinas públicas y de profesionales autorizados co</w:t>
      </w:r>
      <w:r>
        <w:rPr>
          <w:rFonts w:ascii="Arial" w:hAnsi="Arial" w:cs="Arial"/>
          <w:sz w:val="24"/>
          <w:szCs w:val="24"/>
        </w:rPr>
        <w:t xml:space="preserve">nforme a la ley, consultorios y </w:t>
      </w:r>
      <w:r w:rsidRPr="003F68AF">
        <w:rPr>
          <w:rFonts w:ascii="Arial" w:hAnsi="Arial" w:cs="Arial"/>
          <w:sz w:val="24"/>
          <w:szCs w:val="24"/>
        </w:rPr>
        <w:t>clínicas.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2.- Los derechos concedidos al inquilino por esta ley son irrenunciables; en consecuencia, no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tendrá valor alguno cualquiera cláusula que se consigne con objeto de eludir expresa o subrepticiamente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sus disposiciones y efectos.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3.- En los casos no comprendidos en la presente ley- sujet</w:t>
      </w:r>
      <w:r>
        <w:rPr>
          <w:rFonts w:ascii="Arial" w:hAnsi="Arial" w:cs="Arial"/>
          <w:sz w:val="24"/>
          <w:szCs w:val="24"/>
        </w:rPr>
        <w:t xml:space="preserve">os a las disposiciones comunes </w:t>
      </w:r>
      <w:r w:rsidRPr="003F68AF">
        <w:rPr>
          <w:rFonts w:ascii="Arial" w:hAnsi="Arial" w:cs="Arial"/>
          <w:sz w:val="24"/>
          <w:szCs w:val="24"/>
        </w:rPr>
        <w:t>si se demandare por causa de mora en el pago de la renta la terminación del arriendo y la desocupación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 la cosa urbana arrendada, no habrá desahucio ni reconvención d</w:t>
      </w:r>
      <w:r>
        <w:rPr>
          <w:rFonts w:ascii="Arial" w:hAnsi="Arial" w:cs="Arial"/>
          <w:sz w:val="24"/>
          <w:szCs w:val="24"/>
        </w:rPr>
        <w:t xml:space="preserve">e pago y los tribunales comunes </w:t>
      </w:r>
      <w:r w:rsidRPr="003F68AF">
        <w:rPr>
          <w:rFonts w:ascii="Arial" w:hAnsi="Arial" w:cs="Arial"/>
          <w:sz w:val="24"/>
          <w:szCs w:val="24"/>
        </w:rPr>
        <w:t>aplicarán el procedimiento que se establece en la Sección 2ª del Capítulo V de esta ley.</w:t>
      </w:r>
    </w:p>
    <w:p w:rsidR="003F68AF" w:rsidRPr="003F68AF" w:rsidRDefault="003F68AF" w:rsidP="003F68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lastRenderedPageBreak/>
        <w:t>CAPITULO II</w:t>
      </w:r>
    </w:p>
    <w:p w:rsidR="003F68AF" w:rsidRPr="003F68AF" w:rsidRDefault="003F68AF" w:rsidP="003F68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DE LOS ARRENDAMIENTOS DE CASAS Y LOCALES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4.- Todo contrato de arrendamiento o subarrendamiento sujeto a esta ley, que se celebre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con posterioridad a la fecha en que la misma entre en vigencia, deberá constar por escrito y expresar el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nombre y generales del arrendador y del arrendatario, los datos necesarios para la identificación del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inmueble o local arrendado, el precio y la forma de su pago.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Los contratos en que se estipule una renta inferior a trescientos colones mensuales estarán exentos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del impuesto de papel sellado y timbres.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5.- La falta de contrato escrito en el caso del artículo anterior será imputable al arrendador,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quien incurrirá por esa falta en una multa equivalente al 50% del canon mensual de arrendamiento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contratado y si no fuese posible establecer el monto de dicho canon, la multa será de 10 a 50 colones.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6.- Se podrá fijar en un contrato de arrendamiento sometido a la presente ley, un plazo para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su duración; pero ello no tendrá más efecto que el de obligar al inquilino al pago del canon pactado durante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todo el plazo, salvo que antes de la llegada de dicho plazo, el arrendador estuviere anuente a dar por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terminado el contrato.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En cuanto al arrendador, la cláusula de fijación del plazo no le dará derecho a exigir la devolución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del inmueble, al vencimiento del mismo, pues el inquilino podrá cont</w:t>
      </w:r>
      <w:r>
        <w:rPr>
          <w:rFonts w:ascii="Arial" w:hAnsi="Arial" w:cs="Arial"/>
          <w:sz w:val="24"/>
          <w:szCs w:val="24"/>
        </w:rPr>
        <w:t xml:space="preserve">inuar habitándolo en las mismas </w:t>
      </w:r>
      <w:r w:rsidRPr="003F68AF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ndiciones que las originalmente </w:t>
      </w:r>
      <w:r w:rsidRPr="003F68AF">
        <w:rPr>
          <w:rFonts w:ascii="Arial" w:hAnsi="Arial" w:cs="Arial"/>
          <w:sz w:val="24"/>
          <w:szCs w:val="24"/>
        </w:rPr>
        <w:t>estipuladas, siempre que continúe pagando la renta, y salvo el caso de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terminación del contrato por los motivos que indica el Art. 24.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F68AF">
        <w:rPr>
          <w:rFonts w:ascii="Arial" w:hAnsi="Arial" w:cs="Arial"/>
          <w:sz w:val="24"/>
          <w:szCs w:val="24"/>
        </w:rPr>
        <w:t xml:space="preserve">Art. 7.- </w:t>
      </w:r>
      <w:r w:rsidRPr="00BA1EC5">
        <w:rPr>
          <w:rFonts w:ascii="Arial" w:hAnsi="Arial" w:cs="Arial"/>
          <w:sz w:val="18"/>
          <w:szCs w:val="18"/>
        </w:rPr>
        <w:t>LOS CÁNONES POR ALQUILER DE CASAS Y LOCALES ACTUALMENTE ARRENDADOS, NO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PODRÁN EXCEDER DE LOS PAGADOS AL 31 DE DICIEMBRE DE 1973, SI ESTOS ÚLTIMOS HUBIEREN SIDO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DE NO MÁS DE QUINIENTOS COLONES MENSUALES.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SI UNA CASA O LOCAL QUEDARE DESOCUPADO, LA RENTA MENSUAL QUE SE PACTARE CON EL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NUEVO INQUILINO, SERÁ LA MISMA QUE SE DEBE PAGAR DE CONFORMIDAD AL INCISO ANTERIOR.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LO DISPUESTO EN LOS INCISOS ANTERIORES NO SE APLICARÁ A LAS CASAS Y LOCALES NUEVOS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O QUE NO HAN SIDO OBJETO DE ARRENDAMIENTO ANTES DE LA VIGENCIA DE ESTE DECRETO.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PARA ASEGURAR EL CUMPLIMIENTO DE ESTAS DISPOSICIONES, LOS ARRENDADORES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PRESENTARÁN AL JUZGADO COMPETENTE UNA DECLARACIÓN QUE CONTENDRÁ LOS SIGUIENTES DATOS: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a) NOMBRE, GENERALES Y RESIDENCIA DEL ARRENDADOR;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b) DIRECCIÓN COMPLETA DE LA CASA;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c) NOMBRE Y GENERALES DEL O LOS INQUILINOS; Y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d) VALOR ACTUAL DEL ARRENDAMIENTO Y EL ÚLTIMO VALOR DEL MISMO DURANTE EL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AÑO DE 1973.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ESTA DECLARACIÓN DEBERÁ PRESENTARSE A MÁS TARDAR TREINTA DÍAS DESPUÉS DE QUE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ENTRE EN VIGENCIA EL PRESENTE DECRETO. EL JUZGADO PODRÁ COMPROBAR POR LOS MEDIOS QUE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ESTIME CONVENIENTES, LA VERACIDAD DE TALES DECLARACIONES.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A PARTIR DE LA VIGENCIA DE ESTE DECRETO EL INQUILINO TIENE DERECHO A PAGAR POR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EL ARRENDAMIENTO EL VALOR DEL CANON QUE PAGABA AL 31 DE DICIEMBRE DE 1973.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SI EL ARRENDATARIO HUBIERE PAGADO ANTICIPADAMENTE UNA O VARIAS MENSUALIDADES,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PODRÁ OPTAR POR REPETIR LO PAGADO EN LO QUE EXCEDA AL VALOR DEL NUEVO CANON,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DETERMINADO EN EL PRESENTE DECRETO, O PORQUE SE LE ABONE AL PAGO DE FUTURAS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MENSUALIDADES.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EL ARRENDADOR QUE INCUMPLIERE LO ESTABLECIDO EN EL PRESENTE ARTÍCULO, SERÁ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SANCIONADO CON UNA MULTA EQUIVALENTE A VEINTE VECES EL VALOR DEL EXCESO. (6)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F68AF">
        <w:rPr>
          <w:rFonts w:ascii="Arial" w:hAnsi="Arial" w:cs="Arial"/>
          <w:sz w:val="24"/>
          <w:szCs w:val="24"/>
        </w:rPr>
        <w:t xml:space="preserve">Art. 8.- </w:t>
      </w:r>
      <w:r w:rsidRPr="00BA1EC5">
        <w:rPr>
          <w:rFonts w:ascii="Arial" w:hAnsi="Arial" w:cs="Arial"/>
          <w:sz w:val="18"/>
          <w:szCs w:val="18"/>
        </w:rPr>
        <w:t>NO OBSTANTE LO DISPUESTO EN EL ARTÍCULO PRECEDENTE, EL ARRENDADOR PODRÁ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SER AUTORIZADO PARA AUMENTAR EL VALOR DE LA RENTA, EN LOS SIGUIENTES CASOS: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a) CUANDO EL ARRENDADOR HUBIERE HECHO, DESPUÉS DEL ARRIENDO, MEJORAS EN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EL INMUEBLE CON PERMISO DEL ARRENDATARIO, O EN SU DEFECTO CON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AUTORIZACIÓN DEL JUEZ, QUE REPRESENTEN PO</w:t>
      </w:r>
      <w:r w:rsidRPr="00BA1EC5">
        <w:rPr>
          <w:rFonts w:ascii="Arial" w:hAnsi="Arial" w:cs="Arial"/>
          <w:sz w:val="18"/>
          <w:szCs w:val="18"/>
        </w:rPr>
        <w:t xml:space="preserve">R LO MENOS EL 20% DEL VALOR DEL </w:t>
      </w:r>
      <w:r w:rsidRPr="00BA1EC5">
        <w:rPr>
          <w:rFonts w:ascii="Arial" w:hAnsi="Arial" w:cs="Arial"/>
          <w:sz w:val="18"/>
          <w:szCs w:val="18"/>
        </w:rPr>
        <w:t>INMUEBLE; Y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b) CUANDO EL ARRENDATARIO HUBIERE SUBARRENDADO TODO O PARTE DEL INMUEBLE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Y HAYA UNA NOTABLE DESPROPORCIÓN ENTRE LO PAGADO POR EL ARRENDATARIO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Y EL TOTAL DE LO COBRADO POR ÉSTE A SUS SUBARRENDATARIOS.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EL AUMENTO QUE SE CONCEDA DE CONFORMIDAD CON ESTE ARTÍCULO, NO PODRÁ SER MAYOR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DEL 10% ANUAL SOBRE EL COSTO DE LAS MEJORAS Y EN E</w:t>
      </w:r>
      <w:r w:rsidRPr="00BA1EC5">
        <w:rPr>
          <w:rFonts w:ascii="Arial" w:hAnsi="Arial" w:cs="Arial"/>
          <w:sz w:val="18"/>
          <w:szCs w:val="18"/>
        </w:rPr>
        <w:t xml:space="preserve">L CASO DE SUBARRENDAMIENTOS, SE </w:t>
      </w:r>
      <w:r w:rsidRPr="00BA1EC5">
        <w:rPr>
          <w:rFonts w:ascii="Arial" w:hAnsi="Arial" w:cs="Arial"/>
          <w:sz w:val="18"/>
          <w:szCs w:val="18"/>
        </w:rPr>
        <w:t>CONCEDERÁ UN AUMENTO DE TAL MANERA QUE EL ARRENDATARIO AUTORIZADO PARA SUBARRENDAR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LE QUEDE COMO UTILIDAD UN MARGEN DEL 5% DEL TOTAL DE LOS ALQUILERES. SI EL ARRENDATARIO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OCUPARE UNA PARTE DEL INMUEBLE, SE TOMARÁ EN CUENTA PARA LA DETERMINACIÓN DEL AUMENTO,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EL VALOR DEL ARRIENDO DE LA PARTE OCUPADA POR ÉL</w:t>
      </w:r>
      <w:proofErr w:type="gramStart"/>
      <w:r w:rsidRPr="00BA1EC5">
        <w:rPr>
          <w:rFonts w:ascii="Arial" w:hAnsi="Arial" w:cs="Arial"/>
          <w:sz w:val="18"/>
          <w:szCs w:val="18"/>
        </w:rPr>
        <w:t>.(</w:t>
      </w:r>
      <w:proofErr w:type="gramEnd"/>
      <w:r w:rsidRPr="00BA1EC5">
        <w:rPr>
          <w:rFonts w:ascii="Arial" w:hAnsi="Arial" w:cs="Arial"/>
          <w:sz w:val="18"/>
          <w:szCs w:val="18"/>
        </w:rPr>
        <w:t>6)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9.- Se establece la obligación para los arrendadores, de extender recibo de las cantidades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totales o parciales que se les entreguen en concepto de cánones de arrendamiento.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lastRenderedPageBreak/>
        <w:t>La infracción a este artículo será penada con una multa equivalente al triple de la suma por la cual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no se haya extendido recibo.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El inquilino a su vez está obligado a extender al arrendador, cuando éste se lo exigiere, una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constancia de habérsele entregado el recibo a que se refiere el inciso anterior. Esta constancia podrá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consistir en una simple firma del arrendatario en la matriz del taco de recibos del arrendador, y si no pudiere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firmar estampará sus huellas digitales.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10.- Cuando el arrendador se negare a recibir el valor del alquiler convenido, o eludiere el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pago, o se negare a extender el correspondiente recibo, el inquilino podrá depositar la renta en el Juzgado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competente, a favor del arrendador, y no incurrirá en mora siempre que el depósito se hiciere dentro de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los ochos días siguientes a aquél en que debía verificar el pago.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11.- Cualquier acto del arrendador, de las personas que de él dependen, o de sus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administradores o encargados, que irrogare perjuicio para el inquilino, tales como la suspensión de los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servicios de agua y luz, y demás que sean contrarios a la seguridad, bienestar, comodidad y salud del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inquilino y de las personas que con él convivan, hará incurrir al arrendador en una multa de cien colones,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sin perjuicio de las sanciones establecidas en el Código Penal.</w:t>
      </w:r>
    </w:p>
    <w:p w:rsidR="003F68AF" w:rsidRPr="003F68AF" w:rsidRDefault="003F68AF" w:rsidP="003F68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CAPITULO III</w:t>
      </w:r>
    </w:p>
    <w:p w:rsidR="003F68AF" w:rsidRPr="003F68AF" w:rsidRDefault="003F68AF" w:rsidP="003F68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DEL ARRENDAMIENTO DE MESONES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12.- El arriendo de casas destinadas a alquileres por piezas separadas, con servicios comunes,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conocidas con el nombre de "mesones" quedará además sujeto a las disposiciones especiales de este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Capítulo.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13.- Pueden intervenir en el arriendo de mesones y quedan sujetos a estas disposiciones: el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arrendador, el arrendatario, el mesonero y el sub-arrendatario.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14.- Cuando una persona dé en arrendamiento un mesón se presume de derecho que concede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la autorización para subarrendar, y las causales de orden personal que puedan dar por terminado el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contrato principal de arriendo entre arrendador y arrendatario, no afectarán las condiciones de los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subarrendatarios.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15.- El mesonero es la persona que tiene a su cargo la vigilancia y cuidado del mesón. Cuando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esta persona ocupe una de las piezas sin pagar en efectivo su alquiler, no se entenderá que tiene la calidad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 arrendatario.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16.- El contrato celebrado con un inquilino de una pieza de mesón, se entenderá que continúa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con el grupo familiar que con el conviva en dicha pieza, en los casos de muerte, incapacidad o ausencia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prolongada de aquél. Para gozar de este beneficio, el inquilino designará en el contrato, o por escrito al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Juez, la persona que representará al grupo en sus relaciones con el arrendador. Si la persona designada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hubiere fallecido o estuviese a su vez incapacitada o ausente, los miembros del grupo familiar indicado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tendrán facultad para hacer por sí mismos dicha designación, por mayoría de votos, todo sin perjuicio de</w:t>
      </w:r>
      <w:r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no interrumpir el cumplimiento regular de las obligaciones del contrato.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F68AF">
        <w:rPr>
          <w:rFonts w:ascii="Arial" w:hAnsi="Arial" w:cs="Arial"/>
          <w:sz w:val="24"/>
          <w:szCs w:val="24"/>
        </w:rPr>
        <w:t xml:space="preserve">Art. 17.- </w:t>
      </w:r>
      <w:r w:rsidRPr="00BA1EC5">
        <w:rPr>
          <w:rFonts w:ascii="Arial" w:hAnsi="Arial" w:cs="Arial"/>
          <w:sz w:val="18"/>
          <w:szCs w:val="18"/>
        </w:rPr>
        <w:t>EL PRECIO DEL ALQUILER DE LAS PIEZAS DE MESONES NO PODRÁ EXCEDER DEL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ÚLTIMO PAGADO AL 31 DE DICIEMBRE DE 1973.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PARA ASEGURAR EL CUMPLIMIENTO DE ESTA DISPOSICIÓN LOS ARRENDADORES DE MESONES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PRESENTARÁN AL JUZGADO COMPETENTE UNA DECLARACIÓN QUE CONTENDRÁ LOS SIGUIENTES DATOS: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1. NOMBRE, GENERALES Y RESIDENCIA DEL ARRENDADOR;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2. DIRECCIÓN COMPLETA DEL MESÓN CON EXPRESIÓN DEL NOMBRE CON EL CUAL ES</w:t>
      </w:r>
      <w:r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CONOCIDO;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 xml:space="preserve">3. TOTAL DE LAS PIEZAS DE QUE SE COMPONE </w:t>
      </w:r>
      <w:r w:rsidRPr="00BA1EC5">
        <w:rPr>
          <w:rFonts w:ascii="Arial" w:hAnsi="Arial" w:cs="Arial"/>
          <w:sz w:val="18"/>
          <w:szCs w:val="18"/>
        </w:rPr>
        <w:t xml:space="preserve">CON SU NÚMERO DE ORDEN Y ÚLTIMO </w:t>
      </w:r>
      <w:r w:rsidRPr="00BA1EC5">
        <w:rPr>
          <w:rFonts w:ascii="Arial" w:hAnsi="Arial" w:cs="Arial"/>
          <w:sz w:val="18"/>
          <w:szCs w:val="18"/>
        </w:rPr>
        <w:t>PRECIO DE ALQUILER PAGADO POR CADA UNA DE ELLAS AL 31 DE DICIEMBRE DE 1973;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4. NÓMINA DE LOS INQUILINOS ACTUALES A LA FECHA DE LA DECLARACIÓN;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5. NOMBRE Y GENERALES DEL MESONERO, SI LO HUBIESE, INDICANDO SI PAGA SU PIEZA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EN EFECTIVO O LA RECIBE COMO PARTE DE SU REMUNERACIÓN; Y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6. NOMBRE DE LA PERSONA O PERSONAS QUE AUTORICE PARA RECIBIR EL VALOR DE LOS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ALQUILERES.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SI EL MESÓN ESTUVIERE ARRENDADO A UNA SOLA PERSONA, CUMPLIRÁ EL ARRENDADOR CON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SÓLO INDICAR EL NOMBRE COMPLETO Y DIRECCIÓN DEL ARREN</w:t>
      </w:r>
      <w:r w:rsidR="00C66359" w:rsidRPr="00BA1EC5">
        <w:rPr>
          <w:rFonts w:ascii="Arial" w:hAnsi="Arial" w:cs="Arial"/>
          <w:sz w:val="18"/>
          <w:szCs w:val="18"/>
        </w:rPr>
        <w:t xml:space="preserve">DATARIO GENERAL Y CORRESPONDERÁ </w:t>
      </w:r>
      <w:r w:rsidRPr="00BA1EC5">
        <w:rPr>
          <w:rFonts w:ascii="Arial" w:hAnsi="Arial" w:cs="Arial"/>
          <w:sz w:val="18"/>
          <w:szCs w:val="18"/>
        </w:rPr>
        <w:t>A ÉSTE LA OBLIGACIÓN DE DAR LA DECLARACIÓN A QUE SE REFIERE ESTE ARTÍCULO.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A1EC5">
        <w:rPr>
          <w:rFonts w:ascii="Arial" w:hAnsi="Arial" w:cs="Arial"/>
          <w:sz w:val="18"/>
          <w:szCs w:val="18"/>
        </w:rPr>
        <w:t>ESTAS DECLARACIONES DEBERÁN PRESENTARSE A MÁS TARDAR TREINTA DÍAS DESPUÉS DE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QUE ENTRE EN VIGENCIA EL PRESENTE DECRETO. EL JUZGADO PODRÁ COMPROBAR POR LOS MEDIOS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QUE ESTIME CONVENIENTES LA VERACIDAD DE TALES DECLARACIONES. (1)(3)(6)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18.- Todo contrato de arrendamiento o subarrendamiento de una pieza de mesón, deberá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constar por escrito, y contendrá por lo menos: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lastRenderedPageBreak/>
        <w:t>1) Nombre completo, edad, profesión u oficio, domicilio del arrendador y número de su cédula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 vecindad;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2) Las mismas designaciones respecto del inquilino;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3) El nombre del mesón, si lo tuviere, y el número de la pieza contratada;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4) El precio del alquiler;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5) El nombre de la persona autorizada para recibir el pago de los alquileres;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6) La designación por parte del inquilino de la persona que representará al grupo familiar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y de quienes integran este grupo en los casos contemplados en el Art. 16;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7) El Lugar y fecha del otorgamiento.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El contrato será firmado por los otorgantes, y si alguno de ellos no supiere o no pudiere firmar,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estampará su huella digital.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19.- El contrato será otorgado por triplicado, debiendo quedar una copia al arrendador, otra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al inquilino y la tercera será remitida por el arrendador al Juzgado competente, dentro de los cinco días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siguientes al de su celebración.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20.- Es obligación primordial del arrendador extender recibo de todo pago que se le haga,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y el inquilino está obligado a exigir que se cumpla con esta disposición.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Si un arrendador no estuviere anuente a entregar recibo en la forma prescrita, el inquilino no le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efectuará el pago, sino que deberá depositar el precio debido en el Juzgado correspondiente, en cuyo caso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el Juzgado extenderá el recibo y anotará el pago en el reverso del ejemplar del contrato que debe existir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en su poder.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21.- La falta de cumplimiento a lo dispuesto en los Artículos 17, 18, 19 y 20, hará incurrir al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arrendador o arrendatario general en una multa de cien colones por cada infracción. Si se comprobare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falta de veracidad en la declaración a que se refiere el Art. 17, el arrendador será penado con una multa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 25 a 100 colones, según la gravedad del caso, a menos que el incumplimiento se deba a fuerza mayor,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caso fortuito o culpa del arrendatario.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22.- En el arriendo de piezas de los mesones, el pago del alquiler debe ser por meses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calendarios completos y vencidos, debiendo ser cancelados el día último de cada mes.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Si el arriendo comenzare en un día posterior al primero del mes, se pagará la renta correspondiente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 los días que transcurran hasta el último día de dicho mes y de allí en adelante se aplicará la regla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contenida en el inciso anterior. Si el arrendador aceptare pagos parciales, no por eso se entenderá que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el arriendo ha sido contratado por períodos menores de un mes.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23.- Cuando dentro de un período de doce meses consecutivos, el arrendador o arrendatario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 xml:space="preserve">general de un mesón incurra por lo menos en cuatro infracciones por </w:t>
      </w:r>
      <w:r w:rsidR="00C66359">
        <w:rPr>
          <w:rFonts w:ascii="Arial" w:hAnsi="Arial" w:cs="Arial"/>
          <w:sz w:val="24"/>
          <w:szCs w:val="24"/>
        </w:rPr>
        <w:t xml:space="preserve">no extender recibo de los pagos </w:t>
      </w:r>
      <w:r w:rsidRPr="003F68AF">
        <w:rPr>
          <w:rFonts w:ascii="Arial" w:hAnsi="Arial" w:cs="Arial"/>
          <w:sz w:val="24"/>
          <w:szCs w:val="24"/>
        </w:rPr>
        <w:t>parciales o totales que le hagan sus inquilinos, el Juez, al imponer la multa que corresponda por la última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infracción, decretará que todo pago que en lo sucesivo hubieren de hacerle los inquilinos, sea depositado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precisamente en el Juzgado, a la orden del arrendador, prohibiéndose a éste, además recibir suma alguna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directamente de los inquilinos, so pena de incurrir en otra multa de cien colones por cada infracción. Esta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resolución será apelable para ante el Tribunal superior, y una vez ejecutoriada producirá sus</w:t>
      </w:r>
      <w:r w:rsidR="00C66359">
        <w:rPr>
          <w:rFonts w:ascii="Arial" w:hAnsi="Arial" w:cs="Arial"/>
          <w:sz w:val="24"/>
          <w:szCs w:val="24"/>
        </w:rPr>
        <w:t xml:space="preserve"> efectos por </w:t>
      </w:r>
      <w:r w:rsidRPr="003F68AF">
        <w:rPr>
          <w:rFonts w:ascii="Arial" w:hAnsi="Arial" w:cs="Arial"/>
          <w:sz w:val="24"/>
          <w:szCs w:val="24"/>
        </w:rPr>
        <w:t>el término de un año.</w:t>
      </w:r>
    </w:p>
    <w:p w:rsidR="003F68AF" w:rsidRPr="003F68AF" w:rsidRDefault="003F68AF" w:rsidP="00C663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CAPITULO IV</w:t>
      </w:r>
    </w:p>
    <w:p w:rsidR="003F68AF" w:rsidRPr="003F68AF" w:rsidRDefault="003F68AF" w:rsidP="00C663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DE LA EXPIRACION DEL ARRENDAMIENTO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F68AF">
        <w:rPr>
          <w:rFonts w:ascii="Arial" w:hAnsi="Arial" w:cs="Arial"/>
          <w:sz w:val="24"/>
          <w:szCs w:val="24"/>
        </w:rPr>
        <w:t xml:space="preserve">Art. 24.- </w:t>
      </w:r>
      <w:r w:rsidRPr="00BA1EC5">
        <w:rPr>
          <w:rFonts w:ascii="Arial" w:hAnsi="Arial" w:cs="Arial"/>
          <w:sz w:val="18"/>
          <w:szCs w:val="18"/>
        </w:rPr>
        <w:t>LOS ARRENDAMIENTOS Y SUBARRENDAMIENTOS DE QUE TRATA LA PRESENTE LEY,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EXPIRARÁN POR CONVENCIÓN DE LAS PARTES VOLUNTARIA</w:t>
      </w:r>
      <w:r w:rsidR="00C66359" w:rsidRPr="00BA1EC5">
        <w:rPr>
          <w:rFonts w:ascii="Arial" w:hAnsi="Arial" w:cs="Arial"/>
          <w:sz w:val="18"/>
          <w:szCs w:val="18"/>
        </w:rPr>
        <w:t xml:space="preserve">MENTE CUMPLIDA, O POR SENTENCIA </w:t>
      </w:r>
      <w:r w:rsidRPr="00BA1EC5">
        <w:rPr>
          <w:rFonts w:ascii="Arial" w:hAnsi="Arial" w:cs="Arial"/>
          <w:sz w:val="18"/>
          <w:szCs w:val="18"/>
        </w:rPr>
        <w:t>JUDICIAL EN LOS SIGUIENTES CASOS</w:t>
      </w:r>
      <w:proofErr w:type="gramStart"/>
      <w:r w:rsidRPr="00BA1EC5">
        <w:rPr>
          <w:rFonts w:ascii="Arial" w:hAnsi="Arial" w:cs="Arial"/>
          <w:sz w:val="18"/>
          <w:szCs w:val="18"/>
        </w:rPr>
        <w:t>.(</w:t>
      </w:r>
      <w:proofErr w:type="gramEnd"/>
      <w:r w:rsidRPr="00BA1EC5">
        <w:rPr>
          <w:rFonts w:ascii="Arial" w:hAnsi="Arial" w:cs="Arial"/>
          <w:sz w:val="18"/>
          <w:szCs w:val="18"/>
        </w:rPr>
        <w:t>1)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1) Por mora del inquilino en el pago de la renta, entendiéndose que incurre en mora el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inquilino que no paga la renta al arrendador, o no la deposita donde corresponde, dentro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 los ocho días siguientes a la fecha fijada para el pago;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2) Por destinarse el inmueble arrendado, en su totalidad o en su mayor parte, a un fin distinto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al de la vivienda, o a fines perjudiciales para su seguridad o limpieza o contrarios a las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buenas costumbres.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No se considerará que un local ha sido destinado a un</w:t>
      </w:r>
      <w:r w:rsidR="00C66359">
        <w:rPr>
          <w:rFonts w:ascii="Arial" w:hAnsi="Arial" w:cs="Arial"/>
          <w:sz w:val="24"/>
          <w:szCs w:val="24"/>
        </w:rPr>
        <w:t xml:space="preserve">a finalidad distinta a la de la </w:t>
      </w:r>
      <w:r w:rsidRPr="003F68AF">
        <w:rPr>
          <w:rFonts w:ascii="Arial" w:hAnsi="Arial" w:cs="Arial"/>
          <w:sz w:val="24"/>
          <w:szCs w:val="24"/>
        </w:rPr>
        <w:t>vivienda, por el hecho de instalarse en él un establecimiento comercial o industrial, siempre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que concurran las circunstancias siguientes: que su activo n</w:t>
      </w:r>
      <w:r w:rsidR="00C66359">
        <w:rPr>
          <w:rFonts w:ascii="Arial" w:hAnsi="Arial" w:cs="Arial"/>
          <w:sz w:val="24"/>
          <w:szCs w:val="24"/>
        </w:rPr>
        <w:t xml:space="preserve">o exceda de quince mil colones, </w:t>
      </w:r>
      <w:r w:rsidRPr="003F68AF">
        <w:rPr>
          <w:rFonts w:ascii="Arial" w:hAnsi="Arial" w:cs="Arial"/>
          <w:sz w:val="24"/>
          <w:szCs w:val="24"/>
        </w:rPr>
        <w:t xml:space="preserve">que el inquilino sea el </w:t>
      </w:r>
      <w:r w:rsidRPr="003F68AF">
        <w:rPr>
          <w:rFonts w:ascii="Arial" w:hAnsi="Arial" w:cs="Arial"/>
          <w:sz w:val="24"/>
          <w:szCs w:val="24"/>
        </w:rPr>
        <w:lastRenderedPageBreak/>
        <w:t>dueño del negocio y que continúe habitando permanentemente,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en el mismo edificio, en piezas contiguas y comunicadas al establecimiento de que se trate;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3) Por almacenar en el inmueble arrendado, sin consentimiento escrito del arrendador,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sustancias inflamables o explosivas;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4) Por la destrucción total del inmueble arrendado;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5) Por su destrucción parcial que, a juicio de peritos, haga inhabitable el inmueble arrendado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o parte importante de él;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6) Por daños de consideración en el inmueble arrendado, causados por malicia o culpa del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arrendatario o de las personas que de él dependen;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7) Cuando el arrendatario hiciere, sin permiso escrito del arrendador, modificaciones 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alteraciones en el inmueble arrendado;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8) Cuando el propietario del inmueble pretenda hacer una nueva construcción en el mismo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solar del inmueble arrendado;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9) Cuando el propietario tuviere que hacer obras destinadas a aumentar la capacidad locativa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del inmueble o reparaciones indispensables que no puedan diferirse sin perjuicio del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arrendador o peligro del inquilino y siempre que sea indispensable la desocupación total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del inmueble para la realización de las obras.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Cuando se tratare de inmuebles ocupados por varios inquilinos la acción sólo podrá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dirigirse contra el arrendatario o arrendatarios que habiten en la porción o porciones del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inmueble en que hayan de ejecutarse las obras o reparaciones;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10) Cuando el inmueble arrendado amenazare ruina total o parcial; pero en este último caso,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la acción sólo podrá dirigirse contra el inquilino o inquilinos que habiten la porción 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porciones afectadas;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11) Cuando por motivo de utilidad pública tenga que ser destruido total o parcialmente el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inmueble arrendado, debiendo estarse, en este último caso, a lo dispuesto en la parte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final del ordinal anterior;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12) Cuando de conformidad al Código de Sanidad haya sido declarado insalubre el inmueble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arrendado;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 xml:space="preserve">13) </w:t>
      </w:r>
      <w:r w:rsidRPr="00BA1EC5">
        <w:rPr>
          <w:rFonts w:ascii="Arial" w:hAnsi="Arial" w:cs="Arial"/>
          <w:sz w:val="18"/>
          <w:szCs w:val="18"/>
        </w:rPr>
        <w:t>CUANDO EL INQUILINO SE NIEGUE A REEMBOLSAR AL ARRENDADOR EL VALOR DEL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EXCESO EN EL SERVICIO DE AGUA CONSUMIDA, SIEMPRE QUE EL INQUILINO SE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HUBIERE COMPROMETIDO A ELLO, O QUE TAL EXCESO DE DEBA A CULPA DEL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ARRENDATARIO O USO INMODERADO DEL SERVICIO, ESTA CAUSAL NO SE APLICARÁ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AL ARRENDAMIENTO PARCIAL DE MESONES. (1</w:t>
      </w:r>
      <w:r w:rsidRPr="003F68AF">
        <w:rPr>
          <w:rFonts w:ascii="Arial" w:hAnsi="Arial" w:cs="Arial"/>
          <w:sz w:val="24"/>
          <w:szCs w:val="24"/>
        </w:rPr>
        <w:t>)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14) Cuando el inquilino subarriende total o parcialmente el inmueble arrendado, sin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autorización escrita del arrendador;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15) Cuando el propietario, usufructuario o habitador de una casa la necesite para habitarla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él, su cónyuge, ascendientes, descendientes, hermanos, o parientes en el primer grado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 afinidad. La necesidad de habitar un inmueble se presume respecto del propietario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o de sus indicados cónyuge o parientes que, viviendo en casa ajena, desearen vivir en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casa propia de alguno de ellos, y también respecto de los que, viviendo en casa propia,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desearen trasladarse a vivir a otra casa propia situada en distinta población;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16) Por vencimiento del plazo convenido, en el caso de que el dueño con motivo de ausentarse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del país o de la población donde se encuentre el inmueble, haya dado en arrendamiento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la casa que habite;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17) Cuando se extinga el derecho del arrendador por un hecho independiente de su voluntad,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como cuando expira el derecho de usufructo en razón del cual se ha contratado el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arrendamiento.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PARA LA APLICACIÓN DE LA CAUSAL 13) DE ESTE ARTÍCULO, DEBE ENTENDERSE POR “EXCESO”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O POR “USO INMODERADO DEL SERVICIO”, DE CONFORMIDAD CON LAS TARIFAS DE LA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ADMINISTRACIÓN NACIONAL DE ACUEDUCTOS Y ALCANTARILLADOS (ANDA), TODO CONSUMO MAYOR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DE TREINTA METROS CÚBICOS DE AGUA POR MES, PARA LOS GRADOS I, II, III DE LA CLASE “SERVICIO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DOMÉSTICO” Y GRADO I DE LAS CLASES: “SERVICIO PARA EL COMERCIO Y LA INDUSTRIA” Y “SERVICIO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PARA EL GOBIERNO, MUNICIPALIDADES, ENTIDADES OFICIALES Y AUTÓNOMAS Y CENTROS DE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BENEFICENCIA Y CARIDAD”; TODO CONSUMO MAYOR DE CINCUENTA METROS CÚBICOS DE AGUA POR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MES PARA LOS GRADOS IV, V Y VI DE LA CLASE: SERVICIO DOMÉSTICO; Y TODO CONSUMO MAYOR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A1EC5">
        <w:rPr>
          <w:rFonts w:ascii="Arial" w:hAnsi="Arial" w:cs="Arial"/>
          <w:sz w:val="18"/>
          <w:szCs w:val="18"/>
        </w:rPr>
        <w:t>DELO QUE INDIQUE LA CUOTA BÁSICA PARA LOS GRADOS II, III, IV Y V DE LAS CLASES: SERVICIO PARA</w:t>
      </w:r>
      <w:r w:rsidR="00C66359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EL COMERCIO Y LA INDUSTRIA Y SERVICIO PARA EL GOBIE</w:t>
      </w:r>
      <w:r w:rsidR="00C66359" w:rsidRPr="00BA1EC5">
        <w:rPr>
          <w:rFonts w:ascii="Arial" w:hAnsi="Arial" w:cs="Arial"/>
          <w:sz w:val="18"/>
          <w:szCs w:val="18"/>
        </w:rPr>
        <w:t xml:space="preserve">RNO, MUNICIPALIDADES, ENTIDADES </w:t>
      </w:r>
      <w:r w:rsidRPr="00BA1EC5">
        <w:rPr>
          <w:rFonts w:ascii="Arial" w:hAnsi="Arial" w:cs="Arial"/>
          <w:sz w:val="18"/>
          <w:szCs w:val="18"/>
        </w:rPr>
        <w:t>OFICIALES AUTÓNOMAS Y CENTROS DE BENEFICENCIA Y CARIDAD</w:t>
      </w:r>
      <w:proofErr w:type="gramStart"/>
      <w:r w:rsidRPr="00BA1EC5">
        <w:rPr>
          <w:rFonts w:ascii="Arial" w:hAnsi="Arial" w:cs="Arial"/>
          <w:sz w:val="18"/>
          <w:szCs w:val="18"/>
        </w:rPr>
        <w:t>.(</w:t>
      </w:r>
      <w:proofErr w:type="gramEnd"/>
      <w:r w:rsidRPr="00BA1EC5">
        <w:rPr>
          <w:rFonts w:ascii="Arial" w:hAnsi="Arial" w:cs="Arial"/>
          <w:sz w:val="18"/>
          <w:szCs w:val="18"/>
        </w:rPr>
        <w:t>4)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lastRenderedPageBreak/>
        <w:t>Art. 25.- En los mesones y casas de apartamientos, además de las causales enumeradas en el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 xml:space="preserve">artículo anterior, habrá lugar a pedir la terminación del contrato por </w:t>
      </w:r>
      <w:r w:rsidR="00C66359">
        <w:rPr>
          <w:rFonts w:ascii="Arial" w:hAnsi="Arial" w:cs="Arial"/>
          <w:sz w:val="24"/>
          <w:szCs w:val="24"/>
        </w:rPr>
        <w:t xml:space="preserve">parte del arrendador, cuando el </w:t>
      </w:r>
      <w:r w:rsidRPr="003F68AF">
        <w:rPr>
          <w:rFonts w:ascii="Arial" w:hAnsi="Arial" w:cs="Arial"/>
          <w:sz w:val="24"/>
          <w:szCs w:val="24"/>
        </w:rPr>
        <w:t>inquilino, a juicio prudencial del Juez, observe conducta contraria al orden público o al orden interno del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edificio.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26.- Será castigado con una multa equivalente a diez veces el valor del canon de arriendo,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el propietario, usufructuario o habitador: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a) Que obtenga la desocupación de un inmueble por alguna de las causales establecidas en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los numerales 8 y 9 del Artículo 24, cuando no proceda a iniciar los trabajos necesarios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dentro de los treinta días siguientes a la fecha de la desocupación del inmueble, o cuando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los trabajos que efectúe no se verifiquen de acuerdo con los planos presentados o dentro</w:t>
      </w:r>
      <w:r w:rsidR="00C66359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del plazo que el Juez haya señalado;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b) Que obtenga la desocupación de un inmueble por la causal contenida en el numeral 15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del Artículo 24, cuando el propietario, usufructuario, habitador o sus familiares en su caso,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no llegaren a habitar el inmueble dentro de los tres meses siguientes a la desocupación,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o haciéndolo, no continuaren en él por lo menos un año;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c) Que obtuviere la desocupación total o parcial del inmueble, en los casos de los ordinales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10 y 12 del Art. 24 y lo arrendare nuevamente sin haber efectuado las reparaciones para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obtener la debida seguridad o salubridad.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En los casos de los párrafos a) y b), el propietario, usufructuario o habitador, deberá depositar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en el Juzgado correspondiente, al tiempo de presentar su demanda, una cantidad igual al importe de dos</w:t>
      </w:r>
      <w:r w:rsidR="00F01AED">
        <w:rPr>
          <w:rFonts w:ascii="Arial" w:hAnsi="Arial" w:cs="Arial"/>
          <w:sz w:val="24"/>
          <w:szCs w:val="24"/>
        </w:rPr>
        <w:t xml:space="preserve"> mensualidades a favor del </w:t>
      </w:r>
      <w:r w:rsidRPr="003F68AF">
        <w:rPr>
          <w:rFonts w:ascii="Arial" w:hAnsi="Arial" w:cs="Arial"/>
          <w:sz w:val="24"/>
          <w:szCs w:val="24"/>
        </w:rPr>
        <w:t>arrendatario, la cual se entregará a éste en conc</w:t>
      </w:r>
      <w:r w:rsidR="00F01AED">
        <w:rPr>
          <w:rFonts w:ascii="Arial" w:hAnsi="Arial" w:cs="Arial"/>
          <w:sz w:val="24"/>
          <w:szCs w:val="24"/>
        </w:rPr>
        <w:t xml:space="preserve">epto de indemnización por daños </w:t>
      </w:r>
      <w:r w:rsidRPr="003F68AF">
        <w:rPr>
          <w:rFonts w:ascii="Arial" w:hAnsi="Arial" w:cs="Arial"/>
          <w:sz w:val="24"/>
          <w:szCs w:val="24"/>
        </w:rPr>
        <w:t>y perjuicios, y sin menoscabo de la multa antes establecida, si no se comenzaren los trabajos dentro de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los treinta días de que se ha hecho mérito, o no se habitare el inmueble dentro de los tres meses indicados.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En caso que el depositante o sus parientes cumplan con la obligación prescrita, se le devolverá al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depositante la suma consignada.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27.- No se extinguirá el contrato de arrendamiento por la muerte del arrendatario. Se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entenderá, en tal caso, que el contrato continúa con sus herederos, y si no hubiere herederos declarados,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 xml:space="preserve">con su cónyuge, compañero de vida, ascendientes o descendientes </w:t>
      </w:r>
      <w:r w:rsidR="00F01AED">
        <w:rPr>
          <w:rFonts w:ascii="Arial" w:hAnsi="Arial" w:cs="Arial"/>
          <w:sz w:val="24"/>
          <w:szCs w:val="24"/>
        </w:rPr>
        <w:t xml:space="preserve">que con aquél hayan habitado el </w:t>
      </w:r>
      <w:r w:rsidRPr="003F68AF">
        <w:rPr>
          <w:rFonts w:ascii="Arial" w:hAnsi="Arial" w:cs="Arial"/>
          <w:sz w:val="24"/>
          <w:szCs w:val="24"/>
        </w:rPr>
        <w:t>inmueble. El arrendamiento continuará en las mismas cond</w:t>
      </w:r>
      <w:r w:rsidR="00F01AED">
        <w:rPr>
          <w:rFonts w:ascii="Arial" w:hAnsi="Arial" w:cs="Arial"/>
          <w:sz w:val="24"/>
          <w:szCs w:val="24"/>
        </w:rPr>
        <w:t xml:space="preserve">iciones vigentes a la fecha del </w:t>
      </w:r>
      <w:r w:rsidRPr="003F68AF">
        <w:rPr>
          <w:rFonts w:ascii="Arial" w:hAnsi="Arial" w:cs="Arial"/>
          <w:sz w:val="24"/>
          <w:szCs w:val="24"/>
        </w:rPr>
        <w:t>fallecimiento.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28.- Tampoco se extinguirá el contrato por muerte del arrendador o por traspaso que éste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haga del inmueble, a título oneroso o gratuito. Los adquirientes del inmueble en estos casos se sustituirán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en los derechos y obligaciones del arrendatario debiendo respetar el arrendamiento aunque el contrato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no estuviese escrito y sólo podrán obtener su terminación en los casos que indican los Artículos 24 y 25.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29.- Cuando conforme a las disposiciones de esta ley se extinga un contrato de arrendamiento,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por el mismo hecho se extinguirá todo contrato de subarrendamiento que tenga por base el contrato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principal; pero si fuere por la causal de mora en el pago del canon correspondiente, podrá cualquiera de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los subarrendatarios efectuar dicho pago y continuar por esa sola circunstancia como arrendatario principal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 todo el inmueble.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Tratándose de mesones, la extinción del arrendamiento principal, por cualquier causa que fuere,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no tendrá más efecto que el de sustituir al arrendador en los derechos del arrendatario, en relación con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los sub-arrendatarios, como se establece en el Art. 14.</w:t>
      </w:r>
    </w:p>
    <w:p w:rsidR="003F68AF" w:rsidRPr="00BA1EC5" w:rsidRDefault="003F68AF" w:rsidP="00F01A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CAPITULO V</w:t>
      </w:r>
    </w:p>
    <w:p w:rsidR="003F68AF" w:rsidRPr="00BA1EC5" w:rsidRDefault="003F68AF" w:rsidP="00F01A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DE LOS PROCEDIMIENTOS</w:t>
      </w:r>
    </w:p>
    <w:p w:rsidR="003F68AF" w:rsidRPr="00BA1EC5" w:rsidRDefault="003F68AF" w:rsidP="00F01A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SECCION PRIMERA</w:t>
      </w:r>
    </w:p>
    <w:p w:rsidR="003F68AF" w:rsidRPr="00BA1EC5" w:rsidRDefault="003F68AF" w:rsidP="00F01A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JURISDICCION Y COMPETENCIA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30.- (1) (2) (5) (9)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31.-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32.- (8)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SECCION SEGUNDA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DE LA DESOCUPACION POR CAUSA DE MORA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33.-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34.-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35.-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lastRenderedPageBreak/>
        <w:t>Art. 36.- (8)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37.-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SECCION TERCERA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DE LA DESOCUPACION POR LAS DEMAS CAUSAS LEGALES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38.-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39.- (8)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40.- (1)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SECCION CUARTA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JUICIOS Y PROCEDIMIENTOS ESPECIALES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41.- (8)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42.-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SECCION QUINTA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DEL LANZAMIENTO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43.- DEROGADO POR</w:t>
      </w:r>
      <w:proofErr w:type="gramStart"/>
      <w:r w:rsidRPr="00BA1EC5">
        <w:rPr>
          <w:rFonts w:ascii="Arial" w:hAnsi="Arial" w:cs="Arial"/>
          <w:sz w:val="16"/>
          <w:szCs w:val="16"/>
        </w:rPr>
        <w:t>:D.L</w:t>
      </w:r>
      <w:proofErr w:type="gramEnd"/>
      <w:r w:rsidRPr="00BA1EC5">
        <w:rPr>
          <w:rFonts w:ascii="Arial" w:hAnsi="Arial" w:cs="Arial"/>
          <w:sz w:val="16"/>
          <w:szCs w:val="16"/>
        </w:rPr>
        <w:t xml:space="preserve">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44.- DEROGADO POR: D.L .712/2008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SECCION SEXTA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BA1EC5">
        <w:rPr>
          <w:rFonts w:ascii="Arial" w:hAnsi="Arial" w:cs="Arial"/>
          <w:b/>
          <w:bCs/>
          <w:sz w:val="16"/>
          <w:szCs w:val="16"/>
        </w:rPr>
        <w:t>DISPOSICIONES COMUNES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45.-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46.-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47.-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48.-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49.-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50.-DEROGADO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51.-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52.-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53.-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54.- DEROGADO POR: D.L .712/2008.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1EC5">
        <w:rPr>
          <w:rFonts w:ascii="Arial" w:hAnsi="Arial" w:cs="Arial"/>
          <w:sz w:val="16"/>
          <w:szCs w:val="16"/>
        </w:rPr>
        <w:t>Art. 54-A.- (8) DEROGADO POR: D.L .712/2008.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CAPITULO VI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DISPOSICIONES GENERALES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55.- Cuando para los fines del apartado b) del Art. 1o. del numeral 2) del Art. 24, sea necesario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establecer el activo de un negocio, deberá estarse únicamente al valúo que conste en el respectivo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expediente de Matrícula de Comercio y Timbre, o en la oficina de calificaciones de la Alcaldía Municipal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del lugar y, a falta de éstos, al establecido por peritos de orden del Juez, y la dependencia</w:t>
      </w:r>
      <w:r w:rsidR="00F01AED">
        <w:rPr>
          <w:rFonts w:ascii="Arial" w:hAnsi="Arial" w:cs="Arial"/>
          <w:sz w:val="24"/>
          <w:szCs w:val="24"/>
        </w:rPr>
        <w:t xml:space="preserve"> gubernativa </w:t>
      </w:r>
      <w:r w:rsidRPr="003F68AF">
        <w:rPr>
          <w:rFonts w:ascii="Arial" w:hAnsi="Arial" w:cs="Arial"/>
          <w:sz w:val="24"/>
          <w:szCs w:val="24"/>
        </w:rPr>
        <w:t>o municipal correspondiente tendrán la obligación de remitir al Juzgado competente los informes que éste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les solicite para tal efecto.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 xml:space="preserve">Art. 56.- </w:t>
      </w:r>
      <w:r w:rsidRPr="00BA1EC5">
        <w:rPr>
          <w:rFonts w:ascii="Arial" w:hAnsi="Arial" w:cs="Arial"/>
          <w:sz w:val="18"/>
          <w:szCs w:val="18"/>
        </w:rPr>
        <w:t>PARA QUE LAS MEJORAS HECHAS EN EL INMUEBLE PUEDAN SER ADMITIDAS COMO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CAUSAL DE AUMENTO DE LA RENTA, SEGÚN EL ARTÍCULO 8, SERÁ PRECISO QUE EL PROPIETARIO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COMPRUEBE ANTE EL JUEZ COMPETENTE, HABER REALIZADO LAS CORRESPONDIENTES MEJORAS. (6)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F68AF">
        <w:rPr>
          <w:rFonts w:ascii="Arial" w:hAnsi="Arial" w:cs="Arial"/>
          <w:sz w:val="24"/>
          <w:szCs w:val="24"/>
        </w:rPr>
        <w:t>Art. 57.-</w:t>
      </w:r>
      <w:r w:rsidRPr="00BA1EC5">
        <w:rPr>
          <w:rFonts w:ascii="Arial" w:hAnsi="Arial" w:cs="Arial"/>
          <w:sz w:val="18"/>
          <w:szCs w:val="18"/>
        </w:rPr>
        <w:t>SERÁN POR CUENTA DEL ARRENDADOR EL PAGO DEL CONSUMO NORMAL DE AGUA,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EL ALCANTARILLADO, LOS IMPUESTOS MUNICIPALES, TASAS, DERECHOS, CONTRIBUCIONES Y TODA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CARGA FISCAL QUE GRAVE LOS INMUEBLES ARRENDADOS.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CUANDO UN ARRENDADOR NO ESTUVIERE SOLVENTE EN EL PAGO DEL SERVICIO DE AGUA, LA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ADMINISTRACIÓN NACIONAL DE ACUEDUCTOS Y ALCANTARILLADOS, SUS CONCESIONARIOS O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ALCALDÍAS MUNICIPALES, EN SU CASO, NO PODRÁN SUSPENDER EL SERVICIO SIN ANTES NOTIFICAR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ESTA CIRCUNSTANCIA AL INQUILINO, QUIEN PODRÁ EFECTUAR EL PAGO DEL SERVICIO DENTRO DE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LOS OCHO DÍAS SIGUIENTES A DICHA NOTIFICACIÓN, QUEDANDO FACULTADO PARA ENTREGAR COMO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EFECTIVO, AL TIEMPO DE EFECTUAR EL PAGO DEL CANON DE ARRIENDO INMEDIATO, EL O LOS RECIBOS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QUE LE HAYAN SIDO EXTENDIDOS.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A1EC5">
        <w:rPr>
          <w:rFonts w:ascii="Arial" w:hAnsi="Arial" w:cs="Arial"/>
          <w:sz w:val="18"/>
          <w:szCs w:val="18"/>
        </w:rPr>
        <w:t>EN NINGÚN CASO PODRÁ SUSPENDERSE EL SERVICIO DE AGUA EN LOS MESONES. (6)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58.- El cincuenta por ciento de las multas impuestas por infracciones a esta ley ingresará a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las arcas municipales del lugar donde esté situado el inmueble, y el otro cincuenta por ciento al erario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nacional.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59.- Cuando de conformidad con esta ley los inquilinos depositen en los juzgados competentes,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sumas de dinero a la orden de las personas con quienes hubiesen contratado el arrendamiento o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subarrendamiento de la casa o local, se impondrá a estas últimas perso</w:t>
      </w:r>
      <w:r w:rsidR="00F01AED">
        <w:rPr>
          <w:rFonts w:ascii="Arial" w:hAnsi="Arial" w:cs="Arial"/>
          <w:sz w:val="24"/>
          <w:szCs w:val="24"/>
        </w:rPr>
        <w:t xml:space="preserve">nas una multa equivalente al 5% </w:t>
      </w:r>
      <w:r w:rsidRPr="003F68AF">
        <w:rPr>
          <w:rFonts w:ascii="Arial" w:hAnsi="Arial" w:cs="Arial"/>
          <w:sz w:val="24"/>
          <w:szCs w:val="24"/>
        </w:rPr>
        <w:t>sobre las cantidades depositadas, las que se cobrarán inmediatamente, deduciéndolas de las mismas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sumas; y los Juzgados respectivos estarán obligados a remitir mensualmente lo percibido a la Dirección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General de Tesorería para su ingreso al Fondo General.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60.- Los Juzgados competentes llevarán un registro público de morosos en el que anotarán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el nombre y demás generales de todas aquellas personas que en el mismo tribunal hayan sido condenadas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 la desocupación de un inmueble por falta de pago de los alquileres. El registro podrá ser consultado por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cualquier persona; pero no se extenderá certificación alguna de su contenido.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 xml:space="preserve">Art.60-A.- </w:t>
      </w:r>
      <w:r w:rsidRPr="00BA1EC5">
        <w:rPr>
          <w:rFonts w:ascii="Arial" w:hAnsi="Arial" w:cs="Arial"/>
          <w:sz w:val="18"/>
          <w:szCs w:val="18"/>
        </w:rPr>
        <w:t>LOS JUZGADOS MENCIONADOS EN EL ARTÍCULO ANTERIOR LLEVARÁN CON LAS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DECLARACIONES QUE LES PRESENTEN, UN REGISTRO QUE CONTENDRÁ EL NOMBRE Y DEMÁS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 xml:space="preserve">GENERALES DEL ARRENDADOR, LA DIRECCIÓN </w:t>
      </w:r>
      <w:r w:rsidRPr="00BA1EC5">
        <w:rPr>
          <w:rFonts w:ascii="Arial" w:hAnsi="Arial" w:cs="Arial"/>
          <w:sz w:val="18"/>
          <w:szCs w:val="18"/>
        </w:rPr>
        <w:lastRenderedPageBreak/>
        <w:t>EXACTA DE LA CASA O MESÓN CON EL NOMBRE QUE</w:t>
      </w:r>
      <w:r w:rsidR="00F01AED" w:rsidRPr="00BA1EC5">
        <w:rPr>
          <w:rFonts w:ascii="Arial" w:hAnsi="Arial" w:cs="Arial"/>
          <w:sz w:val="18"/>
          <w:szCs w:val="18"/>
        </w:rPr>
        <w:t xml:space="preserve"> </w:t>
      </w:r>
      <w:r w:rsidRPr="00BA1EC5">
        <w:rPr>
          <w:rFonts w:ascii="Arial" w:hAnsi="Arial" w:cs="Arial"/>
          <w:sz w:val="18"/>
          <w:szCs w:val="18"/>
        </w:rPr>
        <w:t>ÉSTE ES CONOCIDO Y EL CANON PAGADO DURANTE EL MES DE D</w:t>
      </w:r>
      <w:r w:rsidR="00F01AED" w:rsidRPr="00BA1EC5">
        <w:rPr>
          <w:rFonts w:ascii="Arial" w:hAnsi="Arial" w:cs="Arial"/>
          <w:sz w:val="18"/>
          <w:szCs w:val="18"/>
        </w:rPr>
        <w:t xml:space="preserve">ICIEMBRE DEL AÑO PRÓXIMO PASADO </w:t>
      </w:r>
      <w:r w:rsidRPr="00BA1EC5">
        <w:rPr>
          <w:rFonts w:ascii="Arial" w:hAnsi="Arial" w:cs="Arial"/>
          <w:sz w:val="18"/>
          <w:szCs w:val="18"/>
        </w:rPr>
        <w:t>Y SI ESTO NO FUERE POSIBLE, EL ÚLTIMO PAGADO EN DICHO AÑO. (6)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61.- Los abogados y procuradores que intervengan en los juicios de inquilinato devengarán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los honorarios que el Arancel Judicial señale para los juicios verbales, sumarios o ejecutivos, según que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su cuantía sea hasta doscientos colones, de más de doscientos hasta quinientos colones, o demás de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quinientos colones.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En los juicios para terminación de un contrato y desocupación de un inmueble, la cuantía será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determinada por el monto del canon de arriendo mensual del inmueble de que se trate. Si se ejercitare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además la acción de cobro de los alquileres adeudados, la cuantía se determinará por el monto total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reclamado.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Para los demás procedimientos, los honorarios serán los señalados por el Art. 26 del Arancel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Judicial.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62.- En todo lo que no se hubiere previsto en la presente ley, se aplicarán las disposiciones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 las leyes comunes o especiales en cuanto fueren aplicables.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Art. 63.-Derógase el Decreto Legislativo Nº 2567 de fecha 19 de Diciembre de 1957, publicado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en el Diario Oficial Nº 241, Tomo Nº 177 del 20 de diciembre del mismo año, que prorroga hasta el 28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de febrero del corriente año, la Ley de Inquilinato y sus reformas, las que asimismo quedan derogadas.</w:t>
      </w:r>
    </w:p>
    <w:p w:rsidR="00BA1EC5" w:rsidRDefault="00BA1EC5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ARTICULO TRANSITORIO. Los juicios y diligencias que estuvieren en tramitación al tiempo de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entrar en vigencia la presente ley, se continuarán tramitando conforme a ésta; pero se resolverán de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conformidad con la ley vigente al tiempo en que se promovieron, quedando sujetos en todo caso a las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reglas que siguen: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1ª Los jueces a quienes la presente ley no concede competencia en materia de inquilinato,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se declararán inmediatamente incompetentes en los juicio</w:t>
      </w:r>
      <w:r w:rsidR="00F01AED">
        <w:rPr>
          <w:rFonts w:ascii="Arial" w:hAnsi="Arial" w:cs="Arial"/>
          <w:sz w:val="24"/>
          <w:szCs w:val="24"/>
        </w:rPr>
        <w:t xml:space="preserve">s de que estuvieren conociendo, </w:t>
      </w:r>
      <w:r w:rsidRPr="003F68AF">
        <w:rPr>
          <w:rFonts w:ascii="Arial" w:hAnsi="Arial" w:cs="Arial"/>
          <w:sz w:val="24"/>
          <w:szCs w:val="24"/>
        </w:rPr>
        <w:t>y los remitirán con noticia de las partes al respectivo Juez competente, quien continuará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tramitándolos conforme a la nueva ley, siendo válido todo lo actuado anteriormente. Sin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embargo, en el caso de que haya empezado a correr el término probatorio, el Juez de</w:t>
      </w:r>
      <w:r w:rsidR="00F01AED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la causa continuará conociendo hasta la terminación del mismo.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2ª Los incidentes de fianza pendientes, serán resueltos en el sentido de que el actor no tiene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obligación de rendirla. Las sumas consignadas en sustitución de la fianza se devolverán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 quienes las hubiesen consignado, cualquiera que sea el estado del proceso. En estos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casos no habrá especial condenación en costas por dichos incidentes.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3ª Las disposiciones de esta ley, que alteren la duración de los términos establecidos por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la ley anterior o los supriman, no serán aplicables en los juicios en que dichos términos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hayan empezado a correr antes de entrar en vigencia la presente ley.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4ª Tampoco serán aplicables las nuevas disposiciones que rechazan los recursos ordinarios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o extraordinarios, en los casos en que dichos recursos hayan sido interpuestos antes que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la presente ley tenga fuerza obligatoria. Los recursos interpuestos conforme a la ley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anterior se tramitarán y resolverán conforme a esa misma ley.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5ª Las causales de extinción de los arrendamientos, alegadas en los procesos pendientes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a la fecha de entrar en vigencia la presente ley, así como las excepciones opuestas por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los demandados y las nulidades procesales reclamadas, serán probadas en el curso del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juicio y resueltas en la sentencia definitiva conforme a la ley anterior.</w:t>
      </w:r>
    </w:p>
    <w:p w:rsidR="00BA1EC5" w:rsidRDefault="00BA1EC5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INTERPRETACIÓN AUTÉNTICA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DECRETO Nº 188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EL DIRECTORIO CÍVICO MILITAR DE EL SALVADOR,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CONSIDERANDO: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Que como en la práctica han surgido algunas dudas y dificultades en la calificación de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los llamados “mesones”, a que se refiere la Ley de Inquilinato y el Decreto No. 80 de este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Directorio, dudas que han estorbado el curso normal de muchos juicios de inquilinato, siendo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también muy probable que den lugar a varias y contradictoria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s interpretaciones por parte de </w:t>
      </w:r>
      <w:r w:rsidRPr="00BA1EC5">
        <w:rPr>
          <w:rFonts w:ascii="Arial" w:hAnsi="Arial" w:cs="Arial"/>
          <w:bCs/>
          <w:sz w:val="24"/>
          <w:szCs w:val="24"/>
        </w:rPr>
        <w:t xml:space="preserve">los tribunales encargados de aplicar </w:t>
      </w:r>
      <w:r w:rsidRPr="00BA1EC5">
        <w:rPr>
          <w:rFonts w:ascii="Arial" w:hAnsi="Arial" w:cs="Arial"/>
          <w:bCs/>
          <w:sz w:val="24"/>
          <w:szCs w:val="24"/>
        </w:rPr>
        <w:lastRenderedPageBreak/>
        <w:t>la ley, se hace necesario dictar, mediante una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interpretación auténtica, el concepto legal de la palabra “mesón”.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POR TANTO,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en uso de las facultades legislativas que le confiere el Decreto No. 1 del 25 de enero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del corriente año, publicado en el Diario Oficial No. 17, Tomo 190, de la misma fecha, y a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iniciativa de la Corte Suprema de Justicia,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DECRETA, SANCIONA Y PROMULGA,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la siguiente interpretación auténtica de la palabra “mesón” a que se refiere la Ley de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Inquilinato y el Decreto Nº 80 del Directorio Cívico Militar, publicado en los Diarios Oficiales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Nº 35, Tomo 178 del 20 de febrero de 1958 y Nº 58, Tomo 190, de 23 de marzo de 1961,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respectivamente.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Art. 1.- Para la debida interpretación y aplicación de la Ley de Inquilinato y para sus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efectos consiguientes, se conceptúa como “mesón” toda casa, sea cual fuere su nominación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o calificación científica o vulgar, que tenga por lo menos cuatro piezas destinadas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especialmente para ser arrendadas o subarrendadas separadamente a grupos familiares o a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individuos y cuyos servicios accesorios o dependencias interiores sean comunes.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No se considerarán mesones las llamadas “casas de familias” o “casas de pupilos”, en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donde se proporciona a sus ocupantes vivienda y alimentación o vivienda y otros servicios,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todo por un precio ajustado condicionalmente, y en que se haga por lo general vida en familia.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Art. 2.- Esta interpretación auténtica se entenderá incorporada en el texto legal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correspondiente, pero no perjudicará, desde luego, los efectos de las sentencias judiciales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definitivas ya ejecutoriadas en el tiempo intermedio.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DADO EN CASA PRESIDENCIAL: San Salvador, a los veintitrés días del mes de junio</w:t>
      </w:r>
      <w:r w:rsidR="00BA1EC5" w:rsidRPr="00BA1EC5">
        <w:rPr>
          <w:rFonts w:ascii="Arial" w:hAnsi="Arial" w:cs="Arial"/>
          <w:bCs/>
          <w:sz w:val="24"/>
          <w:szCs w:val="24"/>
        </w:rPr>
        <w:t xml:space="preserve"> </w:t>
      </w:r>
      <w:r w:rsidRPr="00BA1EC5">
        <w:rPr>
          <w:rFonts w:ascii="Arial" w:hAnsi="Arial" w:cs="Arial"/>
          <w:bCs/>
          <w:sz w:val="24"/>
          <w:szCs w:val="24"/>
        </w:rPr>
        <w:t>de mil novecientos sesenta y uno.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BA1EC5">
        <w:rPr>
          <w:rFonts w:ascii="Arial" w:hAnsi="Arial" w:cs="Arial"/>
          <w:bCs/>
          <w:sz w:val="24"/>
          <w:szCs w:val="24"/>
        </w:rPr>
        <w:t>D. O. Nº 116</w:t>
      </w:r>
      <w:r w:rsidR="00BA1EC5" w:rsidRPr="00BA1EC5">
        <w:rPr>
          <w:rFonts w:ascii="Arial" w:hAnsi="Arial" w:cs="Arial"/>
          <w:bCs/>
          <w:sz w:val="24"/>
          <w:szCs w:val="24"/>
        </w:rPr>
        <w:t>, Tomo</w:t>
      </w:r>
      <w:r w:rsidRPr="00BA1EC5">
        <w:rPr>
          <w:rFonts w:ascii="Arial" w:hAnsi="Arial" w:cs="Arial"/>
          <w:bCs/>
          <w:sz w:val="24"/>
          <w:szCs w:val="24"/>
        </w:rPr>
        <w:t xml:space="preserve"> Nº 191</w:t>
      </w:r>
      <w:proofErr w:type="gramStart"/>
      <w:r w:rsidRPr="00BA1EC5">
        <w:rPr>
          <w:rFonts w:ascii="Arial" w:hAnsi="Arial" w:cs="Arial"/>
          <w:bCs/>
          <w:sz w:val="24"/>
          <w:szCs w:val="24"/>
        </w:rPr>
        <w:t>,De</w:t>
      </w:r>
      <w:proofErr w:type="gramEnd"/>
      <w:r w:rsidRPr="00BA1EC5">
        <w:rPr>
          <w:rFonts w:ascii="Arial" w:hAnsi="Arial" w:cs="Arial"/>
          <w:bCs/>
          <w:sz w:val="24"/>
          <w:szCs w:val="24"/>
        </w:rPr>
        <w:t xml:space="preserve"> fecha: 28 de Junio de 1961.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F68AF">
        <w:rPr>
          <w:rFonts w:ascii="Arial" w:hAnsi="Arial" w:cs="Arial"/>
          <w:sz w:val="24"/>
          <w:szCs w:val="24"/>
        </w:rPr>
        <w:t>Art. 64.- La presente ley entrará en vigencia desde el día primero de Marzo próximo.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DADO EN EL SALON DE SESIONES DE LA ASAMBLEA LEGISLATIVA; PALACIO NACIONAL: San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Salvador, a los dieciocho días del mes de febrero de mil novecientos cincuenta y ocho.</w:t>
      </w:r>
    </w:p>
    <w:p w:rsidR="003F68AF" w:rsidRPr="003F68AF" w:rsidRDefault="003F68AF" w:rsidP="00A16D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Víctor Manuel Esquivel,</w:t>
      </w:r>
    </w:p>
    <w:p w:rsidR="003F68AF" w:rsidRPr="003F68AF" w:rsidRDefault="003F68AF" w:rsidP="00A16D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Presidente.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 xml:space="preserve">René Carmona </w:t>
      </w:r>
      <w:proofErr w:type="spellStart"/>
      <w:r w:rsidRPr="003F68AF">
        <w:rPr>
          <w:rFonts w:ascii="Arial" w:hAnsi="Arial" w:cs="Arial"/>
          <w:sz w:val="24"/>
          <w:szCs w:val="24"/>
        </w:rPr>
        <w:t>Dárdamo</w:t>
      </w:r>
      <w:proofErr w:type="spellEnd"/>
      <w:r w:rsidRPr="003F68AF">
        <w:rPr>
          <w:rFonts w:ascii="Arial" w:hAnsi="Arial" w:cs="Arial"/>
          <w:sz w:val="24"/>
          <w:szCs w:val="24"/>
        </w:rPr>
        <w:t xml:space="preserve"> Pedro </w:t>
      </w:r>
      <w:proofErr w:type="spellStart"/>
      <w:r w:rsidRPr="003F68AF">
        <w:rPr>
          <w:rFonts w:ascii="Arial" w:hAnsi="Arial" w:cs="Arial"/>
          <w:sz w:val="24"/>
          <w:szCs w:val="24"/>
        </w:rPr>
        <w:t>Urquilla</w:t>
      </w:r>
      <w:proofErr w:type="spellEnd"/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 xml:space="preserve">Vicepresidente </w:t>
      </w:r>
      <w:proofErr w:type="spellStart"/>
      <w:r w:rsidRPr="003F68AF">
        <w:rPr>
          <w:rFonts w:ascii="Arial" w:hAnsi="Arial" w:cs="Arial"/>
          <w:sz w:val="24"/>
          <w:szCs w:val="24"/>
        </w:rPr>
        <w:t>Vicepresidente</w:t>
      </w:r>
      <w:proofErr w:type="spellEnd"/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3F68AF">
        <w:rPr>
          <w:rFonts w:ascii="Arial" w:hAnsi="Arial" w:cs="Arial"/>
          <w:sz w:val="24"/>
          <w:szCs w:val="24"/>
        </w:rPr>
        <w:t>Joaquin</w:t>
      </w:r>
      <w:proofErr w:type="spellEnd"/>
      <w:r w:rsidRPr="003F68AF">
        <w:rPr>
          <w:rFonts w:ascii="Arial" w:hAnsi="Arial" w:cs="Arial"/>
          <w:sz w:val="24"/>
          <w:szCs w:val="24"/>
        </w:rPr>
        <w:t xml:space="preserve"> Castro </w:t>
      </w:r>
      <w:proofErr w:type="spellStart"/>
      <w:r w:rsidRPr="003F68AF">
        <w:rPr>
          <w:rFonts w:ascii="Arial" w:hAnsi="Arial" w:cs="Arial"/>
          <w:sz w:val="24"/>
          <w:szCs w:val="24"/>
        </w:rPr>
        <w:t>Canizales</w:t>
      </w:r>
      <w:proofErr w:type="spellEnd"/>
      <w:r w:rsidRPr="003F68AF">
        <w:rPr>
          <w:rFonts w:ascii="Arial" w:hAnsi="Arial" w:cs="Arial"/>
          <w:sz w:val="24"/>
          <w:szCs w:val="24"/>
        </w:rPr>
        <w:t xml:space="preserve">, </w:t>
      </w:r>
      <w:r w:rsidR="00A16D7A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3F68AF">
        <w:rPr>
          <w:rFonts w:ascii="Arial" w:hAnsi="Arial" w:cs="Arial"/>
          <w:sz w:val="24"/>
          <w:szCs w:val="24"/>
        </w:rPr>
        <w:t>Luis Alonso Rendón,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 xml:space="preserve">Primer Secretario. </w:t>
      </w:r>
      <w:r w:rsidR="00A16D7A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3F68AF">
        <w:rPr>
          <w:rFonts w:ascii="Arial" w:hAnsi="Arial" w:cs="Arial"/>
          <w:sz w:val="24"/>
          <w:szCs w:val="24"/>
        </w:rPr>
        <w:t>Primer Secretario.</w:t>
      </w:r>
    </w:p>
    <w:p w:rsidR="003F68AF" w:rsidRPr="003F68AF" w:rsidRDefault="003F68AF" w:rsidP="00A16D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 xml:space="preserve">Erasmo Antonio </w:t>
      </w:r>
      <w:proofErr w:type="spellStart"/>
      <w:r w:rsidRPr="003F68AF">
        <w:rPr>
          <w:rFonts w:ascii="Arial" w:hAnsi="Arial" w:cs="Arial"/>
          <w:sz w:val="24"/>
          <w:szCs w:val="24"/>
        </w:rPr>
        <w:t>Zaldaña</w:t>
      </w:r>
      <w:proofErr w:type="spellEnd"/>
      <w:r w:rsidRPr="003F68AF">
        <w:rPr>
          <w:rFonts w:ascii="Arial" w:hAnsi="Arial" w:cs="Arial"/>
          <w:sz w:val="24"/>
          <w:szCs w:val="24"/>
        </w:rPr>
        <w:t>,</w:t>
      </w:r>
    </w:p>
    <w:p w:rsidR="003F68AF" w:rsidRPr="003F68AF" w:rsidRDefault="003F68AF" w:rsidP="00A16D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Primer Secretario.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 xml:space="preserve">Carlos Serrano García, </w:t>
      </w:r>
      <w:r w:rsidR="00A16D7A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3F68AF">
        <w:rPr>
          <w:rFonts w:ascii="Arial" w:hAnsi="Arial" w:cs="Arial"/>
          <w:sz w:val="24"/>
          <w:szCs w:val="24"/>
        </w:rPr>
        <w:t xml:space="preserve">Rafael </w:t>
      </w:r>
      <w:proofErr w:type="spellStart"/>
      <w:r w:rsidRPr="003F68AF">
        <w:rPr>
          <w:rFonts w:ascii="Arial" w:hAnsi="Arial" w:cs="Arial"/>
          <w:sz w:val="24"/>
          <w:szCs w:val="24"/>
        </w:rPr>
        <w:t>Aráuz</w:t>
      </w:r>
      <w:proofErr w:type="spellEnd"/>
      <w:r w:rsidRPr="003F68AF">
        <w:rPr>
          <w:rFonts w:ascii="Arial" w:hAnsi="Arial" w:cs="Arial"/>
          <w:sz w:val="24"/>
          <w:szCs w:val="24"/>
        </w:rPr>
        <w:t xml:space="preserve"> Rodríguez,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 xml:space="preserve">Segundo Secretario. </w:t>
      </w:r>
      <w:r w:rsidR="00A16D7A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3F68AF">
        <w:rPr>
          <w:rFonts w:ascii="Arial" w:hAnsi="Arial" w:cs="Arial"/>
          <w:sz w:val="24"/>
          <w:szCs w:val="24"/>
        </w:rPr>
        <w:t>Segundo Secretario.</w:t>
      </w:r>
    </w:p>
    <w:p w:rsidR="003F68AF" w:rsidRPr="003F68AF" w:rsidRDefault="003F68AF" w:rsidP="00A16D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 xml:space="preserve">Francisco Valladares </w:t>
      </w:r>
      <w:proofErr w:type="spellStart"/>
      <w:r w:rsidRPr="003F68AF">
        <w:rPr>
          <w:rFonts w:ascii="Arial" w:hAnsi="Arial" w:cs="Arial"/>
          <w:sz w:val="24"/>
          <w:szCs w:val="24"/>
        </w:rPr>
        <w:t>Vélis</w:t>
      </w:r>
      <w:proofErr w:type="spellEnd"/>
      <w:r w:rsidRPr="003F68AF">
        <w:rPr>
          <w:rFonts w:ascii="Arial" w:hAnsi="Arial" w:cs="Arial"/>
          <w:sz w:val="24"/>
          <w:szCs w:val="24"/>
        </w:rPr>
        <w:t>,</w:t>
      </w:r>
    </w:p>
    <w:p w:rsidR="003F68AF" w:rsidRPr="003F68AF" w:rsidRDefault="003F68AF" w:rsidP="00A16D7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Segundo Secretario.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CASA PRESIDENCIAL: San Salvador, a los dieciocho días del mes de febrero de mil</w:t>
      </w:r>
      <w:r w:rsidR="00BA1EC5">
        <w:rPr>
          <w:rFonts w:ascii="Arial" w:hAnsi="Arial" w:cs="Arial"/>
          <w:sz w:val="24"/>
          <w:szCs w:val="24"/>
        </w:rPr>
        <w:t xml:space="preserve"> </w:t>
      </w:r>
      <w:r w:rsidRPr="003F68AF">
        <w:rPr>
          <w:rFonts w:ascii="Arial" w:hAnsi="Arial" w:cs="Arial"/>
          <w:sz w:val="24"/>
          <w:szCs w:val="24"/>
        </w:rPr>
        <w:t>novecientos cincuenta y ocho.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PUBLIQUESE,</w:t>
      </w:r>
    </w:p>
    <w:p w:rsidR="003F68AF" w:rsidRPr="00BA1EC5" w:rsidRDefault="003F68AF" w:rsidP="00BA1EC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A1EC5">
        <w:rPr>
          <w:rFonts w:ascii="Arial" w:hAnsi="Arial" w:cs="Arial"/>
          <w:b/>
          <w:sz w:val="24"/>
          <w:szCs w:val="24"/>
        </w:rPr>
        <w:t>JOSE MARIA LEMUS,</w:t>
      </w:r>
    </w:p>
    <w:p w:rsidR="003F68AF" w:rsidRPr="003F68AF" w:rsidRDefault="003F68AF" w:rsidP="00BA1EC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PRESIDENTE DE LA REPUBLICA.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R.A. Carballo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Ministro de Justicia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D. O. Nº 35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TOMO Nº 178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3F68AF">
        <w:rPr>
          <w:rFonts w:ascii="Arial" w:hAnsi="Arial" w:cs="Arial"/>
          <w:sz w:val="24"/>
          <w:szCs w:val="24"/>
        </w:rPr>
        <w:t>FECHA :</w:t>
      </w:r>
      <w:proofErr w:type="gramEnd"/>
      <w:r w:rsidRPr="003F68AF">
        <w:rPr>
          <w:rFonts w:ascii="Arial" w:hAnsi="Arial" w:cs="Arial"/>
          <w:sz w:val="24"/>
          <w:szCs w:val="24"/>
        </w:rPr>
        <w:t xml:space="preserve"> 20 de Febrero de 1958</w:t>
      </w:r>
    </w:p>
    <w:p w:rsidR="003F68AF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REFORMAS: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(1) D.L. Nº 2822, 30 de marzo de 1959.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lastRenderedPageBreak/>
        <w:t>D. O. Nº 64, T. 183, 10 de abril de 1959.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(2) D. L. Nº 69, 18 de Enero de 1961.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D. O. Nº 15, T. 190, 23 de enero de 1961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(3) D. L. Nº 80, 20 de marzo de 1961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D. O. Nº 58, T. 190, 23 de marzo de 1961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(4) D. L. Nº 524, 4 de diciembre de 1967.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D. O. Nº 231, T. 217, 15 de diciembre de 1967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(5) D. L. Nº 576, 4 de diciembre de 1969.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D. O. Nº 233, T. 225, 15 de diciembre de 1969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(6) D. L. Nº 624, 30 de mayo de 1974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D. O. Nº 109, T. 243, 13 de abril de 1974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(7) D. L. Nº 399, 10 de noviembre de 1977.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D. O. Nº 219, T. 257, 25 de noviembre de 1977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(8) D. L. Nº 286, 18 de julio de 1989.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D. O. Nº 140, T. 304, 28 de julio de 1989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(9) D. L. Nº 641, 24 de noviembre de 1990.</w:t>
      </w:r>
    </w:p>
    <w:p w:rsidR="003F68AF" w:rsidRPr="00BA1EC5" w:rsidRDefault="003F68AF" w:rsidP="003F68A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A1EC5">
        <w:rPr>
          <w:rFonts w:ascii="Arial" w:hAnsi="Arial" w:cs="Arial"/>
          <w:sz w:val="18"/>
          <w:szCs w:val="18"/>
        </w:rPr>
        <w:t>D. O. Nº 286, T. 309, 20 de diciembre de 1990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INTERPRETACION AUTENTICA: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D. L. Nº 188, 23 de junio de 1961.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D. O. Nº 116, T. 191, 28 de junio de 1961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16D7A">
        <w:rPr>
          <w:rFonts w:ascii="Arial" w:hAnsi="Arial" w:cs="Arial"/>
          <w:b/>
          <w:bCs/>
          <w:sz w:val="24"/>
          <w:szCs w:val="24"/>
          <w:u w:val="single"/>
        </w:rPr>
        <w:t>NOTA</w:t>
      </w:r>
      <w:r w:rsidRPr="003F68AF">
        <w:rPr>
          <w:rFonts w:ascii="Arial" w:hAnsi="Arial" w:cs="Arial"/>
          <w:b/>
          <w:bCs/>
          <w:sz w:val="24"/>
          <w:szCs w:val="24"/>
        </w:rPr>
        <w:t>: EL DECRETO 80/61, ESTABLECE LOS CANONES DE ALQUILER DE LAS PIEZAS DE</w:t>
      </w:r>
      <w:r w:rsidR="00BA1E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F68AF">
        <w:rPr>
          <w:rFonts w:ascii="Arial" w:hAnsi="Arial" w:cs="Arial"/>
          <w:b/>
          <w:bCs/>
          <w:sz w:val="24"/>
          <w:szCs w:val="24"/>
        </w:rPr>
        <w:t>MESONES.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F68AF">
        <w:rPr>
          <w:rFonts w:ascii="Arial" w:hAnsi="Arial" w:cs="Arial"/>
          <w:b/>
          <w:bCs/>
          <w:sz w:val="24"/>
          <w:szCs w:val="24"/>
        </w:rPr>
        <w:t>DEROGATORIA PARCIAL:</w:t>
      </w:r>
    </w:p>
    <w:p w:rsidR="003F68AF" w:rsidRPr="003F68AF" w:rsidRDefault="003F68AF" w:rsidP="003F68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8AF">
        <w:rPr>
          <w:rFonts w:ascii="Arial" w:hAnsi="Arial" w:cs="Arial"/>
          <w:sz w:val="24"/>
          <w:szCs w:val="24"/>
        </w:rPr>
        <w:t>D.L. No. 712, 18 DE SEPTIEMBRE DE 2008;</w:t>
      </w:r>
    </w:p>
    <w:p w:rsidR="003F68AF" w:rsidRPr="00A16D7A" w:rsidRDefault="003F68AF" w:rsidP="003F68A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BA1EC5">
        <w:rPr>
          <w:rFonts w:ascii="Arial" w:hAnsi="Arial" w:cs="Arial"/>
          <w:sz w:val="24"/>
          <w:szCs w:val="24"/>
          <w:u w:val="single"/>
        </w:rPr>
        <w:t xml:space="preserve">D.O. No. 224, T. 381, 27 DE NOVIEMBRE DE 2008. </w:t>
      </w:r>
      <w:r w:rsidRPr="00A16D7A">
        <w:rPr>
          <w:rFonts w:ascii="Arial" w:hAnsi="Arial" w:cs="Arial"/>
          <w:b/>
          <w:bCs/>
          <w:sz w:val="20"/>
          <w:szCs w:val="20"/>
          <w:u w:val="single"/>
        </w:rPr>
        <w:t>(Normas Procesales, CAPITULO V, Art. 30 al 54-A)</w:t>
      </w:r>
    </w:p>
    <w:p w:rsidR="003F68AF" w:rsidRPr="00A16D7A" w:rsidRDefault="003F68AF" w:rsidP="003F68AF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A16D7A">
        <w:rPr>
          <w:rFonts w:ascii="Arial" w:hAnsi="Arial" w:cs="Arial"/>
          <w:sz w:val="12"/>
          <w:szCs w:val="12"/>
        </w:rPr>
        <w:t>CC/</w:t>
      </w:r>
      <w:proofErr w:type="spellStart"/>
      <w:r w:rsidRPr="00A16D7A">
        <w:rPr>
          <w:rFonts w:ascii="Arial" w:hAnsi="Arial" w:cs="Arial"/>
          <w:sz w:val="12"/>
          <w:szCs w:val="12"/>
        </w:rPr>
        <w:t>ngcl</w:t>
      </w:r>
      <w:proofErr w:type="spellEnd"/>
    </w:p>
    <w:p w:rsidR="003F68AF" w:rsidRPr="00A16D7A" w:rsidRDefault="003F68AF" w:rsidP="003F68AF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A16D7A">
        <w:rPr>
          <w:rFonts w:ascii="Arial" w:hAnsi="Arial" w:cs="Arial"/>
          <w:sz w:val="12"/>
          <w:szCs w:val="12"/>
        </w:rPr>
        <w:t>20/02/ 09</w:t>
      </w:r>
    </w:p>
    <w:p w:rsidR="003F68AF" w:rsidRPr="00A16D7A" w:rsidRDefault="003F68AF" w:rsidP="003F68AF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A16D7A">
        <w:rPr>
          <w:rFonts w:ascii="Arial" w:hAnsi="Arial" w:cs="Arial"/>
          <w:sz w:val="12"/>
          <w:szCs w:val="12"/>
        </w:rPr>
        <w:t>SV/</w:t>
      </w:r>
      <w:proofErr w:type="spellStart"/>
      <w:r w:rsidRPr="00A16D7A">
        <w:rPr>
          <w:rFonts w:ascii="Arial" w:hAnsi="Arial" w:cs="Arial"/>
          <w:sz w:val="12"/>
          <w:szCs w:val="12"/>
        </w:rPr>
        <w:t>ngc</w:t>
      </w:r>
      <w:proofErr w:type="spellEnd"/>
    </w:p>
    <w:p w:rsidR="003F68AF" w:rsidRPr="00A16D7A" w:rsidRDefault="003F68AF" w:rsidP="003F68AF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A16D7A">
        <w:rPr>
          <w:rFonts w:ascii="Arial" w:hAnsi="Arial" w:cs="Arial"/>
          <w:sz w:val="12"/>
          <w:szCs w:val="12"/>
        </w:rPr>
        <w:t>05/05/2010</w:t>
      </w:r>
    </w:p>
    <w:p w:rsidR="003F68AF" w:rsidRPr="00A16D7A" w:rsidRDefault="003F68AF" w:rsidP="003F68AF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 w:rsidRPr="00A16D7A">
        <w:rPr>
          <w:rFonts w:ascii="Arial" w:hAnsi="Arial" w:cs="Arial"/>
          <w:sz w:val="12"/>
          <w:szCs w:val="12"/>
        </w:rPr>
        <w:t>JCH</w:t>
      </w:r>
    </w:p>
    <w:p w:rsidR="00620457" w:rsidRPr="00A16D7A" w:rsidRDefault="003F68AF" w:rsidP="003F68AF">
      <w:pPr>
        <w:rPr>
          <w:rFonts w:ascii="Arial" w:hAnsi="Arial" w:cs="Arial"/>
          <w:sz w:val="12"/>
          <w:szCs w:val="12"/>
        </w:rPr>
      </w:pPr>
      <w:r w:rsidRPr="00A16D7A">
        <w:rPr>
          <w:rFonts w:ascii="Arial" w:hAnsi="Arial" w:cs="Arial"/>
          <w:sz w:val="12"/>
          <w:szCs w:val="12"/>
        </w:rPr>
        <w:t>30/06/2010</w:t>
      </w:r>
    </w:p>
    <w:sectPr w:rsidR="00620457" w:rsidRPr="00A16D7A" w:rsidSect="00BA1E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50"/>
    <w:rsid w:val="00203A65"/>
    <w:rsid w:val="003F68AF"/>
    <w:rsid w:val="00620457"/>
    <w:rsid w:val="007B7745"/>
    <w:rsid w:val="00A16D7A"/>
    <w:rsid w:val="00BA1EC5"/>
    <w:rsid w:val="00C66359"/>
    <w:rsid w:val="00F01AED"/>
    <w:rsid w:val="00F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196F-6651-4323-8E88-B9F93A7F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5680</Words>
  <Characters>31246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REGGNETWORK</Company>
  <LinksUpToDate>false</LinksUpToDate>
  <CharactersWithSpaces>36853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4</cp:revision>
  <dcterms:created xsi:type="dcterms:W3CDTF">2013-02-15T21:56:00Z</dcterms:created>
  <dcterms:modified xsi:type="dcterms:W3CDTF">2013-02-15T22:31:00Z</dcterms:modified>
</cp:coreProperties>
</file>