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62" w:rsidRDefault="00402662" w:rsidP="00402662">
      <w:pPr>
        <w:spacing w:line="360" w:lineRule="auto"/>
        <w:jc w:val="both"/>
        <w:rPr>
          <w:bCs/>
          <w:sz w:val="22"/>
          <w:szCs w:val="22"/>
        </w:rPr>
      </w:pPr>
      <w:r w:rsidRPr="00604643">
        <w:rPr>
          <w:bCs/>
          <w:sz w:val="22"/>
          <w:szCs w:val="22"/>
          <w:highlight w:val="cyan"/>
        </w:rPr>
        <w:t>3) Cadena de custodia:</w:t>
      </w:r>
    </w:p>
    <w:p w:rsidR="00402662" w:rsidRDefault="00402662" w:rsidP="00402662">
      <w:pPr>
        <w:spacing w:line="360" w:lineRule="auto"/>
        <w:jc w:val="both"/>
        <w:rPr>
          <w:bCs/>
          <w:sz w:val="22"/>
          <w:szCs w:val="22"/>
        </w:rPr>
      </w:pPr>
      <w:r>
        <w:rPr>
          <w:bCs/>
          <w:sz w:val="22"/>
          <w:szCs w:val="22"/>
        </w:rPr>
        <w:t xml:space="preserve">Como otra subespecie de la regulación preventiva de su licitud en determinadas condiciones, el Código incluye una regla de tratamiento procesal de lo denominada “cadena de custodia de la prueba”, más próxima a las particularidades de un proceso penal que civil, aunque igualmente útil. Del enunciado del art. 322 CPCM se desprenden dos presupuestos para poner en marcha la garantía –pues eso en esencia comporta- de la cadena de custodia: </w:t>
      </w:r>
    </w:p>
    <w:p w:rsidR="00402662" w:rsidRDefault="00402662" w:rsidP="00402662">
      <w:pPr>
        <w:spacing w:line="360" w:lineRule="auto"/>
        <w:jc w:val="both"/>
        <w:rPr>
          <w:bCs/>
          <w:sz w:val="22"/>
          <w:szCs w:val="22"/>
        </w:rPr>
      </w:pPr>
      <w:r>
        <w:rPr>
          <w:bCs/>
          <w:sz w:val="22"/>
          <w:szCs w:val="22"/>
        </w:rPr>
        <w:t xml:space="preserve">a) Que se traten de bienes muebles susceptibles de ser alterados, degradados o adulterados física o químicamente, se entiende que generalmente por acción consciente del hombre aunque podría serlo también por efecto de la naturaleza. Esos bienes muebles, según el dictado de la ley, pueden ser: “objetos, substancias, documentos u otros elementos tangibles”; </w:t>
      </w:r>
    </w:p>
    <w:p w:rsidR="00402662" w:rsidRDefault="00402662" w:rsidP="00402662">
      <w:pPr>
        <w:spacing w:line="360" w:lineRule="auto"/>
        <w:jc w:val="both"/>
        <w:rPr>
          <w:bCs/>
          <w:sz w:val="22"/>
          <w:szCs w:val="22"/>
        </w:rPr>
      </w:pPr>
      <w:r>
        <w:rPr>
          <w:bCs/>
          <w:sz w:val="22"/>
          <w:szCs w:val="22"/>
        </w:rPr>
        <w:t>b) Que tales cosas físicas se han conservado en el mismo estado que presentaban cuando sobre ellas se realizó una prueba pericial, el cual sirvió para obtener datos útiles a la contienda, de tal manera que quien ha estado en posesión de esos objetos, documentos, etc. ha cuidado de ellos con la suficiente diligencia como para evitar su destrucción o alteración, pues de producirse éstas impediría contrastar los resultados de aquella pericial anterior con otra contemporánea, o arrojaría conclusiones erróneas y distintas de las que correspondería. El bien mueble, pues, interesa no solamente por sí mismo sino por las apreciaciones técnica que se pueden hacer sobre él (huellas dactilares, pruebas químicas, data de antigüedad, etc.), y la persona que aporta la prueba, que es la interesada en que surta efectos en la sentencia, trata así de demostrar que “la cadena de custodia” no se ha roto ni interrumpido –dígase como se prefiera- ni desde el punto de vista subjetivo (el bien no estuvo en manos de otra persona) ni tampoco objetivo o cualitativo (no se ha degradado ni adulterado).</w:t>
      </w:r>
    </w:p>
    <w:p w:rsidR="00402662" w:rsidRDefault="00402662" w:rsidP="00402662">
      <w:pPr>
        <w:spacing w:line="360" w:lineRule="auto"/>
        <w:jc w:val="both"/>
        <w:rPr>
          <w:bCs/>
          <w:sz w:val="22"/>
          <w:szCs w:val="22"/>
        </w:rPr>
      </w:pPr>
      <w:r>
        <w:rPr>
          <w:bCs/>
          <w:sz w:val="22"/>
          <w:szCs w:val="22"/>
        </w:rPr>
        <w:t xml:space="preserve">c) Sobre esta doble base, el Código prevé que quien desee valerse de este tipo de pruebas explicite en el trámite procesal donde se propone su admisión en la litis (sea en la demanda o la contestación, sea en la audiencia preparatoria, etc.) cómo y por qué se ha cumplido rigurosamente con la cadena de custodia, lo que hace fiable a la prueba. Tal justificación no resultará sin embargo necesaria cuando “se tratare de objetos que tengan características distintivas que los hagan fácilmente identificables, ni cuando los objetos hubieran sido debidamente marcados” (art. 322 párrafo tercero CPCM). Este último supuesto se refiere, precisamente, a que la prueba hubiere sido ya admitida previamente siguiendo los requisitos del art. 325 que antes repasamos, de tal manera que la prueba quedó “marcada”. No obstante, si lo que se está discutiendo es la validez de la cadena de custodia de esa prueba que a pesar de resultar admitida en el proceso quedó, por orden del juez, bajo vigilancia de un tercero depositario o de la parte interesada durante un tiempo determinado, el hecho de que inicialmente haya sido admitida (“marcada”) porque entonces se apreció </w:t>
      </w:r>
      <w:r>
        <w:rPr>
          <w:bCs/>
          <w:i/>
          <w:iCs/>
          <w:sz w:val="22"/>
          <w:szCs w:val="22"/>
        </w:rPr>
        <w:t>prima facie</w:t>
      </w:r>
      <w:r>
        <w:rPr>
          <w:bCs/>
          <w:sz w:val="22"/>
          <w:szCs w:val="22"/>
        </w:rPr>
        <w:t xml:space="preserve"> </w:t>
      </w:r>
      <w:r>
        <w:rPr>
          <w:bCs/>
          <w:sz w:val="22"/>
          <w:szCs w:val="22"/>
        </w:rPr>
        <w:lastRenderedPageBreak/>
        <w:t>fidedigna, no descarta en absoluto que haya podido ser manipulada después. De allí que esta presunta excepción del art. 322 no rija de manera absoluta, y que a pesar de estar “marcada” la prueba, ello no obste al control de la respectiva cadena de custodia cuando así se inste.</w:t>
      </w:r>
    </w:p>
    <w:p w:rsidR="00402662" w:rsidRDefault="00402662" w:rsidP="00402662">
      <w:pPr>
        <w:spacing w:line="360" w:lineRule="auto"/>
        <w:jc w:val="both"/>
        <w:rPr>
          <w:bCs/>
          <w:sz w:val="22"/>
          <w:szCs w:val="22"/>
        </w:rPr>
      </w:pPr>
      <w:r>
        <w:rPr>
          <w:bCs/>
          <w:sz w:val="22"/>
          <w:szCs w:val="22"/>
        </w:rPr>
        <w:t xml:space="preserve">d) De todos modos, aunque la prueba se admita e ingrese en autos, la parte contraria podrá probar en juicio que hubo interrupción de la cadena de custodia, probando a su vez la alteración o contaminación del bien mueble, debiendo el juez resolver en sentencia lo que corresponda a la luz de lo alegado por cada parte y la prueba que se presente a su vez de ello, no bastando para invalidarla con que considere “la mera posibilidad” de la interrupción: ésta ha de haber quedado acreditada de manera cierta (art. 322 </w:t>
      </w:r>
      <w:r>
        <w:rPr>
          <w:bCs/>
          <w:i/>
          <w:iCs/>
          <w:sz w:val="22"/>
          <w:szCs w:val="22"/>
        </w:rPr>
        <w:t>in fine</w:t>
      </w:r>
      <w:r>
        <w:rPr>
          <w:bCs/>
          <w:sz w:val="22"/>
          <w:szCs w:val="22"/>
        </w:rPr>
        <w:t>).</w:t>
      </w:r>
    </w:p>
    <w:p w:rsidR="00187D59" w:rsidRDefault="00187D59"/>
    <w:p w:rsidR="00402662" w:rsidRDefault="00402662"/>
    <w:sectPr w:rsidR="00402662" w:rsidSect="00187D5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402662"/>
    <w:rsid w:val="00187D59"/>
    <w:rsid w:val="0040266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6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3289</Characters>
  <Application>Microsoft Office Word</Application>
  <DocSecurity>0</DocSecurity>
  <Lines>27</Lines>
  <Paragraphs>7</Paragraphs>
  <ScaleCrop>false</ScaleCrop>
  <Company>uR V3</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dc:creator>
  <cp:keywords/>
  <dc:description/>
  <cp:lastModifiedBy>Angelical</cp:lastModifiedBy>
  <cp:revision>1</cp:revision>
  <dcterms:created xsi:type="dcterms:W3CDTF">2010-09-10T18:06:00Z</dcterms:created>
  <dcterms:modified xsi:type="dcterms:W3CDTF">2010-09-10T18:08:00Z</dcterms:modified>
</cp:coreProperties>
</file>