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D5B" w:rsidRDefault="00643D5B" w:rsidP="00643D5B">
      <w:pPr>
        <w:spacing w:line="360" w:lineRule="auto"/>
        <w:jc w:val="center"/>
        <w:rPr>
          <w:b/>
          <w:sz w:val="22"/>
          <w:szCs w:val="22"/>
        </w:rPr>
      </w:pPr>
      <w:r>
        <w:rPr>
          <w:b/>
          <w:sz w:val="22"/>
          <w:szCs w:val="22"/>
        </w:rPr>
        <w:t>TÍTULO TERCERO</w:t>
      </w:r>
    </w:p>
    <w:p w:rsidR="00643D5B" w:rsidRDefault="00643D5B" w:rsidP="00643D5B">
      <w:pPr>
        <w:spacing w:line="360" w:lineRule="auto"/>
        <w:jc w:val="center"/>
        <w:rPr>
          <w:b/>
          <w:sz w:val="22"/>
          <w:szCs w:val="22"/>
        </w:rPr>
      </w:pPr>
      <w:r>
        <w:rPr>
          <w:b/>
          <w:sz w:val="22"/>
          <w:szCs w:val="22"/>
        </w:rPr>
        <w:t>EL PROCESO ABREVIADO</w:t>
      </w:r>
    </w:p>
    <w:p w:rsidR="00643D5B" w:rsidRDefault="00643D5B" w:rsidP="00643D5B">
      <w:pPr>
        <w:spacing w:line="360" w:lineRule="auto"/>
        <w:jc w:val="right"/>
        <w:rPr>
          <w:b/>
          <w:sz w:val="22"/>
          <w:szCs w:val="22"/>
        </w:rPr>
      </w:pPr>
      <w:r>
        <w:rPr>
          <w:b/>
          <w:sz w:val="22"/>
          <w:szCs w:val="22"/>
        </w:rPr>
        <w:t>Santiago Garderes</w:t>
      </w:r>
    </w:p>
    <w:p w:rsidR="00643D5B" w:rsidRDefault="00643D5B" w:rsidP="00643D5B">
      <w:pPr>
        <w:spacing w:line="360" w:lineRule="auto"/>
        <w:jc w:val="both"/>
        <w:rPr>
          <w:sz w:val="22"/>
          <w:szCs w:val="22"/>
        </w:rPr>
      </w:pPr>
    </w:p>
    <w:p w:rsidR="00643D5B" w:rsidRDefault="00643D5B" w:rsidP="00643D5B">
      <w:pPr>
        <w:spacing w:line="360" w:lineRule="auto"/>
        <w:jc w:val="center"/>
        <w:rPr>
          <w:b/>
          <w:sz w:val="22"/>
          <w:szCs w:val="22"/>
        </w:rPr>
      </w:pPr>
      <w:r>
        <w:rPr>
          <w:b/>
          <w:sz w:val="22"/>
          <w:szCs w:val="22"/>
        </w:rPr>
        <w:t>SUMARIO:</w:t>
      </w:r>
    </w:p>
    <w:p w:rsidR="00643D5B" w:rsidRDefault="00643D5B" w:rsidP="00643D5B">
      <w:pPr>
        <w:spacing w:line="360" w:lineRule="auto"/>
        <w:jc w:val="center"/>
        <w:rPr>
          <w:sz w:val="22"/>
          <w:szCs w:val="22"/>
        </w:rPr>
      </w:pPr>
      <w:r>
        <w:rPr>
          <w:sz w:val="22"/>
          <w:szCs w:val="22"/>
        </w:rPr>
        <w:t>I. Ámbito de aplicación. II. La demanda. III. La audiencia.</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p>
    <w:p w:rsidR="00643D5B" w:rsidRDefault="00643D5B" w:rsidP="00643D5B">
      <w:pPr>
        <w:widowControl/>
        <w:numPr>
          <w:ilvl w:val="0"/>
          <w:numId w:val="2"/>
        </w:numPr>
        <w:suppressAutoHyphens w:val="0"/>
        <w:overflowPunct/>
        <w:autoSpaceDE/>
        <w:autoSpaceDN/>
        <w:adjustRightInd/>
        <w:spacing w:line="360" w:lineRule="auto"/>
        <w:jc w:val="both"/>
        <w:textAlignment w:val="auto"/>
        <w:rPr>
          <w:b/>
          <w:sz w:val="22"/>
          <w:szCs w:val="22"/>
        </w:rPr>
      </w:pPr>
      <w:r>
        <w:rPr>
          <w:b/>
          <w:sz w:val="22"/>
          <w:szCs w:val="22"/>
        </w:rPr>
        <w:t>Ámbito de aplicación</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El proceso abreviado integra, junto con el proceso común, los procesos declarativos previstos en el CPCM.</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Su ámbito de aplicación resulta de lo dispuesto en el artículo 241, y podrá derivar de la cuantía de la demanda o de su objeto, según veremos. Tramitan por este proceso, las demandas cuya cuantía no supere los veinticinco mil colones o su equivalente en dólares. También se decidirán por este trámite, cualquiera sea su cuantía, las siguientes pretensiones: </w:t>
      </w:r>
    </w:p>
    <w:p w:rsidR="00643D5B" w:rsidRDefault="00643D5B" w:rsidP="00643D5B">
      <w:pPr>
        <w:spacing w:line="360" w:lineRule="auto"/>
        <w:jc w:val="both"/>
        <w:rPr>
          <w:sz w:val="22"/>
          <w:szCs w:val="22"/>
        </w:rPr>
      </w:pPr>
    </w:p>
    <w:p w:rsidR="00643D5B" w:rsidRDefault="00643D5B" w:rsidP="00643D5B">
      <w:pPr>
        <w:widowControl/>
        <w:numPr>
          <w:ilvl w:val="0"/>
          <w:numId w:val="1"/>
        </w:numPr>
        <w:suppressAutoHyphens w:val="0"/>
        <w:overflowPunct/>
        <w:autoSpaceDE/>
        <w:autoSpaceDN/>
        <w:adjustRightInd/>
        <w:spacing w:line="360" w:lineRule="auto"/>
        <w:jc w:val="both"/>
        <w:textAlignment w:val="auto"/>
        <w:rPr>
          <w:sz w:val="22"/>
          <w:szCs w:val="22"/>
        </w:rPr>
      </w:pPr>
      <w:r>
        <w:rPr>
          <w:sz w:val="22"/>
          <w:szCs w:val="22"/>
        </w:rPr>
        <w:t>Las demandas de liquidación de daños y perjuicios</w:t>
      </w:r>
    </w:p>
    <w:p w:rsidR="00643D5B" w:rsidRDefault="00643D5B" w:rsidP="00643D5B">
      <w:pPr>
        <w:widowControl/>
        <w:numPr>
          <w:ilvl w:val="0"/>
          <w:numId w:val="1"/>
        </w:numPr>
        <w:suppressAutoHyphens w:val="0"/>
        <w:overflowPunct/>
        <w:autoSpaceDE/>
        <w:autoSpaceDN/>
        <w:adjustRightInd/>
        <w:spacing w:line="360" w:lineRule="auto"/>
        <w:jc w:val="both"/>
        <w:textAlignment w:val="auto"/>
        <w:rPr>
          <w:sz w:val="22"/>
          <w:szCs w:val="22"/>
        </w:rPr>
      </w:pPr>
      <w:r>
        <w:rPr>
          <w:sz w:val="22"/>
          <w:szCs w:val="22"/>
        </w:rPr>
        <w:t>Las demandas de oposición a la reposición judicial de títulos valores.</w:t>
      </w:r>
    </w:p>
    <w:p w:rsidR="00643D5B" w:rsidRDefault="00643D5B" w:rsidP="00643D5B">
      <w:pPr>
        <w:widowControl/>
        <w:numPr>
          <w:ilvl w:val="0"/>
          <w:numId w:val="1"/>
        </w:numPr>
        <w:suppressAutoHyphens w:val="0"/>
        <w:overflowPunct/>
        <w:autoSpaceDE/>
        <w:autoSpaceDN/>
        <w:adjustRightInd/>
        <w:spacing w:line="360" w:lineRule="auto"/>
        <w:jc w:val="both"/>
        <w:textAlignment w:val="auto"/>
        <w:rPr>
          <w:sz w:val="22"/>
          <w:szCs w:val="22"/>
        </w:rPr>
      </w:pPr>
      <w:r>
        <w:rPr>
          <w:sz w:val="22"/>
          <w:szCs w:val="22"/>
        </w:rPr>
        <w:t>Las demandas relativas a la disolución y liquidación judicial de una sociedad.</w:t>
      </w:r>
    </w:p>
    <w:p w:rsidR="00643D5B" w:rsidRDefault="00643D5B" w:rsidP="00643D5B">
      <w:pPr>
        <w:widowControl/>
        <w:numPr>
          <w:ilvl w:val="0"/>
          <w:numId w:val="1"/>
        </w:numPr>
        <w:suppressAutoHyphens w:val="0"/>
        <w:overflowPunct/>
        <w:autoSpaceDE/>
        <w:autoSpaceDN/>
        <w:adjustRightInd/>
        <w:spacing w:line="360" w:lineRule="auto"/>
        <w:jc w:val="both"/>
        <w:textAlignment w:val="auto"/>
        <w:rPr>
          <w:sz w:val="22"/>
          <w:szCs w:val="22"/>
        </w:rPr>
      </w:pPr>
      <w:r>
        <w:rPr>
          <w:sz w:val="22"/>
          <w:szCs w:val="22"/>
        </w:rPr>
        <w:t>Las demandas de nulidad de sociedades.</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Se trata de un proceso sumario, que procura la abreviación del trámite mediante una demanda simplificada, reglas limitativas de la acumulación y la concentración de actividad de alegación (contestación a la demanda), prueba y sentencia en audiencia.</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La regulación del proceso abreviado no contiene normas de integración, con la salvedad de la relativa a la producción de la prueba, aspecto en el que se remite a las reglas del proceso común. No obstante, será necesario integrar las disposiciones del proceso abreviado, con la normativa que rige el proceso común (que integra el género de los procesos declarativos), puesto que en muchos aspectos el marco normativo del proceso abreviado no resultará suficiente; en ese sentido, la integración de normas procesales que rigen supuestos análogos, en aspectos no previstos expresamente en la regulación del proceso abreviado, se funda en lo dispuesto en el artículo 19 del </w:t>
      </w:r>
      <w:r>
        <w:rPr>
          <w:sz w:val="22"/>
          <w:szCs w:val="22"/>
        </w:rPr>
        <w:lastRenderedPageBreak/>
        <w:t>C.P.C.M.</w:t>
      </w:r>
    </w:p>
    <w:p w:rsidR="00643D5B" w:rsidRDefault="00643D5B" w:rsidP="00643D5B">
      <w:pPr>
        <w:spacing w:line="360" w:lineRule="auto"/>
        <w:jc w:val="both"/>
        <w:rPr>
          <w:sz w:val="22"/>
          <w:szCs w:val="22"/>
        </w:rPr>
      </w:pPr>
    </w:p>
    <w:p w:rsidR="00643D5B" w:rsidRDefault="00643D5B" w:rsidP="00643D5B">
      <w:pPr>
        <w:widowControl/>
        <w:numPr>
          <w:ilvl w:val="0"/>
          <w:numId w:val="2"/>
        </w:numPr>
        <w:suppressAutoHyphens w:val="0"/>
        <w:overflowPunct/>
        <w:autoSpaceDE/>
        <w:autoSpaceDN/>
        <w:adjustRightInd/>
        <w:spacing w:line="360" w:lineRule="auto"/>
        <w:jc w:val="both"/>
        <w:textAlignment w:val="auto"/>
        <w:rPr>
          <w:b/>
          <w:sz w:val="22"/>
          <w:szCs w:val="22"/>
        </w:rPr>
      </w:pPr>
      <w:r>
        <w:rPr>
          <w:b/>
          <w:sz w:val="22"/>
          <w:szCs w:val="22"/>
        </w:rPr>
        <w:t>La demanda</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En estos procesos, se presentará una demanda simplificada, por escrito, que deberá contener los requisitos previstos en el artículo 418: designación del juzgado; identificación del demandante, del demandado y de aquellos otros interesados que deban ser llamados al proceso, así como sus domicilios; una enumeración suficiente de los hechos que justifiquen la razón de ser de la petición; la petición; fecha y firma.</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La simplificación de la demanda resulta de comparar los requisitos enunciados, con los previstos en el artículo 276 para la demanda del proceso común. La principal diferencia radica en la necesidad de un relato preciso y completo de los hechos, que debe efectuarse en la demanda del proceso común, siendo suficiente con una enumeración sucinta de los hechos en la demanda del proceso abreviado; aunque resultará aconsejable que el relato sea lo más claro, preciso y completo posible también en la demanda del proceso abreviado. Tampoco se requiere en la demanda simplificada del proceso abreviado, la indicación de los argumentos de derecho y las normas jurídicas que sustentan la pretensión, lo que sí está previsto para la demanda del proceso común; con la misma aclaración ya efectuada, en el sentido de que, en todo caso, podrá el demandante incluir tales referencias en la demanda simplificada del proceso abreviado.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La norma referida, no exige expresamente la presentación de los documentos que fundamenten la pretensión, como sí lo prevé el artículo 276 para la demanda del proceso común. Podría concluirse entonces, en una primera lectura de la norma, que los documentos podrán presentarse en la audiencia del proceso abreviado, teniendo presente que el artículo 428 faculta a las partes a proponer en audiencia las pruebas de que intenten valerse, sin limitantes como las previstas en los artículos 288 y 289 para el proceso común; de modo que la preclusión de aportación documental prevista en los citados artículos 288 y 289, sería de aplicación exclusiva al proceso común en virtud de la ubicación de esos artículos, y no al proceso abreviado. Sin embargo, no debe obviarse la referencia final del artículo 418, en cuanto dispone que “de la demanda y documentos que la acompañen se presentarán tantas copias como demandados y demás interesados en el proceso haya …”; lo que puede llevar a concluir que los documentos deben presentarse con la demanda, aunque la norma no lo exige con claridad. En definitiva, resultará conveniente presentar con la demanda los documentos en que se funda la pretensión, evitando de esa forma cualquier eventual duda </w:t>
      </w:r>
      <w:r>
        <w:rPr>
          <w:sz w:val="22"/>
          <w:szCs w:val="22"/>
        </w:rPr>
        <w:lastRenderedPageBreak/>
        <w:t>interpretativa en torno al momento previsto para la aportación documental. Por otra parte, la presentación inicial de los documentos en los que se funda la pretensión puede resultar necesaria para determinar el valor de la pretensión, del que dependerá el trámite a seguirse.</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Con relación a las restantes pruebas, podrán ser propuestas en la audiencia, con arreglo a lo previsto en el artículo 428. Las pruebas que, para practicarse en la audiencia, requieran diligencias de citación o requerimiento (por ejemplo, la citación de un testigo a efectos de su interrogatorio, o la designación de un perito judicial), podrán ser solicitadas al menos con tres días de antelación a la fecha de la audiencia (art. 428); si el demandante propusiera el reconocimiento judicial a realizarse fuera de la sede del tribunal, lo advertirá en la demanda a efectos de que pueda realizarse antes de la audiencia, oído el demandado.</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La acumulación objetiva de pretensiones se encuentra acotada, de acuerdo a lo previsto en el artículo 420, admitiéndose exclusivamente en los siguientes supuestos: cuando las pretenciones acumuladas estén basadas en los mismos hechos, siempre que deba seguirse en todo caso el proceso abreviado; cuando se ejercite una pretensión de resarcimiento de daños y perjuicios vinculada a otra pretensión que sea prejudicial de aquélla. Se establece de esa forma, un régimen limitativo de la acumulación objetiva, respecto del previsto con carácter general en el artículo 98, con arreglo al cual “el demandante podrá ejercer a la vez en la demanda cuantas pretensiones tenga contra un mismo demandado, con el único límite de que no sean incompatibles entre sí”, norma que se complementa con lo dispuesto en el artículo 100 (requisitos de la acumulación). … (prejudicialidad) Sin perjuicio de ello, podrá solicitarse posteriormente la acumulación de procesos abreviados entre los que exista conexión fáctica o jurídica, en los términos previstos en los artículos 106 y siguientes. En cuanto a la acumulación subjetiva de pretensiones, se rige por la regla general del artículo 104, que requiere la existencia de un nexo o conexión por razón del título o de la causa de pedir.</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Presentada la demanda, el juez efectuará un control de admisibilidad dentro del plazo de cinco días, dictando auto de admisión y señalando fecha de audiencia, si la demanda cumple con todos los presupuestos y requisitos. En caso contrario, si la demanda tuviera defectos subsanables, el juez concederá a la parte un plazo de cinco días para subsanarlos; si los defectos fueran insubsanables, declarará la demanda improponible, mediante resolución que admite apelación (puesto que pone fin al proceso).</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Admitida la demanda, el juez citará a audiencia, que deberá celebrarse entre los diez y los veinte </w:t>
      </w:r>
      <w:r>
        <w:rPr>
          <w:sz w:val="22"/>
          <w:szCs w:val="22"/>
        </w:rPr>
        <w:lastRenderedPageBreak/>
        <w:t>días siguientes a la citación, que será notificada al demandante, al demandado y demás interesados aludidos en la demanda, acompañándose copia de la demanda y demás documentos presentados con ella. Si bien la audiencia tendrá lugar en única convocatoria, podrán las partes solicitar la suspensión de la audiencia alegando justa causa, como resulta del artículo 425 y de lo dispuesto en los artículos 208 y 211 con carácter general.</w:t>
      </w:r>
    </w:p>
    <w:p w:rsidR="00643D5B" w:rsidRDefault="00643D5B" w:rsidP="00643D5B">
      <w:pPr>
        <w:spacing w:line="360" w:lineRule="auto"/>
        <w:jc w:val="both"/>
        <w:rPr>
          <w:sz w:val="22"/>
          <w:szCs w:val="22"/>
        </w:rPr>
      </w:pPr>
      <w:r>
        <w:rPr>
          <w:sz w:val="22"/>
          <w:szCs w:val="22"/>
        </w:rPr>
        <w:t xml:space="preserve"> </w:t>
      </w:r>
    </w:p>
    <w:p w:rsidR="00643D5B" w:rsidRDefault="00643D5B" w:rsidP="00643D5B">
      <w:pPr>
        <w:spacing w:line="360" w:lineRule="auto"/>
        <w:jc w:val="both"/>
        <w:rPr>
          <w:sz w:val="22"/>
          <w:szCs w:val="22"/>
        </w:rPr>
      </w:pPr>
    </w:p>
    <w:p w:rsidR="00643D5B" w:rsidRDefault="00643D5B" w:rsidP="00643D5B">
      <w:pPr>
        <w:widowControl/>
        <w:numPr>
          <w:ilvl w:val="0"/>
          <w:numId w:val="2"/>
        </w:numPr>
        <w:suppressAutoHyphens w:val="0"/>
        <w:overflowPunct/>
        <w:autoSpaceDE/>
        <w:autoSpaceDN/>
        <w:adjustRightInd/>
        <w:spacing w:line="360" w:lineRule="auto"/>
        <w:jc w:val="both"/>
        <w:textAlignment w:val="auto"/>
        <w:rPr>
          <w:b/>
          <w:sz w:val="22"/>
          <w:szCs w:val="22"/>
        </w:rPr>
      </w:pPr>
      <w:r>
        <w:rPr>
          <w:b/>
          <w:sz w:val="22"/>
          <w:szCs w:val="22"/>
        </w:rPr>
        <w:t>La audiencia</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La audiencia concentra actividad de alegación (ratificación, ampliación o reducción de la demanda, contestación a la demanda, eventual reconvención) y prueba (proposición y producción de la prueba), así como el intento de conciliación que debe efectuar el juez, y -eventualmente- la sentencia.</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La audiencia será presidida por el juez bajo pena de nulidad insubsanable, de acuerdo a lo previsto con carácter general en el artículo 200. El principio de inmediación presenta una relevancia prioritaria en la reforma procesal, y determina que las pruebas sean practicadas en presencia del juez, quien habrá de dictar sentencia al cabo de la audiencia (o anunciar el fallo y dictar luego la sentencia); la comparecencia de las partes en audiencia, posibilita la práctica y  control de la prueba, y en este caso, conlleva además la realización de actos procesales de alegación, como la contestación a la demanda, eventual reconvención, y la formulación de los alegatos finales.</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Las partes tienen la carga de comparecer a la audiencia. Si el demandante no comparece ni hubiere alegado justa causa que motive la suspensión de la audiencia, se le tendrá por desistido de su demanda, siempre que el demandado no alegare interés legítimo en la continuación del proceso. El desistimiento implicará la imposición de las costas, y la condena a indemnizar los daños y perjuicios causados, si fueran solicitados y acreditados por el demandado.</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Si quien no comparece es el demandado, se continuará con la audiencia, sin necesidad de declarar su rebeldía.</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Las partes podrán solicitar la suspensión de la audiencia, alegando justa causa que les impida comparecer en la fecha y hora señaladas en la citación. También podrán, excepcionalmente, justificar su incomparecencia con posterioridad a la audiencia, tratándose de circunstancias </w:t>
      </w:r>
      <w:r>
        <w:rPr>
          <w:sz w:val="22"/>
          <w:szCs w:val="22"/>
        </w:rPr>
        <w:lastRenderedPageBreak/>
        <w:t xml:space="preserve">imprevisibles que no hayan podido comunicar al tribunal con suficiente antelación a la audiencia.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En ese sentido, consideramos que previo a tener por desistido al demandante, el juez deberá concederle un plazo razonable para justificar los motivos de su incomparecencia a la audiencia, pues de lo contrario se lo colocaría en la necesidad de impugnar la resolución que lo tiene por desistido. En todo caso, el juez deberá valorar si la causa invocada supone un impedimento para la comparecencia a la audiencia, teniendo presente las causas de suspensión de audiencias previstas con carácter general en el artículo 208, y valorando las circunstancias invocadas de acuerdo con las reglas de la sana crítica y las máximas de experiencia.</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En cuanto al contenido de la audiencia, en primer término el juez intentará la conciliación a fin de evitar la prosecución del proceso. Si bien la norma no reitera lo previsto para la audiencia preparatoria del proceso común, de todos modos el juez deberá tener especial cuidado de evitar cualquier prejuzgamiento. Citando lo dispuesto en el artículo 293, “a la vez que insta a las partes a lograr un acuerdo, el juez les advertirá de los derechos y obligaciones que pudieran corresponderles, sin prejuzgar el contenido de la eventual sentencia”.</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Si no hubiera avenencia, se concederá la palabra a la parte demandante para que ratifique, amplíe o reduzca su demanda, aunque en ningún caso podrá introducir cambios sustanciales a lo ya alegado.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La ratificación de la demanda no plantea inconvenientes, salvo la previsión de evitar que por esa vía se intente modificar la demanda, aspecto que deberá tener especialmente en cuenta el juez para denegar eventuales alteraciones del planteo inicial, y el demandado para oponerse en audiencia. Tampoco plantea dificultades la reducción de la demanda, en la medida que no afecta el derecho de defensa del demandado, permaneciendo en el ámbito del principio dispositivo.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En cambio, puede resultar complejo determinar el alcance de la norma en cuanto autoriza la ampliación de la demanda en audiencia, aclarando luego que “no se podrá hacer en ella variación sustancial”. En ese sentido, consideramos que la norma refiere a las modificaciones previstas durante la audiencia preparatoria del proceso común, en el que se admite al demandante agregar nuevas pretensiones accesorias, o alegar hechos nuevos derivados de los planteados en la demanda. De modo que, por ejemplo, podrá ampliarse la demanda para incluir los intereses no reclamados inicialmente, como pretensión accesoria, siempre que no superen la cuantía de los procesos abreviados.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Cabe apuntar, además, que la ampliación de la demanda, aunque no determine una modificación sustancial, puede determinar la interrupción de la audiencia para concederle al demandado un plazo razonable a efectos de ejercer una adecuada defensa en relación con esa ampliación, si las circunstancias del caso lo ameritan; aunque esa posibilidad no está prevista expresamente,  podrá fundarse en el principio de defensa, consideradas las circunstancias del caso.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A continuación, se oirá al demandado, que contestará en audiencia, alegando cuantos defectos procesales estime conveniente y posteriormente afirmando o negando concretamente los hechos y los fundamentos de derecho de la demanda; podrá asimismo formular reconvención, que para admitirse deberá reunir los requisitos previstos en el artículo 424 (que la pretensión pueda tramitarse por el proceso abreviado, y que tenga conexión con la que sea objeto de la demanda principal).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Cabe analizar la posible interrupción de la audiencia a solicitud del demandante, si fuera menester a efectos de ejercer una adecuada defensa respecto de la reconvención, siempre que alegue no estar en condiciones de contestar en la propia audiencia, por falta de información o prueba; aspecto que deberá evaluar el juez atendiendo a las circunstancias del caso concreto, bajo la premisa del principio de defensa.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En ese sentido, y </w:t>
      </w:r>
      <w:r>
        <w:rPr>
          <w:color w:val="000000"/>
          <w:sz w:val="22"/>
          <w:szCs w:val="22"/>
        </w:rPr>
        <w:t>sin perjuicio de resaltar la conveniencia de las reglas legales que limitan las causas de suspensión e interrupción de las audiencias, el juez deberá tener siempre presente la incidencia de principios fundamentales como el de defensa y contradicción, que pueden determinar la conveniencia de interrumpir o suspender la audiencia en otros supuestos no previstos en las normas citadas.</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El formato de la contestación es oral, pues se realiza en audiencia, y esa es la regla prevista con carácter general en el artículo 8º (principio de oralidad). La contestación a la demanda, deberá documentarse en forma íntegra durante la audiencia, con arreglo a lo previsto en el artículo 205, también aplicable a la audiencia del proceso abreviado, en la que se incluirán las alegaciones de las partes. Cabe plantear, sin embargo, la posibilidad de que el demandado presente su contestación por escrito en la audiencia, para mejor ordenación y registro de su alegación; tal posibilidad, aunque no prevista expresamente, podría admitirse como sistema de registro de la contestación, que de todos modos debería realizarse oralmente para permitir el conocimiento inmediato de las alegaciones por </w:t>
      </w:r>
      <w:r>
        <w:rPr>
          <w:sz w:val="22"/>
          <w:szCs w:val="22"/>
        </w:rPr>
        <w:lastRenderedPageBreak/>
        <w:t>parte del juez y de la parte contraria, necesario para determinar, entre otros aspectos, sobre qué hechos existe disconformidad.</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Al contestar, el demandado podrá alegar inicialmente los defectos procesales previstos en el artículo 298 o cualquier otro que estime conveniente, y siguiendo el orden lógico de la contestación, pasará luego a pronunciarse sobre la cuestión de fondo. Rige en ese sentido, la carga de pronunciarse categóricamente sobre la veracidad o falsedad de las afirmaciones contenidas en la demanda; de modo que, aplicando el artículo 284, el juez podrá considerar el silencio o las respuestas evasivas del demandado como admisión tácita de los hechos que le sean conocidos y perjudiciales.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En ese sentido y respecto del eventual silencio o respuestas evasivas del demandado, es preciso analizar el sistema general previsto en el nuevo Código. Resulta claro, en primer término, que si el demandado no comparece a la audiencia, no procede su rebeldía, y tampoco podrá tomarse como admisión de los hechos alegados en la demanda (artículo 425, y artículo 287 para el proceso común). Pero a diferencia de ese supuesto, el capítulo relativo al proceso abreviado no prevé expresamente  las consecuencias del silencio del demandado o de sus respuestas evasivas en oportunidad de contestar la demanda en audiencia, de modo que la interpretación debe buscarse en el contexto normativo. En ese marco, el artículo 309, dentro de la regulación del proceso común, indica que el objeto de la prueba lo integran los hechos sobre los que exista disconformidad; y el artículo 313, dentro del régimen general de la prueba, dispone que la prueba tendrá por objeto las alegaciones de las partes sobre los hechos controvertidos. De modo que, en términos generales, vigentes también para el proceso abreviado, no requieren prueba los hechos sobre los que no exista controversia, y si el demandado al contestar guarda silencio sobre un hecho, no lo controvierte. Por otra parte, el artículo 428,  dentro del capítulo del proceso abreviado, indica que la prueba tendrá por objeto los hechos sobre los que no hubiere conformidad, reafirmando la regla enunciada.</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Ya hemos señalado, que al contestar en audiencia el demandado podrá hacer valer las excepciones procesales que estime conveniente, y denunciar los defectos previstos en el artículo 298 (falta de capacidad, falta de jurisdicción, incompetencia, litispendencia, cosa juzgada, sumisión a arbitraje, vía procesal errónea, etc.) así como otros defectos que supongan un obstáculo a la válida continuación del proceso. Merece especial mención la excepción de vía procesal errónea, por la delimitación legal del ámbito del proceso abreviado, cuando el demandado alegue que corresponda tramitarlo como proceso común, ya sea por razón de la cuantía o de la materia.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lastRenderedPageBreak/>
        <w:t xml:space="preserve">Luego de contestada la demanda, se dará la palabra al demandante para contestar las excepciones o defectos procesales alegados, así como la eventual reconvención. Podrá asimismo, alegar cuestiones relativas a la personalidad o representación del demandado.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Oídas las partes en los términos referidos, el juez resolverá acerca de las excepciones procesales formuladas (función de saneamiento procesal). Si bien la ley no regula expresamente la oportunidad en la que habrá de dictar el juez la correspondiente resolución, acogiendo o rechazando las excepciones procesales que se hubieran formulado, el artículo 427 dispone que si el juez no aceptase ninguna excepción procesal, la parte afectada podrá pedir que conste en acta su disconformidad; lo que permite concluir que el juez deberá resolver acerca de las eventuales excepciones procesales en la propia audiencia, luego de formuladas y sustanciadas esas excepciones, al igual que ocurre en la audiencia preparatoria del proceso común.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En cuanto al posible contenido de la resolución, dependerá de la concreta excepción o defecto alegado; en ese sentido, cabe aplicar lo previsto en los artículos 299 y siguientes, que prevén las consecuencias que puede tener la aceptación de los defectos procesales denunciados. A modo de ejemplo, si los defectos denunciados y examinados en audiencia refieren a la falta de capacidad, representación o postulación, y fueran subsanables, el juez otorgará a la parte que los cometió un plazo de cinco días para proceder a su debida corrección, suspendiendo a tal efecto la audiencia, salvo que la parte estuviera en disposición de sanarlos en el mismo acto (art. 300). Para mencionar otra hipótesis, si el juez estima fundada la excepción de cosa juzgada, pondrá fin al proceso, ordenando el archivo de las actuaciones (art. 302). Si, por el contrario, rechaza las excepciones, la parte que las hubiere formulado podrá dejar constancia en acta de su disconformidad, y la audiencia continuará con el resto de las actividades previstas.</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A pesar de las dudas que puede generar en virtud de la abreviación estructural de estos procesos, consideramos igualmente aplicable al proceso abreviado la solución legal que permite al juez resolver la cuestión fuera de audiencia, dentro de los cinco días posteriores, cuando el caso entrañe especial dificultad; esa solución está prevista expresamente para la audiencia preparatoria del proceso común en los artículos 301 y 302, en relación a las excepciones de falta de litisconsorcio necesario, litispendencia y cosa juzgada, aunque en nuestra opinión, puede extenderse a la resolución de otras excepciones procesales, siempre que la complejidad del caso así lo requiera. La dificultad que puede encerrar la aplicación de esa solución al proceso abreviado, radica en la especial estructura de estos procesos, que prevé el dictado de sentencia sobre el fondo (o al menos, </w:t>
      </w:r>
      <w:r>
        <w:rPr>
          <w:sz w:val="22"/>
          <w:szCs w:val="22"/>
        </w:rPr>
        <w:lastRenderedPageBreak/>
        <w:t>el anuncio verbal del fallo) al término de la audiencia única, a diferencia del proceso común, que tiene prevista una audiencia probatoria luego de la audiencia preparatoria. No obstante la dificultad apuntada, las mismas razones que pueden tornar especialmente compleja la decisión de una excepción procesal en el proceso común, pueden darse en el proceso abreviado, de modo que, excepcionalmente, el juez podrá integrar el marco normativo del proceso abreviado, con lo dispuesto en los artículos 301 y 302 para el proceso común, e interrumpir la audiencia por un plazo máximo de cinco días a fin de resolver acerca de las excepciones procesales que se hubieran formulado, cuando la cuestión entrañe especial dificultad.</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La resolución que dicte el juez sobre las excepciones procesales, admitirá apelación en caso de poner fin al proceso (por ejemplo, si acoge la excepción de cosa juzgada o litispendencia); en caso contrario, si el juez la rechaza, la parte afectada podrá dejar constancia en acta de su disconformidad, como vimos.</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Concluida la etapa de saneamiento procesal, la audiencia continúa con la proposición y producción de la prueba.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Comenzará el demandante, proponiendo las pruebas de que intente valerse para probar los hechos controvertidos, y a su turno hará lo propio el demandado.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Las reglas para la proposición de las pruebas son las previstas en la regulación general de la prueba en relación a cada medio probatorio, de las que resultan los requisitos que deberán tener en cuenta las partes al proponer el interrogatorio de testigos o un peritaje judicial, para mencionar dos ejemplos.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En la mayoría de los casos, la prueba habrá sido propuesta con anterioridad a la audiencia, cuando resulte necesaria la citación de un testigo, de la parte contraria o de un perito, o cuando fuere menester requerir un documento; en esos casos, las partes podrán solicitar, con al menos tres días de antelación a la fecha de la audiencia, aquellas pruebas que, para practicarse en la misma, necesiten diligencias de citación o requerimiento. Ello conlleva que, en muchos casos, el juez deberá adelantar el control de admisibilidad de las pruebas, a una etapa previa a la audiencia, tras la solicitud de la parte de citación de un testigo o perito, o de práctica de un reconocimiento judicial que no pueda realizarse en audiencia. Debe observarse, no obstante, que hasta la contestación a la demanda, que se realiza en audiencia, no será posible determinar la pertinencia y necesidad de la </w:t>
      </w:r>
      <w:r>
        <w:rPr>
          <w:sz w:val="22"/>
          <w:szCs w:val="22"/>
        </w:rPr>
        <w:lastRenderedPageBreak/>
        <w:t>prueba, pues recién entonces quedarán fijados los hechos controvertidos, únicos que requieren prueba. De modo que, en principio, el juez deberá admitir las citaciones y requerimientos solicitados por las partes con anterioridad a la audiencia, siempre que no resulte manifiesta su impertinencia o inutilidad; a cuyos efectos, las partes deberán indicar con precisión en sus solicitudes de citación de testigos, partes o peritos, la finalidad de esa prueba (los hechos a probar). Pero aún admitida y realizada la citación de un testigo o perito, en la audiencia el juez podrá rechazar la prueba si, tras las alegaciones iniciales, resulta impertinente o inútil.</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En caso de rechazo de un medio de prueba, la parte que lo hubiera propuesto podrá hacer constar en acta su disconformidad, a efectos de apelar la sentencia definitiva (art. 317). Las partes también podrán objetar la introducción de pruebas inadmisibles, e impugnar la decisión judicial que admita esas pruebas, mediante recurso de revocatoria oral (art. 407, que consideramos aplicable al proceso abreviado, así como el sistema general de las objeciones regulado en ese capítulo).</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Para la práctica de las pruebas se estará a lo dispuesto en el proceso común, según indica el artículo 428; remisión que comprende las reglas previstas para el interrogatorio de partes, testigos y peritos, para la práctica de reconocimientos judiciales, así como el sistema de las objeciones (objeciones a las preguntas, a las respuestas y a la conducta de las partes durante los interrogatorios).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Podrán interponerse objeciones a las preguntas que se formulen a testigos, partes o peritos, así como a las respuestas de los testigos y peritos, y a la conducta de las partes, con arreglo al sistema de las objeciones previsto en los artículos 408 y siguientes (audiencia probatoria del proceso común), a cuyo comentario remitimos.</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Practicada la prueba, se recibirán los alegatos orales de las partes, que dispondrán a esos efectos de un lapso que no excederá de treinta minutos. La finalidad y contenido de los alegatos finales, es la misma que la prevista para el proceso común. Rige además, la regla que prohíbe modificar la pretensión en los alegatos, prevista en el artículo 412 para el proceso común, aunque nada se establezca al respecto en la regulación del proceso abreviado. A efectos de formular sus respectivos alegatos finales, las partes podrán solicitar al juez les conceda un tiempo razonable para su preparación, sin que ello suponga interrumpir la audiencia.</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Concluidos los alegatos finales, si el juez no se considerare suficientemente ilustrado sobre las cuestiones de cualquier tipo que sean objeto del debate, concederá a ambas partes el tiempo que </w:t>
      </w:r>
      <w:r>
        <w:rPr>
          <w:sz w:val="22"/>
          <w:szCs w:val="22"/>
        </w:rPr>
        <w:lastRenderedPageBreak/>
        <w:t xml:space="preserve">crea conveniente para que informen o den explicaciones respecto de los puntos en que hubiere alguna duda (art. 429). Se trata del denominado interrogatorio </w:t>
      </w:r>
      <w:r>
        <w:rPr>
          <w:i/>
          <w:sz w:val="22"/>
          <w:szCs w:val="22"/>
        </w:rPr>
        <w:t>ad clarificandum</w:t>
      </w:r>
      <w:r>
        <w:rPr>
          <w:sz w:val="22"/>
          <w:szCs w:val="22"/>
        </w:rPr>
        <w:t xml:space="preserve">, con fines aclaratorios, destinado generalmente a aclarar dudas respecto de las alegaciones iniciales (demanda y contestación), aunque en este caso referido no sólo a esos actos sino a la actividad probatoria y de alegación final.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Sin perjuicio del referido interrogatorio con fines aclaratorios, el juez podrá disponer otras diligencias para mejor proveer, con arreglo a lo previsto en el artículo 7º y 321, que consideramos aplicable también al proceso abreviado, aunque limitado en su finalidad a lo previsto en los artículos citados. </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 xml:space="preserve">Terminados los alegatos, el juez podrá dictar sentencia en el acto, o anunciar verbalmente el fallo, debiendo en todo caso pronunciar la sentencia dentro de los quince días siguientes a la finalización de la audiencia (art. 430). Debe tenerse presente en ese sentido, lo dispuesto con carácter general en el artículo 220, sobre la sentencia oral: el juez podrá dictar oralmente la sentencia íntegra en los procesos abreviados, si lo permitiera la complejidad fáctica y jurídica del proceso en cuestión; de lo contrario, anunciará verbalmente el fallo. En caso de pronunciar la sentencia oral, dictará </w:t>
      </w:r>
      <w:r>
        <w:rPr>
          <w:i/>
          <w:sz w:val="22"/>
          <w:szCs w:val="22"/>
        </w:rPr>
        <w:t>in voce</w:t>
      </w:r>
      <w:r>
        <w:rPr>
          <w:sz w:val="22"/>
          <w:szCs w:val="22"/>
        </w:rPr>
        <w:t xml:space="preserve"> el fallo de la sentencia y una sucinta motivación y preguntará a las partes si anuncian su intención de recurrirla; si ambas partes manifestaren su decisión de no impugnar la sentencia, declarará su firmeza en el acto. Si sólo se ha anunciado el fallo o si habiendo dictado sentencia íntegra ambas partes o alguna de ellas anunciaran su intención de recurrir, el juez la dictará luego por escrito en el plazo legal.</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La sentencia deberá estar debidamente motivada, de acuerdo a lo previsto en el artículo 216; y deberá respetar el principio de congruencia en los términos previstos en el artículo 218.</w:t>
      </w:r>
    </w:p>
    <w:p w:rsidR="00643D5B" w:rsidRDefault="00643D5B" w:rsidP="00643D5B">
      <w:pPr>
        <w:spacing w:line="360" w:lineRule="auto"/>
        <w:jc w:val="both"/>
        <w:rPr>
          <w:sz w:val="22"/>
          <w:szCs w:val="22"/>
        </w:rPr>
      </w:pPr>
    </w:p>
    <w:p w:rsidR="00643D5B" w:rsidRDefault="00643D5B" w:rsidP="00643D5B">
      <w:pPr>
        <w:spacing w:line="360" w:lineRule="auto"/>
        <w:jc w:val="both"/>
        <w:rPr>
          <w:sz w:val="22"/>
          <w:szCs w:val="22"/>
        </w:rPr>
      </w:pPr>
      <w:r>
        <w:rPr>
          <w:sz w:val="22"/>
          <w:szCs w:val="22"/>
        </w:rPr>
        <w:t>El incumplimiento del plazo legal para dictar sentencia (quince días), hará incurrir al juez en responsabilidad, con arreglo a lo previsto en el artículo 417 (multa equivalente a un salario mínimo nacional urbano más alto vigente, por cada día de retraso).</w:t>
      </w:r>
    </w:p>
    <w:p w:rsidR="00643D5B" w:rsidRDefault="00643D5B" w:rsidP="00643D5B">
      <w:pPr>
        <w:spacing w:line="360" w:lineRule="auto"/>
        <w:jc w:val="both"/>
        <w:rPr>
          <w:sz w:val="22"/>
          <w:szCs w:val="22"/>
        </w:rPr>
      </w:pPr>
    </w:p>
    <w:p w:rsidR="00570CCF" w:rsidRDefault="00643D5B" w:rsidP="00643D5B">
      <w:pPr>
        <w:spacing w:line="360" w:lineRule="auto"/>
        <w:jc w:val="both"/>
      </w:pPr>
      <w:r>
        <w:rPr>
          <w:sz w:val="22"/>
          <w:szCs w:val="22"/>
        </w:rPr>
        <w:t xml:space="preserve">La valoración de la prueba se rige por las mismas reglas previstas para el proceso común, que consagran el sistema de la sana crítica como regla de valoración, sin perjuicio de la prueba documental que se rige por un sistema de tasa legal. </w:t>
      </w:r>
    </w:p>
    <w:p w:rsidR="00643D5B" w:rsidRDefault="00643D5B"/>
    <w:sectPr w:rsidR="00643D5B" w:rsidSect="00570CC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150D0"/>
    <w:multiLevelType w:val="hybridMultilevel"/>
    <w:tmpl w:val="20D26486"/>
    <w:lvl w:ilvl="0" w:tplc="25464F8C">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nsid w:val="69A958B5"/>
    <w:multiLevelType w:val="hybridMultilevel"/>
    <w:tmpl w:val="8CCE5060"/>
    <w:lvl w:ilvl="0" w:tplc="A2F07E58">
      <w:start w:val="1"/>
      <w:numFmt w:val="upperRoman"/>
      <w:lvlText w:val="%1."/>
      <w:lvlJc w:val="left"/>
      <w:pPr>
        <w:tabs>
          <w:tab w:val="num" w:pos="1080"/>
        </w:tabs>
        <w:ind w:left="1080" w:hanging="7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compat/>
  <w:rsids>
    <w:rsidRoot w:val="00643D5B"/>
    <w:rsid w:val="00570CCF"/>
    <w:rsid w:val="00643D5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D5B"/>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4304</Words>
  <Characters>23674</Characters>
  <Application>Microsoft Office Word</Application>
  <DocSecurity>0</DocSecurity>
  <Lines>197</Lines>
  <Paragraphs>55</Paragraphs>
  <ScaleCrop>false</ScaleCrop>
  <Company>uR V3</Company>
  <LinksUpToDate>false</LinksUpToDate>
  <CharactersWithSpaces>27923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Angelical</dc:creator>
  <cp:keywords/>
  <dc:description/>
  <cp:lastModifiedBy>Angelical</cp:lastModifiedBy>
  <cp:revision>1</cp:revision>
  <dcterms:created xsi:type="dcterms:W3CDTF">2010-09-10T16:11:00Z</dcterms:created>
  <dcterms:modified xsi:type="dcterms:W3CDTF">2010-09-10T16:11:00Z</dcterms:modified>
</cp:coreProperties>
</file>