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373" w:rsidRDefault="008C6373" w:rsidP="008C6373">
      <w:pPr>
        <w:pStyle w:val="Ttulo1"/>
        <w:shd w:val="clear" w:color="auto" w:fill="FFFFFF" w:themeFill="background1"/>
        <w:spacing w:line="360" w:lineRule="auto"/>
        <w:jc w:val="center"/>
        <w:rPr>
          <w:rFonts w:ascii="Arial" w:hAnsi="Arial" w:cs="Arial"/>
          <w:sz w:val="28"/>
          <w:szCs w:val="28"/>
        </w:rPr>
      </w:pPr>
      <w:r>
        <w:rPr>
          <w:rFonts w:ascii="Arial" w:hAnsi="Arial" w:cs="Arial"/>
          <w:sz w:val="28"/>
          <w:szCs w:val="28"/>
        </w:rPr>
        <w:t>INTRODUCCION</w:t>
      </w:r>
    </w:p>
    <w:p w:rsidR="008C6373" w:rsidRPr="008C6373" w:rsidRDefault="008C6373" w:rsidP="008C6373">
      <w:pPr>
        <w:pStyle w:val="Ttulo1"/>
        <w:shd w:val="clear" w:color="auto" w:fill="FFFFFF" w:themeFill="background1"/>
        <w:spacing w:line="360" w:lineRule="auto"/>
        <w:jc w:val="both"/>
        <w:rPr>
          <w:rFonts w:ascii="Arial" w:hAnsi="Arial" w:cs="Arial"/>
          <w:b w:val="0"/>
          <w:sz w:val="24"/>
          <w:szCs w:val="24"/>
        </w:rPr>
      </w:pPr>
      <w:proofErr w:type="gramStart"/>
      <w:r w:rsidRPr="008C6373">
        <w:rPr>
          <w:rFonts w:ascii="Arial" w:hAnsi="Arial" w:cs="Arial"/>
          <w:b w:val="0"/>
          <w:sz w:val="24"/>
          <w:szCs w:val="24"/>
        </w:rPr>
        <w:t>la</w:t>
      </w:r>
      <w:proofErr w:type="gramEnd"/>
      <w:r w:rsidRPr="008C6373">
        <w:rPr>
          <w:rFonts w:ascii="Arial" w:hAnsi="Arial" w:cs="Arial"/>
          <w:b w:val="0"/>
          <w:sz w:val="24"/>
          <w:szCs w:val="24"/>
        </w:rPr>
        <w:t xml:space="preserve"> realización de inmueble es un tema especial generado de la subasta pública, por ende es necesario saber de lo que se trata, para alguno al igual que para el grupo de investigación es un tema nuevo que puede generar dudas  y contradicciones por el hecho de no saber de lo que se trata.</w:t>
      </w:r>
    </w:p>
    <w:p w:rsidR="008C6373" w:rsidRPr="008C6373" w:rsidRDefault="008C6373" w:rsidP="008C6373">
      <w:pPr>
        <w:pStyle w:val="NormalWeb"/>
        <w:spacing w:line="360" w:lineRule="auto"/>
        <w:jc w:val="both"/>
        <w:rPr>
          <w:rFonts w:ascii="Arial" w:hAnsi="Arial" w:cs="Arial"/>
        </w:rPr>
      </w:pPr>
      <w:r w:rsidRPr="008C6373">
        <w:rPr>
          <w:rFonts w:ascii="Arial" w:hAnsi="Arial" w:cs="Arial"/>
        </w:rPr>
        <w:t>Pero para</w:t>
      </w:r>
      <w:r>
        <w:rPr>
          <w:rFonts w:ascii="Arial" w:hAnsi="Arial" w:cs="Arial"/>
        </w:rPr>
        <w:t xml:space="preserve"> conocer y saber de lo que es </w:t>
      </w:r>
      <w:r w:rsidRPr="008C6373">
        <w:rPr>
          <w:rFonts w:ascii="Arial" w:hAnsi="Arial" w:cs="Arial"/>
        </w:rPr>
        <w:t xml:space="preserve"> menester tener claro que es subasta pública por la cual debemos de entender que las subastas públicas pueden ser obligadas o voluntarias. Son voluntarias las subastas en las cuales el sujeto decide libremente vender un bien, y decide que la forma de maximizar el precio de venta es someterlo al procedimiento de subasta pública. Este procedimiento es utilizado de forma habitual, por ejemplo, en las ventas de </w:t>
      </w:r>
      <w:hyperlink r:id="rId8" w:tooltip="Obra de arte" w:history="1">
        <w:r w:rsidRPr="008C6373">
          <w:rPr>
            <w:rStyle w:val="Hipervnculo"/>
            <w:rFonts w:ascii="Arial" w:hAnsi="Arial" w:cs="Arial"/>
            <w:color w:val="auto"/>
            <w:u w:val="none"/>
          </w:rPr>
          <w:t>obras de arte</w:t>
        </w:r>
      </w:hyperlink>
      <w:r w:rsidRPr="008C6373">
        <w:rPr>
          <w:rFonts w:ascii="Arial" w:hAnsi="Arial" w:cs="Arial"/>
        </w:rPr>
        <w:t>.</w:t>
      </w:r>
    </w:p>
    <w:p w:rsidR="008C6373" w:rsidRPr="008C6373" w:rsidRDefault="008C6373" w:rsidP="008C6373">
      <w:pPr>
        <w:pStyle w:val="NormalWeb"/>
        <w:spacing w:line="360" w:lineRule="auto"/>
        <w:jc w:val="both"/>
        <w:rPr>
          <w:rFonts w:ascii="Arial" w:hAnsi="Arial" w:cs="Arial"/>
        </w:rPr>
      </w:pPr>
      <w:r w:rsidRPr="008C6373">
        <w:rPr>
          <w:rFonts w:ascii="Arial" w:hAnsi="Arial" w:cs="Arial"/>
        </w:rPr>
        <w:t xml:space="preserve">Son obligadas las subastas de bienes embargados a un deudor. En ese caso, la </w:t>
      </w:r>
      <w:hyperlink r:id="rId9" w:tooltip="Ley" w:history="1">
        <w:r w:rsidRPr="008C6373">
          <w:rPr>
            <w:rStyle w:val="Hipervnculo"/>
            <w:rFonts w:ascii="Arial" w:hAnsi="Arial" w:cs="Arial"/>
            <w:color w:val="auto"/>
            <w:u w:val="none"/>
          </w:rPr>
          <w:t>ley</w:t>
        </w:r>
      </w:hyperlink>
      <w:r w:rsidRPr="008C6373">
        <w:rPr>
          <w:rFonts w:ascii="Arial" w:hAnsi="Arial" w:cs="Arial"/>
        </w:rPr>
        <w:t xml:space="preserve"> suele exigir el procedimiento de subasta pública para dar una mayor transparencia a la venta, y permitir que el precio a percibir por el deudor a cambio del bien sea lo más alto posible.</w:t>
      </w:r>
    </w:p>
    <w:p w:rsidR="008C6373" w:rsidRPr="008C6373" w:rsidRDefault="008C6373" w:rsidP="008C6373">
      <w:pPr>
        <w:pStyle w:val="NormalWeb"/>
        <w:spacing w:line="360" w:lineRule="auto"/>
        <w:jc w:val="both"/>
        <w:rPr>
          <w:rFonts w:ascii="Arial" w:hAnsi="Arial" w:cs="Arial"/>
        </w:rPr>
      </w:pPr>
      <w:r w:rsidRPr="008C6373">
        <w:rPr>
          <w:rFonts w:ascii="Arial" w:hAnsi="Arial" w:cs="Arial"/>
        </w:rPr>
        <w:t xml:space="preserve">En el caso de una subasta pública por deudas, el precio de venta de los bienes se destina al pago a los acreedores y, en el caso de que hubiese remanente, éste queda en propiedad del deudor. Suele ser necesario también en sus procedimientos el cumplimiento de una serie de formalidades impuestas por la ley para dar más transparencia a la subasta y evitar que el resultado de la misma pueda ser manipulado. Son requisitos típicos en estos casos la </w:t>
      </w:r>
      <w:hyperlink r:id="rId10" w:tooltip="Publicidad" w:history="1">
        <w:r w:rsidRPr="008C6373">
          <w:rPr>
            <w:rStyle w:val="Hipervnculo"/>
            <w:rFonts w:ascii="Arial" w:hAnsi="Arial" w:cs="Arial"/>
            <w:color w:val="auto"/>
            <w:u w:val="none"/>
          </w:rPr>
          <w:t>publicidad</w:t>
        </w:r>
      </w:hyperlink>
      <w:r w:rsidRPr="008C6373">
        <w:rPr>
          <w:rFonts w:ascii="Arial" w:hAnsi="Arial" w:cs="Arial"/>
        </w:rPr>
        <w:t xml:space="preserve"> de la subasta y el cumplimiento de unos </w:t>
      </w:r>
      <w:hyperlink r:id="rId11" w:tooltip="Plazos (aún no redactado)" w:history="1">
        <w:r w:rsidRPr="008C6373">
          <w:rPr>
            <w:rStyle w:val="Hipervnculo"/>
            <w:rFonts w:ascii="Arial" w:hAnsi="Arial" w:cs="Arial"/>
            <w:color w:val="auto"/>
            <w:u w:val="none"/>
          </w:rPr>
          <w:t>plazos</w:t>
        </w:r>
      </w:hyperlink>
      <w:r w:rsidRPr="008C6373">
        <w:rPr>
          <w:rFonts w:ascii="Arial" w:hAnsi="Arial" w:cs="Arial"/>
        </w:rPr>
        <w:t>.</w:t>
      </w:r>
    </w:p>
    <w:p w:rsidR="008C6373" w:rsidRPr="008C6373" w:rsidRDefault="008C6373" w:rsidP="004A0919">
      <w:pPr>
        <w:pStyle w:val="Ttulo1"/>
        <w:shd w:val="clear" w:color="auto" w:fill="FFFFFF" w:themeFill="background1"/>
        <w:spacing w:line="360" w:lineRule="auto"/>
        <w:jc w:val="both"/>
        <w:rPr>
          <w:rFonts w:ascii="Arial" w:hAnsi="Arial" w:cs="Arial"/>
          <w:b w:val="0"/>
          <w:sz w:val="24"/>
          <w:szCs w:val="24"/>
        </w:rPr>
      </w:pPr>
      <w:r>
        <w:rPr>
          <w:rFonts w:ascii="Arial" w:hAnsi="Arial" w:cs="Arial"/>
          <w:b w:val="0"/>
          <w:sz w:val="24"/>
          <w:szCs w:val="24"/>
        </w:rPr>
        <w:t xml:space="preserve">Teniendo en consideración lo </w:t>
      </w:r>
      <w:r w:rsidR="004A0919">
        <w:rPr>
          <w:rFonts w:ascii="Arial" w:hAnsi="Arial" w:cs="Arial"/>
          <w:b w:val="0"/>
          <w:sz w:val="24"/>
          <w:szCs w:val="24"/>
        </w:rPr>
        <w:t>anterior</w:t>
      </w:r>
      <w:r>
        <w:rPr>
          <w:rFonts w:ascii="Arial" w:hAnsi="Arial" w:cs="Arial"/>
          <w:b w:val="0"/>
          <w:sz w:val="24"/>
          <w:szCs w:val="24"/>
        </w:rPr>
        <w:t xml:space="preserve"> podemos entrar a conocer nuestro tema de investigación, la realización de </w:t>
      </w:r>
      <w:r w:rsidR="004A0919">
        <w:rPr>
          <w:rFonts w:ascii="Arial" w:hAnsi="Arial" w:cs="Arial"/>
          <w:b w:val="0"/>
          <w:sz w:val="24"/>
          <w:szCs w:val="24"/>
        </w:rPr>
        <w:t>inmueble</w:t>
      </w:r>
      <w:r>
        <w:rPr>
          <w:rFonts w:ascii="Arial" w:hAnsi="Arial" w:cs="Arial"/>
          <w:b w:val="0"/>
          <w:sz w:val="24"/>
          <w:szCs w:val="24"/>
        </w:rPr>
        <w:t>,</w:t>
      </w:r>
      <w:r w:rsidR="004A0919">
        <w:rPr>
          <w:rFonts w:ascii="Arial" w:hAnsi="Arial" w:cs="Arial"/>
          <w:b w:val="0"/>
          <w:sz w:val="24"/>
          <w:szCs w:val="24"/>
        </w:rPr>
        <w:t xml:space="preserve"> </w:t>
      </w:r>
      <w:r>
        <w:rPr>
          <w:rFonts w:ascii="Arial" w:hAnsi="Arial" w:cs="Arial"/>
          <w:b w:val="0"/>
          <w:sz w:val="24"/>
          <w:szCs w:val="24"/>
        </w:rPr>
        <w:t>que se encuentra regulado en nuestro código procesal civil y mercantil, desde el</w:t>
      </w:r>
      <w:r w:rsidR="004A0919">
        <w:rPr>
          <w:rFonts w:ascii="Arial" w:hAnsi="Arial" w:cs="Arial"/>
          <w:b w:val="0"/>
          <w:sz w:val="24"/>
          <w:szCs w:val="24"/>
        </w:rPr>
        <w:t xml:space="preserve"> titulo segundo</w:t>
      </w:r>
      <w:r>
        <w:rPr>
          <w:rFonts w:ascii="Arial" w:hAnsi="Arial" w:cs="Arial"/>
          <w:b w:val="0"/>
          <w:sz w:val="24"/>
          <w:szCs w:val="24"/>
        </w:rPr>
        <w:t xml:space="preserve"> </w:t>
      </w:r>
      <w:r w:rsidR="004A0919">
        <w:rPr>
          <w:rFonts w:ascii="Arial" w:hAnsi="Arial" w:cs="Arial"/>
          <w:b w:val="0"/>
          <w:sz w:val="24"/>
          <w:szCs w:val="24"/>
        </w:rPr>
        <w:t>capítulo</w:t>
      </w:r>
      <w:r>
        <w:rPr>
          <w:rFonts w:ascii="Arial" w:hAnsi="Arial" w:cs="Arial"/>
          <w:b w:val="0"/>
          <w:sz w:val="24"/>
          <w:szCs w:val="24"/>
        </w:rPr>
        <w:t xml:space="preserve"> octavo</w:t>
      </w:r>
      <w:r w:rsidR="004A0919">
        <w:rPr>
          <w:rFonts w:ascii="Arial" w:hAnsi="Arial" w:cs="Arial"/>
          <w:b w:val="0"/>
          <w:sz w:val="24"/>
          <w:szCs w:val="24"/>
        </w:rPr>
        <w:t>, artículos 665 al 674.</w:t>
      </w: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4A0919" w:rsidRDefault="004A0919" w:rsidP="004A0919">
      <w:pPr>
        <w:pStyle w:val="Ttulo1"/>
        <w:shd w:val="clear" w:color="auto" w:fill="FFFFFF" w:themeFill="background1"/>
        <w:spacing w:line="360" w:lineRule="auto"/>
        <w:rPr>
          <w:rFonts w:ascii="Arial" w:hAnsi="Arial" w:cs="Arial"/>
          <w:sz w:val="28"/>
          <w:szCs w:val="28"/>
        </w:rPr>
      </w:pPr>
    </w:p>
    <w:p w:rsidR="008C6373" w:rsidRDefault="008C6373" w:rsidP="00667AE5">
      <w:pPr>
        <w:pStyle w:val="Ttulo1"/>
        <w:shd w:val="clear" w:color="auto" w:fill="FFFFFF" w:themeFill="background1"/>
        <w:spacing w:line="360" w:lineRule="auto"/>
        <w:jc w:val="center"/>
        <w:rPr>
          <w:rFonts w:ascii="Arial" w:hAnsi="Arial" w:cs="Arial"/>
          <w:sz w:val="28"/>
          <w:szCs w:val="28"/>
        </w:rPr>
      </w:pPr>
    </w:p>
    <w:p w:rsidR="008C6373" w:rsidRDefault="008C6373" w:rsidP="00667AE5">
      <w:pPr>
        <w:pStyle w:val="Ttulo1"/>
        <w:shd w:val="clear" w:color="auto" w:fill="FFFFFF" w:themeFill="background1"/>
        <w:spacing w:line="360" w:lineRule="auto"/>
        <w:rPr>
          <w:rFonts w:ascii="Arial" w:hAnsi="Arial" w:cs="Arial"/>
          <w:sz w:val="28"/>
          <w:szCs w:val="28"/>
        </w:rPr>
      </w:pPr>
    </w:p>
    <w:p w:rsidR="008C6373" w:rsidRDefault="004A0919" w:rsidP="008C6373">
      <w:pPr>
        <w:pStyle w:val="Ttulo1"/>
        <w:shd w:val="clear" w:color="auto" w:fill="FFFFFF" w:themeFill="background1"/>
        <w:spacing w:line="360" w:lineRule="auto"/>
        <w:jc w:val="center"/>
        <w:rPr>
          <w:rFonts w:ascii="Arial" w:hAnsi="Arial" w:cs="Arial"/>
          <w:sz w:val="28"/>
          <w:szCs w:val="28"/>
        </w:rPr>
      </w:pPr>
      <w:r>
        <w:rPr>
          <w:rFonts w:ascii="Arial" w:hAnsi="Arial" w:cs="Arial"/>
          <w:sz w:val="28"/>
          <w:szCs w:val="28"/>
        </w:rPr>
        <w:t>OBJETIVOS.</w:t>
      </w:r>
    </w:p>
    <w:p w:rsidR="00667AE5" w:rsidRDefault="00667AE5" w:rsidP="008C6373">
      <w:pPr>
        <w:pStyle w:val="Ttulo1"/>
        <w:shd w:val="clear" w:color="auto" w:fill="FFFFFF" w:themeFill="background1"/>
        <w:spacing w:line="360" w:lineRule="auto"/>
        <w:jc w:val="center"/>
        <w:rPr>
          <w:rFonts w:ascii="Arial" w:hAnsi="Arial" w:cs="Arial"/>
          <w:sz w:val="28"/>
          <w:szCs w:val="28"/>
        </w:rPr>
      </w:pPr>
    </w:p>
    <w:p w:rsidR="004A0919" w:rsidRDefault="004A0919" w:rsidP="008C6373">
      <w:pPr>
        <w:pStyle w:val="Ttulo1"/>
        <w:shd w:val="clear" w:color="auto" w:fill="FFFFFF" w:themeFill="background1"/>
        <w:spacing w:line="360" w:lineRule="auto"/>
        <w:jc w:val="center"/>
        <w:rPr>
          <w:rFonts w:ascii="Arial" w:hAnsi="Arial" w:cs="Arial"/>
          <w:sz w:val="28"/>
          <w:szCs w:val="28"/>
        </w:rPr>
      </w:pPr>
      <w:r>
        <w:rPr>
          <w:rFonts w:ascii="Arial" w:hAnsi="Arial" w:cs="Arial"/>
          <w:sz w:val="28"/>
          <w:szCs w:val="28"/>
        </w:rPr>
        <w:t>OBJETIVO GENERAL:</w:t>
      </w:r>
    </w:p>
    <w:p w:rsidR="004A0919" w:rsidRDefault="004A0919" w:rsidP="008C6373">
      <w:pPr>
        <w:pStyle w:val="Ttulo1"/>
        <w:shd w:val="clear" w:color="auto" w:fill="FFFFFF" w:themeFill="background1"/>
        <w:spacing w:line="360" w:lineRule="auto"/>
        <w:jc w:val="center"/>
        <w:rPr>
          <w:rFonts w:ascii="Arial" w:hAnsi="Arial" w:cs="Arial"/>
          <w:sz w:val="28"/>
          <w:szCs w:val="28"/>
        </w:rPr>
      </w:pPr>
      <w:r>
        <w:rPr>
          <w:rFonts w:ascii="Arial" w:hAnsi="Arial" w:cs="Arial"/>
          <w:sz w:val="28"/>
          <w:szCs w:val="28"/>
        </w:rPr>
        <w:t>¿Conocer que es realización de inmueble y para que sirve?</w:t>
      </w: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4A0919" w:rsidRDefault="004A0919" w:rsidP="008C6373">
      <w:pPr>
        <w:pStyle w:val="Ttulo1"/>
        <w:shd w:val="clear" w:color="auto" w:fill="FFFFFF" w:themeFill="background1"/>
        <w:spacing w:line="360" w:lineRule="auto"/>
        <w:jc w:val="center"/>
        <w:rPr>
          <w:rFonts w:ascii="Arial" w:hAnsi="Arial" w:cs="Arial"/>
          <w:sz w:val="28"/>
          <w:szCs w:val="28"/>
        </w:rPr>
      </w:pPr>
      <w:r>
        <w:rPr>
          <w:rFonts w:ascii="Arial" w:hAnsi="Arial" w:cs="Arial"/>
          <w:sz w:val="28"/>
          <w:szCs w:val="28"/>
        </w:rPr>
        <w:t>OBJETIVOS ESPESIFICO:</w:t>
      </w:r>
    </w:p>
    <w:p w:rsidR="004A0919" w:rsidRDefault="00667AE5" w:rsidP="004A0919">
      <w:pPr>
        <w:pStyle w:val="Ttulo1"/>
        <w:numPr>
          <w:ilvl w:val="0"/>
          <w:numId w:val="2"/>
        </w:numPr>
        <w:shd w:val="clear" w:color="auto" w:fill="FFFFFF" w:themeFill="background1"/>
        <w:spacing w:line="360" w:lineRule="auto"/>
        <w:jc w:val="center"/>
        <w:rPr>
          <w:rFonts w:ascii="Arial" w:hAnsi="Arial" w:cs="Arial"/>
          <w:sz w:val="28"/>
          <w:szCs w:val="28"/>
        </w:rPr>
      </w:pPr>
      <w:r>
        <w:rPr>
          <w:rFonts w:ascii="Arial" w:hAnsi="Arial" w:cs="Arial"/>
          <w:sz w:val="28"/>
          <w:szCs w:val="28"/>
        </w:rPr>
        <w:t>En qué consiste la certificación de dominio y cargas</w:t>
      </w:r>
      <w:proofErr w:type="gramStart"/>
      <w:r>
        <w:rPr>
          <w:rFonts w:ascii="Arial" w:hAnsi="Arial" w:cs="Arial"/>
          <w:sz w:val="28"/>
          <w:szCs w:val="28"/>
        </w:rPr>
        <w:t>?</w:t>
      </w:r>
      <w:proofErr w:type="gramEnd"/>
    </w:p>
    <w:p w:rsidR="00667AE5" w:rsidRDefault="00667AE5" w:rsidP="00667AE5">
      <w:pPr>
        <w:pStyle w:val="Ttulo1"/>
        <w:shd w:val="clear" w:color="auto" w:fill="FFFFFF" w:themeFill="background1"/>
        <w:spacing w:line="360" w:lineRule="auto"/>
        <w:ind w:left="720"/>
        <w:rPr>
          <w:rFonts w:ascii="Arial" w:hAnsi="Arial" w:cs="Arial"/>
          <w:sz w:val="28"/>
          <w:szCs w:val="28"/>
        </w:rPr>
      </w:pPr>
    </w:p>
    <w:p w:rsidR="00667AE5" w:rsidRDefault="00667AE5" w:rsidP="00667AE5">
      <w:pPr>
        <w:pStyle w:val="Ttulo1"/>
        <w:numPr>
          <w:ilvl w:val="0"/>
          <w:numId w:val="2"/>
        </w:numPr>
        <w:shd w:val="clear" w:color="auto" w:fill="FFFFFF" w:themeFill="background1"/>
        <w:spacing w:line="360" w:lineRule="auto"/>
        <w:jc w:val="center"/>
        <w:rPr>
          <w:rFonts w:ascii="Arial" w:hAnsi="Arial" w:cs="Arial"/>
          <w:sz w:val="28"/>
          <w:szCs w:val="28"/>
        </w:rPr>
      </w:pPr>
      <w:r>
        <w:rPr>
          <w:rFonts w:ascii="Arial" w:hAnsi="Arial" w:cs="Arial"/>
          <w:sz w:val="28"/>
          <w:szCs w:val="28"/>
        </w:rPr>
        <w:t>Identificar los presupuestos para que se dé la realización de inmueble.</w:t>
      </w:r>
    </w:p>
    <w:p w:rsidR="00667AE5" w:rsidRPr="00667AE5" w:rsidRDefault="00667AE5" w:rsidP="00667AE5">
      <w:pPr>
        <w:pStyle w:val="Ttulo1"/>
        <w:shd w:val="clear" w:color="auto" w:fill="FFFFFF" w:themeFill="background1"/>
        <w:spacing w:line="360" w:lineRule="auto"/>
        <w:rPr>
          <w:rFonts w:ascii="Arial" w:hAnsi="Arial" w:cs="Arial"/>
          <w:sz w:val="28"/>
          <w:szCs w:val="28"/>
        </w:rPr>
      </w:pPr>
    </w:p>
    <w:p w:rsidR="00667AE5" w:rsidRDefault="00667AE5" w:rsidP="004A0919">
      <w:pPr>
        <w:pStyle w:val="Ttulo1"/>
        <w:numPr>
          <w:ilvl w:val="0"/>
          <w:numId w:val="2"/>
        </w:numPr>
        <w:shd w:val="clear" w:color="auto" w:fill="FFFFFF" w:themeFill="background1"/>
        <w:spacing w:line="360" w:lineRule="auto"/>
        <w:jc w:val="center"/>
        <w:rPr>
          <w:rFonts w:ascii="Arial" w:hAnsi="Arial" w:cs="Arial"/>
          <w:sz w:val="28"/>
          <w:szCs w:val="28"/>
        </w:rPr>
      </w:pPr>
      <w:r>
        <w:rPr>
          <w:rFonts w:ascii="Arial" w:hAnsi="Arial" w:cs="Arial"/>
          <w:sz w:val="28"/>
          <w:szCs w:val="28"/>
        </w:rPr>
        <w:t>Establecer si es necesario inscribir la adquisición en pública subasta.</w:t>
      </w: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8C6373" w:rsidRDefault="008C6373" w:rsidP="008C6373">
      <w:pPr>
        <w:pStyle w:val="Ttulo1"/>
        <w:shd w:val="clear" w:color="auto" w:fill="FFFFFF" w:themeFill="background1"/>
        <w:spacing w:line="360" w:lineRule="auto"/>
        <w:jc w:val="center"/>
        <w:rPr>
          <w:rFonts w:ascii="Arial" w:hAnsi="Arial" w:cs="Arial"/>
          <w:sz w:val="28"/>
          <w:szCs w:val="28"/>
        </w:rPr>
      </w:pPr>
    </w:p>
    <w:p w:rsidR="008C6373" w:rsidRDefault="008C6373" w:rsidP="00667AE5">
      <w:pPr>
        <w:pStyle w:val="Ttulo1"/>
        <w:shd w:val="clear" w:color="auto" w:fill="FFFFFF" w:themeFill="background1"/>
        <w:spacing w:line="360" w:lineRule="auto"/>
        <w:rPr>
          <w:rFonts w:ascii="Arial" w:hAnsi="Arial" w:cs="Arial"/>
          <w:sz w:val="28"/>
          <w:szCs w:val="28"/>
        </w:rPr>
      </w:pPr>
    </w:p>
    <w:p w:rsidR="00072CDD" w:rsidRPr="00072CDD" w:rsidRDefault="00072CDD" w:rsidP="008C6373">
      <w:pPr>
        <w:pStyle w:val="Ttulo1"/>
        <w:shd w:val="clear" w:color="auto" w:fill="FFFFFF" w:themeFill="background1"/>
        <w:spacing w:line="360" w:lineRule="auto"/>
        <w:jc w:val="center"/>
        <w:rPr>
          <w:rFonts w:ascii="Arial" w:hAnsi="Arial" w:cs="Arial"/>
          <w:sz w:val="28"/>
          <w:szCs w:val="28"/>
        </w:rPr>
      </w:pPr>
      <w:r w:rsidRPr="00072CDD">
        <w:rPr>
          <w:rFonts w:ascii="Arial" w:hAnsi="Arial" w:cs="Arial"/>
          <w:sz w:val="28"/>
          <w:szCs w:val="28"/>
        </w:rPr>
        <w:t>REALIZACION  DE INMUEBLES</w:t>
      </w:r>
    </w:p>
    <w:p w:rsidR="00317720" w:rsidRPr="00317720" w:rsidRDefault="00317720" w:rsidP="008C6373">
      <w:pPr>
        <w:pStyle w:val="Ttulo1"/>
        <w:shd w:val="clear" w:color="auto" w:fill="FFFFFF" w:themeFill="background1"/>
        <w:spacing w:line="360" w:lineRule="auto"/>
        <w:jc w:val="both"/>
        <w:rPr>
          <w:rFonts w:ascii="Arial" w:hAnsi="Arial" w:cs="Arial"/>
          <w:b w:val="0"/>
          <w:sz w:val="24"/>
          <w:szCs w:val="24"/>
        </w:rPr>
      </w:pPr>
      <w:r w:rsidRPr="00317720">
        <w:rPr>
          <w:rFonts w:ascii="Arial" w:hAnsi="Arial" w:cs="Arial"/>
          <w:b w:val="0"/>
          <w:sz w:val="24"/>
          <w:szCs w:val="24"/>
        </w:rPr>
        <w:t>Subasta pública</w:t>
      </w:r>
    </w:p>
    <w:p w:rsidR="00317720" w:rsidRPr="00317720" w:rsidRDefault="00317720" w:rsidP="008C6373">
      <w:pPr>
        <w:pStyle w:val="NormalWeb"/>
        <w:shd w:val="clear" w:color="auto" w:fill="FFFFFF" w:themeFill="background1"/>
        <w:spacing w:line="360" w:lineRule="auto"/>
        <w:jc w:val="both"/>
        <w:rPr>
          <w:rFonts w:ascii="Arial" w:hAnsi="Arial" w:cs="Arial"/>
        </w:rPr>
      </w:pPr>
      <w:r w:rsidRPr="00317720">
        <w:rPr>
          <w:rFonts w:ascii="Arial" w:hAnsi="Arial" w:cs="Arial"/>
        </w:rPr>
        <w:t xml:space="preserve">Una </w:t>
      </w:r>
      <w:r w:rsidRPr="00317720">
        <w:rPr>
          <w:rFonts w:ascii="Arial" w:hAnsi="Arial" w:cs="Arial"/>
          <w:bCs/>
        </w:rPr>
        <w:t>subasta pública</w:t>
      </w:r>
      <w:r w:rsidRPr="00317720">
        <w:rPr>
          <w:rFonts w:ascii="Arial" w:hAnsi="Arial" w:cs="Arial"/>
        </w:rPr>
        <w:t xml:space="preserve"> es un procedimiento para la venta de un </w:t>
      </w:r>
      <w:hyperlink r:id="rId12" w:tooltip="Bien económico" w:history="1">
        <w:r w:rsidRPr="00317720">
          <w:rPr>
            <w:rStyle w:val="Hipervnculo"/>
            <w:rFonts w:ascii="Arial" w:hAnsi="Arial" w:cs="Arial"/>
            <w:color w:val="auto"/>
            <w:u w:val="none"/>
          </w:rPr>
          <w:t>bien</w:t>
        </w:r>
      </w:hyperlink>
      <w:r w:rsidRPr="00317720">
        <w:rPr>
          <w:rFonts w:ascii="Arial" w:hAnsi="Arial" w:cs="Arial"/>
        </w:rPr>
        <w:t xml:space="preserve"> a través del cual se pretende determinar el </w:t>
      </w:r>
      <w:hyperlink r:id="rId13" w:tooltip="Comprador" w:history="1">
        <w:r w:rsidRPr="00317720">
          <w:rPr>
            <w:rStyle w:val="Hipervnculo"/>
            <w:rFonts w:ascii="Arial" w:hAnsi="Arial" w:cs="Arial"/>
            <w:color w:val="auto"/>
            <w:u w:val="none"/>
          </w:rPr>
          <w:t>comprador</w:t>
        </w:r>
      </w:hyperlink>
      <w:r w:rsidRPr="00317720">
        <w:rPr>
          <w:rFonts w:ascii="Arial" w:hAnsi="Arial" w:cs="Arial"/>
        </w:rPr>
        <w:t xml:space="preserve"> y el </w:t>
      </w:r>
      <w:hyperlink r:id="rId14" w:tooltip="Precio" w:history="1">
        <w:r w:rsidRPr="00317720">
          <w:rPr>
            <w:rStyle w:val="Hipervnculo"/>
            <w:rFonts w:ascii="Arial" w:hAnsi="Arial" w:cs="Arial"/>
            <w:color w:val="auto"/>
            <w:u w:val="none"/>
          </w:rPr>
          <w:t>precio</w:t>
        </w:r>
      </w:hyperlink>
      <w:r w:rsidRPr="00317720">
        <w:rPr>
          <w:rFonts w:ascii="Arial" w:hAnsi="Arial" w:cs="Arial"/>
        </w:rPr>
        <w:t>, según el sistema de competencia entre varios posibles compradores, adjudicando el bien al que mayor precio ofrezca. Además, la subasta pública se diferencia de otro tipo de subastas por el hecho de que cualquier persona puede pujar por la compra del bien.</w:t>
      </w:r>
    </w:p>
    <w:p w:rsidR="002572BA"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 xml:space="preserve">Art. 642. “El comprador pedirá la aprobación del remate dentro de tercería día, </w:t>
      </w:r>
      <w:r w:rsidR="00317720" w:rsidRPr="00972EAE">
        <w:rPr>
          <w:rFonts w:ascii="Arial" w:hAnsi="Arial" w:cs="Arial"/>
          <w:sz w:val="24"/>
          <w:szCs w:val="24"/>
        </w:rPr>
        <w:t>obrando</w:t>
      </w:r>
      <w:r w:rsidRPr="00972EAE">
        <w:rPr>
          <w:rFonts w:ascii="Arial" w:hAnsi="Arial" w:cs="Arial"/>
          <w:sz w:val="24"/>
          <w:szCs w:val="24"/>
        </w:rPr>
        <w:t xml:space="preserve"> el dinero que hubiere ofrecido de contado para el pago de la deuda, sus intereses y costas.</w:t>
      </w:r>
    </w:p>
    <w:p w:rsidR="00317720"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El dinero obrado se pagará a quienes corresponde, con recibo, entregándose los bienes al comprador.</w:t>
      </w:r>
      <w:r>
        <w:rPr>
          <w:rFonts w:ascii="Arial" w:hAnsi="Arial" w:cs="Arial"/>
          <w:sz w:val="24"/>
          <w:szCs w:val="24"/>
        </w:rPr>
        <w:t xml:space="preserve"> </w:t>
      </w:r>
      <w:r w:rsidRPr="00972EAE">
        <w:rPr>
          <w:rFonts w:ascii="Arial" w:hAnsi="Arial" w:cs="Arial"/>
          <w:sz w:val="24"/>
          <w:szCs w:val="24"/>
        </w:rPr>
        <w:t>Para esta entrega, si se tratare de un inmueble, el Juez, a instancia de parte, lanzará previamente, sin forma de juicio, al ejecutado, su familia, agentes, dependientes o criados, concediéndoles un breve término prudencialmente, y en caso muy necesario para que desocupen”.</w:t>
      </w:r>
      <w:r>
        <w:rPr>
          <w:rStyle w:val="Refdenotaalpie"/>
          <w:rFonts w:ascii="Arial" w:hAnsi="Arial" w:cs="Arial"/>
          <w:sz w:val="24"/>
          <w:szCs w:val="24"/>
        </w:rPr>
        <w:footnoteReference w:id="1"/>
      </w:r>
      <w:r w:rsidRPr="00972EAE">
        <w:rPr>
          <w:sz w:val="24"/>
          <w:szCs w:val="24"/>
        </w:rPr>
        <w:br/>
      </w:r>
      <w:r w:rsidRPr="00972EAE">
        <w:rPr>
          <w:rFonts w:ascii="Arial" w:hAnsi="Arial" w:cs="Arial"/>
          <w:sz w:val="24"/>
          <w:szCs w:val="24"/>
        </w:rPr>
        <w:t>Si ninguno de los acreedores es preferente, se cubrirán sus créditos a prorrata.</w:t>
      </w:r>
      <w:r w:rsidRPr="00972EAE">
        <w:rPr>
          <w:sz w:val="24"/>
          <w:szCs w:val="24"/>
        </w:rPr>
        <w:br/>
      </w:r>
      <w:r w:rsidRPr="00972EAE">
        <w:rPr>
          <w:rFonts w:ascii="Arial" w:hAnsi="Arial" w:cs="Arial"/>
          <w:sz w:val="24"/>
          <w:szCs w:val="24"/>
        </w:rPr>
        <w:t>De todo pago hecho por el Juez debe quedar constancia en el proceso.</w:t>
      </w:r>
      <w:r w:rsidRPr="00972EAE">
        <w:rPr>
          <w:sz w:val="24"/>
          <w:szCs w:val="24"/>
        </w:rPr>
        <w:br/>
      </w:r>
      <w:r w:rsidRPr="00972EAE">
        <w:rPr>
          <w:rFonts w:ascii="Arial" w:hAnsi="Arial" w:cs="Arial"/>
          <w:sz w:val="24"/>
          <w:szCs w:val="24"/>
        </w:rPr>
        <w:t xml:space="preserve">Si los bienes subastados son inmuebles y han sido entregados materialmente al depositario, una vez aprobado el remate, se libra orden para su entrega al </w:t>
      </w:r>
      <w:r w:rsidRPr="00972EAE">
        <w:rPr>
          <w:rFonts w:ascii="Arial" w:hAnsi="Arial" w:cs="Arial"/>
          <w:sz w:val="24"/>
          <w:szCs w:val="24"/>
        </w:rPr>
        <w:lastRenderedPageBreak/>
        <w:t>comprador o adjudicatario, pero como perfectamente puede suceder que dichos bienes se encuentran en poder de su anterior dueño, por haber omitido el depositario pedir la entrega material de ellos, a petición del interesado se lanza de dichos bienes al ejecutado y demás personas que por desprender de él se encuentren ocupándolos, sin necesidad de juicio y concediéndoles únicamente un plazo prudencial para que los desocupen, pues de lo contrario deben ser lanzados sin ninguna consideración.</w:t>
      </w:r>
    </w:p>
    <w:p w:rsidR="002572BA"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 xml:space="preserve">Como la ley no indica la manera de proceder cuando se ordena el apremio del rematario, y estando, además, derogada desde el año de 1896 la prisión por deuda, y siendo, a mi juicio, la falta del comprador, de presentar el dinero valor de la subasta, una verdadera deuda, no creo aplicable al rematario las sanciones que la ley, en su Art. 657 </w:t>
      </w:r>
      <w:proofErr w:type="spellStart"/>
      <w:r w:rsidRPr="00972EAE">
        <w:rPr>
          <w:rFonts w:ascii="Arial" w:hAnsi="Arial" w:cs="Arial"/>
          <w:sz w:val="24"/>
          <w:szCs w:val="24"/>
        </w:rPr>
        <w:t>Pr.</w:t>
      </w:r>
      <w:proofErr w:type="spellEnd"/>
      <w:r w:rsidRPr="00972EAE">
        <w:rPr>
          <w:rFonts w:ascii="Arial" w:hAnsi="Arial" w:cs="Arial"/>
          <w:sz w:val="24"/>
          <w:szCs w:val="24"/>
        </w:rPr>
        <w:t>, aplica al deudor de una obligación de hacer, pues dichas sanciones se explican respecto de éste, porque el incumplimiento de la obligación de hacer depende, por lo regular, de la voluntad del obligado, mientras que en el caso del comprador puede suceder que el incumplimiento dependa de causas independientes de su voluntad.</w:t>
      </w:r>
      <w:r w:rsidRPr="00972EAE">
        <w:rPr>
          <w:sz w:val="24"/>
          <w:szCs w:val="24"/>
        </w:rPr>
        <w:br/>
      </w:r>
      <w:r w:rsidRPr="00972EAE">
        <w:rPr>
          <w:sz w:val="24"/>
          <w:szCs w:val="24"/>
        </w:rPr>
        <w:br/>
      </w:r>
      <w:r w:rsidRPr="00972EAE">
        <w:rPr>
          <w:rFonts w:ascii="Arial" w:hAnsi="Arial" w:cs="Arial"/>
          <w:sz w:val="24"/>
          <w:szCs w:val="24"/>
        </w:rPr>
        <w:t>Como el embargo sobre sus bienes no priva al deudor del demonio sobre ellos ni sobre los frutos que producen, perfectamente puede ocurrir que durante la tramitación del juicio existan en poder del depositario valores suficientes para pagar, en su totalidad, la deuda y los accesorios, y entonces el Juez de oficio, -o a petición de parte- debe levantar el embargo trabado y dar por terminado el procedimiento, pagando al acreedor la totalidad de su reclamo.</w:t>
      </w:r>
    </w:p>
    <w:p w:rsidR="002572BA"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Muchos depositarios confunden la rendición de cuentas con la obligación de dar cuenta y razón del cargo, y por ello pretenden negar al Juez que les impone esta obligación el derecho a hacerlo, alegando que las cuentas sólo se rinden al terminar el depósito y no antes, y que razón y cuenta de su cargo únicamente deben darla los depositarios de los bienes que numera el artículo 624.</w:t>
      </w:r>
    </w:p>
    <w:p w:rsidR="002572BA" w:rsidRPr="002572BA"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Conforme al Código de 1857, si podía el dueño de los bienes, aún después de la aprobación del remate admitir sus bienes.</w:t>
      </w:r>
      <w:r>
        <w:rPr>
          <w:rFonts w:ascii="Arial" w:hAnsi="Arial" w:cs="Arial"/>
          <w:sz w:val="24"/>
          <w:szCs w:val="24"/>
        </w:rPr>
        <w:t xml:space="preserve"> </w:t>
      </w:r>
      <w:r w:rsidRPr="00972EAE">
        <w:rPr>
          <w:rFonts w:ascii="Arial" w:hAnsi="Arial" w:cs="Arial"/>
          <w:sz w:val="24"/>
          <w:szCs w:val="24"/>
        </w:rPr>
        <w:t>En efecto, el Art. 601 decía:</w:t>
      </w:r>
      <w:r w:rsidRPr="00972EAE">
        <w:rPr>
          <w:sz w:val="24"/>
          <w:szCs w:val="24"/>
        </w:rPr>
        <w:br/>
      </w:r>
      <w:r w:rsidRPr="00972EAE">
        <w:rPr>
          <w:rFonts w:ascii="Arial" w:hAnsi="Arial" w:cs="Arial"/>
          <w:sz w:val="24"/>
          <w:szCs w:val="24"/>
        </w:rPr>
        <w:t xml:space="preserve">“El ejecutado podrá pagar la deuda en cualquier estado de la causa, aún hasta </w:t>
      </w:r>
      <w:r w:rsidRPr="00972EAE">
        <w:rPr>
          <w:rFonts w:ascii="Arial" w:hAnsi="Arial" w:cs="Arial"/>
          <w:sz w:val="24"/>
          <w:szCs w:val="24"/>
        </w:rPr>
        <w:lastRenderedPageBreak/>
        <w:t>nueve días después de aprobado el remate, pagando las costas, perjuicios causados al rematador, si los hubiere sufrido, y las demás condiciones de la sentencia”.</w:t>
      </w:r>
      <w:r>
        <w:rPr>
          <w:sz w:val="24"/>
          <w:szCs w:val="24"/>
        </w:rPr>
        <w:t xml:space="preserve"> </w:t>
      </w:r>
      <w:r w:rsidRPr="00972EAE">
        <w:rPr>
          <w:rFonts w:ascii="Arial" w:hAnsi="Arial" w:cs="Arial"/>
          <w:sz w:val="24"/>
          <w:szCs w:val="24"/>
        </w:rPr>
        <w:t>Y es teniendo como fundamento de nuestra antigua legislación, que opino que mientras no se apruebe el remate el deudor puede redimir sus bienes si paga sólo lo reclamado.</w:t>
      </w:r>
    </w:p>
    <w:p w:rsidR="002572BA"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Cuando los bienes que se van a subastar son raíces, hay necesidad de que el Registrador informe previamente para saberse si están inscritos a favor de otra persona por derechos reales u otros que deban respetarse.</w:t>
      </w:r>
    </w:p>
    <w:p w:rsidR="002572BA"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Estos derechos reales pueden ser el dominio, usufructo, uso o habitación, servidumbre activa o hipoteca; y los otros a que alude la ley, otro embargo, anotado o una demanda anotada preventivamente, en los casos que ello procede.</w:t>
      </w:r>
      <w:r w:rsidRPr="00972EAE">
        <w:rPr>
          <w:sz w:val="24"/>
          <w:szCs w:val="24"/>
        </w:rPr>
        <w:br/>
      </w:r>
      <w:r w:rsidRPr="00972EAE">
        <w:rPr>
          <w:rFonts w:ascii="Arial" w:hAnsi="Arial" w:cs="Arial"/>
          <w:sz w:val="24"/>
          <w:szCs w:val="24"/>
        </w:rPr>
        <w:t>Lo dicho es sin perjuicio que el tercer demandante puede hacer valer su derecho conforme a la ley en el juicio ejecutivo y diligencias referidas.</w:t>
      </w:r>
      <w:r w:rsidRPr="00972EAE">
        <w:rPr>
          <w:sz w:val="24"/>
          <w:szCs w:val="24"/>
        </w:rPr>
        <w:br/>
      </w:r>
      <w:r w:rsidRPr="00972EAE">
        <w:rPr>
          <w:rFonts w:ascii="Arial" w:hAnsi="Arial" w:cs="Arial"/>
          <w:sz w:val="24"/>
          <w:szCs w:val="24"/>
        </w:rPr>
        <w:t>Si la anotación preventiva se hubiera hecho antes de iniciarse la ejecución y diligencias de que se ha hecho mención, tampoco habrá nulidad en la enajenación, salvo el caso de que el instrumento que sirva de base a la demanda anotada esté inscrito con anterioridad al del ejecutado, según el informe del Registro de la Propiedad que al efecto deberá pedirse; y en este caso, el Juez suspenderá el remate o adjudicación, mientras se decide, por sentencia ejecutoriada, la demanda promovida.</w:t>
      </w:r>
    </w:p>
    <w:p w:rsidR="002572BA"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Asimismo, la anotación preventiva de una demanda no anula la enajenación que se haga del inmueble o inmuebles anotados, si el que enajena no fuere el demandante y su derecho no se deriva de éste ni de sus antecesores, sino de otra fuente distinta constante en el Registro de la Propiedad.</w:t>
      </w:r>
      <w:r w:rsidRPr="00972EAE">
        <w:rPr>
          <w:sz w:val="24"/>
          <w:szCs w:val="24"/>
        </w:rPr>
        <w:br/>
      </w:r>
      <w:r w:rsidRPr="00972EAE">
        <w:rPr>
          <w:sz w:val="24"/>
          <w:szCs w:val="24"/>
        </w:rPr>
        <w:br/>
      </w:r>
      <w:r w:rsidRPr="00972EAE">
        <w:rPr>
          <w:rFonts w:ascii="Arial" w:hAnsi="Arial" w:cs="Arial"/>
          <w:sz w:val="24"/>
          <w:szCs w:val="24"/>
        </w:rPr>
        <w:t>En el caso de un secuestro preventivo, de otro embargo en juicio ejecutivo o la anotación preventiva ordenada por el Juez en causa criminal, cuando se embargan bienes raíces al reo, la citación que debe hacerse conforme este artículo tiene por objeto que puedan hacer valer la preferencia que gozan.</w:t>
      </w:r>
      <w:r w:rsidRPr="00972EAE">
        <w:rPr>
          <w:sz w:val="24"/>
          <w:szCs w:val="24"/>
        </w:rPr>
        <w:br/>
      </w:r>
      <w:r w:rsidRPr="00972EAE">
        <w:rPr>
          <w:sz w:val="24"/>
          <w:szCs w:val="24"/>
        </w:rPr>
        <w:br/>
      </w:r>
      <w:r w:rsidRPr="00972EAE">
        <w:rPr>
          <w:rFonts w:ascii="Arial" w:hAnsi="Arial" w:cs="Arial"/>
          <w:sz w:val="24"/>
          <w:szCs w:val="24"/>
        </w:rPr>
        <w:t xml:space="preserve">En el informe, el Registrador debe manifestar si el inmueble embargado está </w:t>
      </w:r>
      <w:r w:rsidRPr="00972EAE">
        <w:rPr>
          <w:rFonts w:ascii="Arial" w:hAnsi="Arial" w:cs="Arial"/>
          <w:sz w:val="24"/>
          <w:szCs w:val="24"/>
        </w:rPr>
        <w:lastRenderedPageBreak/>
        <w:t>inscrito a favor del deudor o ejecutado, y el Juez debe ordenar el desembargo, aún sin que nadie se lo pida, si no aparece tal inscripción, y el remate que se verificare contrariando lo así dispuesto será nulo y las costas, daños y perjuicios correrán a cargo del Juez culpable.</w:t>
      </w:r>
      <w:r>
        <w:rPr>
          <w:rFonts w:ascii="Arial" w:hAnsi="Arial" w:cs="Arial"/>
          <w:sz w:val="24"/>
          <w:szCs w:val="24"/>
        </w:rPr>
        <w:t xml:space="preserve"> </w:t>
      </w:r>
      <w:r w:rsidRPr="00972EAE">
        <w:rPr>
          <w:rFonts w:ascii="Arial" w:hAnsi="Arial" w:cs="Arial"/>
          <w:sz w:val="24"/>
          <w:szCs w:val="24"/>
        </w:rPr>
        <w:t>El último inciso de este artículo fue agregado por Decreto Legislativo de 17 de julio de 1916, para poner coto a los continuos abusos que se cometían, rematando inmuebles que se decía carecía de antecedente inscrito, aunque en realidad eran de distinto dueño que el ejecutado.</w:t>
      </w:r>
      <w:r>
        <w:rPr>
          <w:rFonts w:ascii="Arial" w:hAnsi="Arial" w:cs="Arial"/>
          <w:sz w:val="24"/>
          <w:szCs w:val="24"/>
        </w:rPr>
        <w:t xml:space="preserve"> </w:t>
      </w:r>
      <w:r w:rsidRPr="00972EAE">
        <w:rPr>
          <w:rFonts w:ascii="Arial" w:hAnsi="Arial" w:cs="Arial"/>
          <w:sz w:val="24"/>
          <w:szCs w:val="24"/>
        </w:rPr>
        <w:t>Y esta maniobra fraudulenta se lograba porque conforme al inciso 3º del Art. 695 C., era permitido inscribir antecedente inscrito las adjudicaciones y remates en juicio ejecutivo.</w:t>
      </w:r>
      <w:r>
        <w:rPr>
          <w:rStyle w:val="Refdenotaalpie"/>
          <w:rFonts w:ascii="Arial" w:hAnsi="Arial" w:cs="Arial"/>
          <w:sz w:val="24"/>
          <w:szCs w:val="24"/>
        </w:rPr>
        <w:footnoteReference w:id="2"/>
      </w:r>
    </w:p>
    <w:p w:rsidR="002572BA"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JURISPRUDENCIA. “El acreedor hipotecario puede perseguir la finca hipotecada en manos de cualquier poseedor, salvo que éste lo haya adquirido en pública subasta en virtud de ejecución.</w:t>
      </w:r>
      <w:r>
        <w:rPr>
          <w:rFonts w:ascii="Arial" w:hAnsi="Arial" w:cs="Arial"/>
          <w:sz w:val="24"/>
          <w:szCs w:val="24"/>
        </w:rPr>
        <w:t xml:space="preserve"> </w:t>
      </w:r>
      <w:r w:rsidRPr="00972EAE">
        <w:rPr>
          <w:rFonts w:ascii="Arial" w:hAnsi="Arial" w:cs="Arial"/>
          <w:sz w:val="24"/>
          <w:szCs w:val="24"/>
        </w:rPr>
        <w:t>Para que esta excepción surta efecto debe haber sido citado el acreedor hipotecario. Si no lo fue conserva su derecho aunque el registrador en su informe haya dicho que no estaba gravado el inmueble (R. J. Diciembre 1907)”.</w:t>
      </w:r>
    </w:p>
    <w:p w:rsidR="002572BA" w:rsidRDefault="002572BA" w:rsidP="008C6373">
      <w:pPr>
        <w:shd w:val="clear" w:color="auto" w:fill="FFFFFF" w:themeFill="background1"/>
        <w:spacing w:line="360" w:lineRule="auto"/>
        <w:jc w:val="both"/>
        <w:rPr>
          <w:rFonts w:ascii="Arial" w:hAnsi="Arial" w:cs="Arial"/>
          <w:sz w:val="24"/>
          <w:szCs w:val="24"/>
        </w:rPr>
      </w:pPr>
      <w:r w:rsidRPr="00972EAE">
        <w:rPr>
          <w:rFonts w:ascii="Arial" w:hAnsi="Arial" w:cs="Arial"/>
          <w:sz w:val="24"/>
          <w:szCs w:val="24"/>
        </w:rPr>
        <w:t>Desarrollando esta tesis dijo, en lo pertinente, la Cámara sentenciadora, formada por los Magistrados Manuel Pacas y Manuel I. Morales:</w:t>
      </w:r>
      <w:r w:rsidRPr="00972EAE">
        <w:rPr>
          <w:sz w:val="24"/>
          <w:szCs w:val="24"/>
        </w:rPr>
        <w:br/>
      </w:r>
      <w:r w:rsidRPr="00972EAE">
        <w:rPr>
          <w:rFonts w:ascii="Arial" w:hAnsi="Arial" w:cs="Arial"/>
          <w:sz w:val="24"/>
          <w:szCs w:val="24"/>
        </w:rPr>
        <w:t>“Que el informe del Registrador sobre no existir gravamen alguno sobre el inmueble, hace irresponsable al Juez del error cometido en virtud de dicho informe; más, no puede privar al acreedor hipotecario del derecho adquirido, sin infringir el Art. 20 de la Constitución Política”</w:t>
      </w:r>
    </w:p>
    <w:p w:rsidR="002572BA" w:rsidRDefault="002572BA" w:rsidP="008C6373">
      <w:pPr>
        <w:shd w:val="clear" w:color="auto" w:fill="FFFFFF" w:themeFill="background1"/>
        <w:spacing w:line="360" w:lineRule="auto"/>
        <w:jc w:val="both"/>
        <w:rPr>
          <w:rFonts w:ascii="Arial" w:hAnsi="Arial" w:cs="Arial"/>
          <w:sz w:val="24"/>
          <w:szCs w:val="24"/>
        </w:rPr>
      </w:pPr>
    </w:p>
    <w:p w:rsidR="002572BA" w:rsidRPr="00317720" w:rsidRDefault="002572BA" w:rsidP="008C6373">
      <w:pPr>
        <w:shd w:val="clear" w:color="auto" w:fill="FFFFFF" w:themeFill="background1"/>
        <w:spacing w:before="100" w:beforeAutospacing="1" w:after="100" w:afterAutospacing="1" w:line="240" w:lineRule="auto"/>
        <w:jc w:val="both"/>
        <w:rPr>
          <w:rFonts w:ascii="Arial" w:eastAsia="Times New Roman" w:hAnsi="Arial" w:cs="Arial"/>
          <w:sz w:val="24"/>
          <w:szCs w:val="24"/>
          <w:lang w:eastAsia="es-ES"/>
        </w:rPr>
      </w:pPr>
      <w:r w:rsidRPr="00B84426">
        <w:rPr>
          <w:rFonts w:ascii="Arial" w:eastAsia="Times New Roman" w:hAnsi="Arial" w:cs="Arial"/>
          <w:b/>
          <w:sz w:val="24"/>
          <w:szCs w:val="24"/>
          <w:lang w:eastAsia="es-ES"/>
        </w:rPr>
        <w:t>Un certificado de dominio y cargas</w:t>
      </w:r>
      <w:r w:rsidRPr="00B84426">
        <w:rPr>
          <w:rFonts w:ascii="Arial" w:eastAsia="Times New Roman" w:hAnsi="Arial" w:cs="Arial"/>
          <w:sz w:val="24"/>
          <w:szCs w:val="24"/>
          <w:lang w:eastAsia="es-ES"/>
        </w:rPr>
        <w:t xml:space="preserve"> </w:t>
      </w:r>
    </w:p>
    <w:p w:rsidR="002572BA" w:rsidRPr="00B84426" w:rsidRDefault="00317720" w:rsidP="008C6373">
      <w:pPr>
        <w:shd w:val="clear" w:color="auto" w:fill="FFFFFF" w:themeFill="background1"/>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w:t>
      </w:r>
      <w:r w:rsidR="002572BA" w:rsidRPr="00B84426">
        <w:rPr>
          <w:rFonts w:ascii="Arial" w:eastAsia="Times New Roman" w:hAnsi="Arial" w:cs="Arial"/>
          <w:sz w:val="24"/>
          <w:szCs w:val="24"/>
          <w:lang w:eastAsia="es-ES"/>
        </w:rPr>
        <w:t>s un documento oficial suscrito por el Registro de la Propiedad en donde se encuentre inscrito el inmueble, en el cual se certifican, para una fecha concreta, dos aspectos:</w:t>
      </w:r>
    </w:p>
    <w:p w:rsidR="002572BA" w:rsidRPr="00B84426" w:rsidRDefault="002572BA" w:rsidP="008C6373">
      <w:pPr>
        <w:numPr>
          <w:ilvl w:val="0"/>
          <w:numId w:val="1"/>
        </w:numPr>
        <w:shd w:val="clear" w:color="auto" w:fill="FFFFFF" w:themeFill="background1"/>
        <w:spacing w:before="100" w:beforeAutospacing="1" w:after="100" w:afterAutospacing="1" w:line="240" w:lineRule="auto"/>
        <w:jc w:val="both"/>
        <w:rPr>
          <w:rFonts w:ascii="Arial" w:eastAsia="Times New Roman" w:hAnsi="Arial" w:cs="Arial"/>
          <w:sz w:val="24"/>
          <w:szCs w:val="24"/>
          <w:lang w:eastAsia="es-ES"/>
        </w:rPr>
      </w:pPr>
      <w:r w:rsidRPr="00B84426">
        <w:rPr>
          <w:rFonts w:ascii="Arial" w:eastAsia="Times New Roman" w:hAnsi="Arial" w:cs="Arial"/>
          <w:sz w:val="24"/>
          <w:szCs w:val="24"/>
          <w:lang w:eastAsia="es-ES"/>
        </w:rPr>
        <w:lastRenderedPageBreak/>
        <w:t>El estado de Dominio, es decir, quien es el propietario del inmueble y si lo es en forma total (o si ha otorgado el inmueble en usufructo, por ejemplo).</w:t>
      </w:r>
    </w:p>
    <w:p w:rsidR="002572BA" w:rsidRPr="00B84426" w:rsidRDefault="002572BA" w:rsidP="008C6373">
      <w:pPr>
        <w:numPr>
          <w:ilvl w:val="0"/>
          <w:numId w:val="1"/>
        </w:numPr>
        <w:shd w:val="clear" w:color="auto" w:fill="FFFFFF" w:themeFill="background1"/>
        <w:spacing w:before="100" w:beforeAutospacing="1" w:after="100" w:afterAutospacing="1" w:line="240" w:lineRule="auto"/>
        <w:jc w:val="both"/>
        <w:rPr>
          <w:rFonts w:ascii="Arial" w:eastAsia="Times New Roman" w:hAnsi="Arial" w:cs="Arial"/>
          <w:sz w:val="24"/>
          <w:szCs w:val="24"/>
          <w:lang w:eastAsia="es-ES"/>
        </w:rPr>
      </w:pPr>
      <w:r w:rsidRPr="00B84426">
        <w:rPr>
          <w:rFonts w:ascii="Arial" w:eastAsia="Times New Roman" w:hAnsi="Arial" w:cs="Arial"/>
          <w:sz w:val="24"/>
          <w:szCs w:val="24"/>
          <w:lang w:eastAsia="es-ES"/>
        </w:rPr>
        <w:t>Las cargas registrales de la finca a consultar, esto es, si hay alguna hipoteca, embargo o cualquier otra medida que afecte el inmueble.</w:t>
      </w:r>
    </w:p>
    <w:p w:rsidR="002572BA" w:rsidRPr="00B84426" w:rsidRDefault="002572BA" w:rsidP="008C6373">
      <w:pPr>
        <w:shd w:val="clear" w:color="auto" w:fill="FFFFFF" w:themeFill="background1"/>
        <w:spacing w:before="100" w:beforeAutospacing="1" w:after="100" w:afterAutospacing="1" w:line="240" w:lineRule="auto"/>
        <w:jc w:val="both"/>
        <w:rPr>
          <w:rFonts w:ascii="Arial" w:eastAsia="Times New Roman" w:hAnsi="Arial" w:cs="Arial"/>
          <w:sz w:val="24"/>
          <w:szCs w:val="24"/>
          <w:lang w:eastAsia="es-ES"/>
        </w:rPr>
      </w:pPr>
      <w:r w:rsidRPr="00B84426">
        <w:rPr>
          <w:rFonts w:ascii="Arial" w:eastAsia="Times New Roman" w:hAnsi="Arial" w:cs="Arial"/>
          <w:sz w:val="24"/>
          <w:szCs w:val="24"/>
          <w:lang w:eastAsia="es-ES"/>
        </w:rPr>
        <w:t>Por supuesto, el certificado identifica la finca tanto por su número de catastro como por su ubicación y demás datos importantes.</w:t>
      </w:r>
    </w:p>
    <w:p w:rsidR="002572BA" w:rsidRPr="00B84426" w:rsidRDefault="002572BA" w:rsidP="008C6373">
      <w:pPr>
        <w:shd w:val="clear" w:color="auto" w:fill="FFFFFF" w:themeFill="background1"/>
        <w:spacing w:before="100" w:beforeAutospacing="1" w:after="100" w:afterAutospacing="1" w:line="240" w:lineRule="auto"/>
        <w:jc w:val="both"/>
        <w:rPr>
          <w:rFonts w:ascii="Arial" w:eastAsia="Times New Roman" w:hAnsi="Arial" w:cs="Arial"/>
          <w:sz w:val="24"/>
          <w:szCs w:val="24"/>
          <w:lang w:eastAsia="es-ES"/>
        </w:rPr>
      </w:pPr>
      <w:r w:rsidRPr="00B84426">
        <w:rPr>
          <w:rFonts w:ascii="Arial" w:eastAsia="Times New Roman" w:hAnsi="Arial" w:cs="Arial"/>
          <w:sz w:val="24"/>
          <w:szCs w:val="24"/>
          <w:lang w:eastAsia="es-ES"/>
        </w:rPr>
        <w:t>La certificación es firmada y cotejada por el Registrador. Estas certificaciones registrales sirven de prueba frente a terceros en caso de disputas judiciales. Esto las diferencia de la nota simple, que es sencillamente un documento con carácter informativo pero que no da fe pública.</w:t>
      </w:r>
    </w:p>
    <w:p w:rsidR="002572BA" w:rsidRPr="00317720" w:rsidRDefault="002572BA" w:rsidP="008C6373">
      <w:pPr>
        <w:shd w:val="clear" w:color="auto" w:fill="FFFFFF" w:themeFill="background1"/>
        <w:jc w:val="both"/>
        <w:rPr>
          <w:rFonts w:ascii="Arial" w:hAnsi="Arial" w:cs="Arial"/>
          <w:sz w:val="24"/>
          <w:szCs w:val="24"/>
        </w:rPr>
      </w:pPr>
      <w:r w:rsidRPr="00317720">
        <w:rPr>
          <w:rFonts w:ascii="Arial" w:hAnsi="Arial" w:cs="Arial"/>
          <w:sz w:val="24"/>
          <w:szCs w:val="24"/>
          <w:lang w:eastAsia="es-ES"/>
        </w:rPr>
        <w:t xml:space="preserve">Hay saber </w:t>
      </w:r>
      <w:r w:rsidR="00317720" w:rsidRPr="00317720">
        <w:rPr>
          <w:rFonts w:ascii="Arial" w:hAnsi="Arial" w:cs="Arial"/>
          <w:sz w:val="24"/>
          <w:szCs w:val="24"/>
          <w:lang w:eastAsia="es-ES"/>
        </w:rPr>
        <w:t>quién</w:t>
      </w:r>
      <w:r w:rsidRPr="00317720">
        <w:rPr>
          <w:rFonts w:ascii="Arial" w:hAnsi="Arial" w:cs="Arial"/>
          <w:sz w:val="24"/>
          <w:szCs w:val="24"/>
          <w:lang w:eastAsia="es-ES"/>
        </w:rPr>
        <w:t xml:space="preserve"> es el propietario del inmueble para proceder con una negociación,  bastará con una nota simple. Para  tramitar, como es lo normal, una hipoteca, es conveniente que  se solicite la certificación de dominio y cargas, pues seguramente la institución bancaria  la requerirá.</w:t>
      </w:r>
      <w:r w:rsidRPr="00317720">
        <w:rPr>
          <w:rStyle w:val="Refdenotaalpie"/>
          <w:rFonts w:ascii="Arial" w:hAnsi="Arial" w:cs="Arial"/>
          <w:sz w:val="24"/>
          <w:szCs w:val="24"/>
          <w:lang w:eastAsia="es-ES"/>
        </w:rPr>
        <w:footnoteReference w:id="3"/>
      </w:r>
    </w:p>
    <w:p w:rsidR="002572BA" w:rsidRDefault="00E658F5" w:rsidP="008C6373">
      <w:pPr>
        <w:shd w:val="clear" w:color="auto" w:fill="FFFFFF" w:themeFill="background1"/>
        <w:spacing w:line="360" w:lineRule="auto"/>
        <w:jc w:val="both"/>
        <w:rPr>
          <w:rFonts w:ascii="Arial" w:hAnsi="Arial" w:cs="Arial"/>
          <w:sz w:val="24"/>
          <w:szCs w:val="24"/>
        </w:rPr>
      </w:pPr>
      <w:r>
        <w:rPr>
          <w:rFonts w:ascii="Arial" w:hAnsi="Arial" w:cs="Arial"/>
          <w:sz w:val="24"/>
          <w:szCs w:val="24"/>
        </w:rPr>
        <w:t>JUSTIPRECIO</w:t>
      </w:r>
    </w:p>
    <w:p w:rsidR="00E658F5" w:rsidRPr="00E658F5" w:rsidRDefault="00317720" w:rsidP="008C6373">
      <w:pPr>
        <w:pStyle w:val="NormalWeb"/>
        <w:shd w:val="clear" w:color="auto" w:fill="FFFFFF" w:themeFill="background1"/>
        <w:spacing w:line="360" w:lineRule="auto"/>
        <w:jc w:val="both"/>
        <w:rPr>
          <w:rFonts w:ascii="Arial" w:hAnsi="Arial" w:cs="Arial"/>
        </w:rPr>
      </w:pPr>
      <w:r w:rsidRPr="00E658F5">
        <w:rPr>
          <w:rFonts w:ascii="Arial" w:hAnsi="Arial" w:cs="Arial"/>
        </w:rPr>
        <w:t>Los</w:t>
      </w:r>
      <w:r w:rsidR="00E658F5" w:rsidRPr="00E658F5">
        <w:rPr>
          <w:rFonts w:ascii="Arial" w:hAnsi="Arial" w:cs="Arial"/>
        </w:rPr>
        <w:t xml:space="preserve"> términos “avalúo” y “justiprecio”, de significado bien distinto, al regular la realización de los inmuebles se </w:t>
      </w:r>
      <w:r w:rsidR="00072CDD" w:rsidRPr="00E658F5">
        <w:rPr>
          <w:rFonts w:ascii="Arial" w:hAnsi="Arial" w:cs="Arial"/>
        </w:rPr>
        <w:t>olvidaban</w:t>
      </w:r>
      <w:r w:rsidR="00E658F5" w:rsidRPr="00E658F5">
        <w:rPr>
          <w:rFonts w:ascii="Arial" w:hAnsi="Arial" w:cs="Arial"/>
        </w:rPr>
        <w:t xml:space="preserve"> de tan significativa descripción, hasta el punto que en una visión en conjunto del disgregado procedimiento de apremio ambos parecían confundirse. Así, el tipo que servía de base para la subasta coincidía con la tasación pericial del bien sin tener en cuenta las cargas. Simplemente el adjudicatario quedaba obligado a soportarlas y arriesgarse a pagar por un bien un valor muy superior a su valor real. La consecuencia de esto era la ineficacia de las subastas: casi siempre -si se adjudicaban—había que esperar a la tercera subasta sin sujeción a tipo con el coste temporal que ello comportaba y con el riesgo de precios simbólicos.</w:t>
      </w:r>
    </w:p>
    <w:p w:rsidR="00E658F5" w:rsidRPr="00E658F5" w:rsidRDefault="00E658F5" w:rsidP="008C6373">
      <w:pPr>
        <w:pStyle w:val="NormalWeb"/>
        <w:shd w:val="clear" w:color="auto" w:fill="FFFFFF" w:themeFill="background1"/>
        <w:spacing w:line="360" w:lineRule="auto"/>
        <w:jc w:val="both"/>
        <w:rPr>
          <w:rFonts w:ascii="Arial" w:hAnsi="Arial" w:cs="Arial"/>
        </w:rPr>
      </w:pPr>
      <w:r w:rsidRPr="00E658F5">
        <w:rPr>
          <w:rFonts w:ascii="Arial" w:hAnsi="Arial" w:cs="Arial"/>
        </w:rPr>
        <w:t xml:space="preserve">Pero la urgente subsanación no trae base en el legislador de la </w:t>
      </w:r>
      <w:proofErr w:type="gramStart"/>
      <w:r w:rsidRPr="00E658F5">
        <w:rPr>
          <w:rFonts w:ascii="Arial" w:hAnsi="Arial" w:cs="Arial"/>
        </w:rPr>
        <w:t>LEC</w:t>
      </w:r>
      <w:r>
        <w:rPr>
          <w:rFonts w:ascii="Arial" w:hAnsi="Arial" w:cs="Arial"/>
        </w:rPr>
        <w:t>(</w:t>
      </w:r>
      <w:proofErr w:type="gramEnd"/>
      <w:r>
        <w:rPr>
          <w:rFonts w:ascii="Arial" w:hAnsi="Arial" w:cs="Arial"/>
        </w:rPr>
        <w:t>ley de enjuiciamiento civil)</w:t>
      </w:r>
      <w:r w:rsidRPr="00E658F5">
        <w:rPr>
          <w:rFonts w:ascii="Arial" w:hAnsi="Arial" w:cs="Arial"/>
        </w:rPr>
        <w:t xml:space="preserve"> pese a que sí su aplicación al proceso civil. La figura de la regulación del justiprecio nace con el artículo 259 de la Ley de Procedimiento </w:t>
      </w:r>
      <w:r w:rsidRPr="00E658F5">
        <w:rPr>
          <w:rFonts w:ascii="Arial" w:hAnsi="Arial" w:cs="Arial"/>
        </w:rPr>
        <w:lastRenderedPageBreak/>
        <w:t>Laboral de 1990, que dispuso que “si los bienes o derechos embargados estuvieren afectos con cargas o gravámenes que debieran quedar subsistentes tras la venta o adjudicación judicial, el Secretario, con la colaboración pericial y recabando los datos que estime necesarios, practicará la valoración de aquellos y deducirá su importe del valor (sic) real de los bienes, con el fin de determinar el justiprecio”. Lógicamente, la norma no era aplicable vía subsidiaria en la ejecución civil, con lo que ello no ha sido viable hasta la vigencia del actual artículo 666: los bienes inmuebles saldrán a subasta por el valor que resulte de deducir de su avalúo realizado conforme a los artículos 637 y siguientes (por perito oficialmente designado y por su valor de mercado) el importe de todas las cargas y derechos anteriores cuya preferencia resulte de la certificación registral. Añade que la operación se realizará por el Secretario Judicial descontando del valor de tasación sin cargas el importe de estas que, bien aparezca en la certificación registral, bien se haya modificado mediante el procedimiento de minoración de cargas prevenido en el artículo 657.</w:t>
      </w:r>
    </w:p>
    <w:p w:rsidR="00E658F5" w:rsidRPr="00E658F5" w:rsidRDefault="00E658F5" w:rsidP="008C6373">
      <w:pPr>
        <w:pStyle w:val="NormalWeb"/>
        <w:shd w:val="clear" w:color="auto" w:fill="FFFFFF" w:themeFill="background1"/>
        <w:spacing w:line="360" w:lineRule="auto"/>
        <w:jc w:val="both"/>
        <w:rPr>
          <w:rFonts w:ascii="Arial" w:hAnsi="Arial" w:cs="Arial"/>
        </w:rPr>
      </w:pPr>
      <w:r w:rsidRPr="00E658F5">
        <w:rPr>
          <w:rFonts w:ascii="Arial" w:hAnsi="Arial" w:cs="Arial"/>
        </w:rPr>
        <w:t xml:space="preserve">No parece descabellado significar que el artículo 666 y sus concordancias dentro de la propia Ley procesal civil tomaron modelo del vigente artículo 260 de la </w:t>
      </w:r>
      <w:hyperlink r:id="rId15" w:history="1">
        <w:r w:rsidRPr="00E658F5">
          <w:rPr>
            <w:rStyle w:val="Hipervnculo"/>
            <w:rFonts w:ascii="Arial" w:hAnsi="Arial" w:cs="Arial"/>
            <w:color w:val="auto"/>
          </w:rPr>
          <w:t>LPL</w:t>
        </w:r>
      </w:hyperlink>
      <w:r>
        <w:rPr>
          <w:rFonts w:ascii="Arial" w:hAnsi="Arial" w:cs="Arial"/>
        </w:rPr>
        <w:t xml:space="preserve"> (</w:t>
      </w:r>
      <w:r>
        <w:t>Ley de Procedimiento Laboral. (Vigente hasta el 11 de diciembre de 2011)</w:t>
      </w:r>
      <w:r w:rsidRPr="00E658F5">
        <w:rPr>
          <w:rFonts w:ascii="Arial" w:hAnsi="Arial" w:cs="Arial"/>
        </w:rPr>
        <w:t xml:space="preserve">. No  obstante en ellos se observan algunas diferencias, como que la norma adjetiva social permite una mayor amplitud en su aplicación (todas clases de bienes o derechos afectos con cargas) y que la LEC no hace suya la inverosímil confusión entre funciones periciales y judiciales en que recae la Ley procesal laboral. Claramente la LEC se define, con acierto, a delimitar tales funciones y conseguir un valor a efectos de subasta lo más cercano a la realidad, y en este punto no puede dejarse en el tintero la íntima conexión del artículo 666 con el 657, en base al cual el ejecutante puede solicitar que conste en el registro información real sobre las cargas y </w:t>
      </w:r>
      <w:r>
        <w:rPr>
          <w:rFonts w:ascii="Arial" w:hAnsi="Arial" w:cs="Arial"/>
        </w:rPr>
        <w:t>gravámenes. Concretamente, a dic</w:t>
      </w:r>
      <w:r w:rsidRPr="00E658F5">
        <w:rPr>
          <w:rFonts w:ascii="Arial" w:hAnsi="Arial" w:cs="Arial"/>
        </w:rPr>
        <w:t xml:space="preserve">hos acreedores se les oficia para que manifiesten si el crédito subsiste y, en caso afirmativo: a) si no estuviera vencido, la fecha del vencimiento o vencimientos así como los plazos y condiciones en que los pagos deben efectuarse; b) si se tratase de crédito vencido, los intereses moratorios vencidos y la cantidad correspondiente a intereses de demora que se </w:t>
      </w:r>
      <w:r w:rsidRPr="00E658F5">
        <w:rPr>
          <w:rFonts w:ascii="Arial" w:hAnsi="Arial" w:cs="Arial"/>
        </w:rPr>
        <w:lastRenderedPageBreak/>
        <w:t>devenguen por cada día de retraso, así como futuros vencimientos, si los hubiera; y c) y en el supuesto de existiera una anotación de embargo anterior, la cantidad pendiente de pago por principal e intereses vencidos a la fecha, la cantidad a que asciendan los intereses moratorios por cada día de retraso y la previsión para costas judiciales. Por excepción a la norma general contenida en el artículo 167, estos oficios deben ser diligenciados por el procurador del ejecutante si interviene.</w:t>
      </w:r>
    </w:p>
    <w:p w:rsidR="00072CDD"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Estando en estado de cumplir la sentencia definitiva, el Juez, a petición de parte, debe ordenar la venta o enajenación de los bienes embargados, con el objeto de convertirlos en dinero y poder pagar al acreedor.</w:t>
      </w:r>
      <w:r w:rsidRPr="00E658F5">
        <w:rPr>
          <w:sz w:val="24"/>
          <w:szCs w:val="24"/>
        </w:rPr>
        <w:br/>
      </w:r>
      <w:r w:rsidRPr="00E658F5">
        <w:rPr>
          <w:sz w:val="24"/>
          <w:szCs w:val="24"/>
        </w:rPr>
        <w:br/>
      </w:r>
      <w:r w:rsidRPr="00E658F5">
        <w:rPr>
          <w:rFonts w:ascii="Arial" w:hAnsi="Arial" w:cs="Arial"/>
          <w:sz w:val="24"/>
          <w:szCs w:val="24"/>
        </w:rPr>
        <w:t>Con el fin de obtener el mejor precio en la venta con la concurrencia de diversos interesados en la compra de los bienes, la ley ordena la publicación de avisos al público, que en terminología forense se llaman “carteles”, los cuales, por práctica generalizada de nuestros Tribunales, se fijan: uno en el lugar donde están situados cada uno de los bienes a venderse, otro en el tablero del Tribunal, otro se remite a la Imprenta Nacional para su publicación en el Diario Oficial por tres veces y, por último, se deja una copia en el juicio.</w:t>
      </w:r>
      <w:r w:rsidRPr="00E658F5">
        <w:rPr>
          <w:sz w:val="24"/>
          <w:szCs w:val="24"/>
        </w:rPr>
        <w:br/>
      </w:r>
      <w:r w:rsidRPr="00E658F5">
        <w:rPr>
          <w:sz w:val="24"/>
          <w:szCs w:val="24"/>
        </w:rPr>
        <w:br/>
      </w:r>
      <w:r w:rsidRPr="00E658F5">
        <w:rPr>
          <w:rFonts w:ascii="Arial" w:hAnsi="Arial" w:cs="Arial"/>
          <w:sz w:val="24"/>
          <w:szCs w:val="24"/>
        </w:rPr>
        <w:t>En dichos carteles se hace constar el nombre y apellido de cada una de las partes, la descripción circunstanciada de los bienes a subastarse y si se trata de bienes raíces el número de su inscripción en el Registro de la Propiedad Raíz.</w:t>
      </w:r>
      <w:r w:rsidR="00072CDD">
        <w:rPr>
          <w:sz w:val="24"/>
          <w:szCs w:val="24"/>
        </w:rPr>
        <w:t xml:space="preserve"> </w:t>
      </w:r>
      <w:r w:rsidRPr="00E658F5">
        <w:rPr>
          <w:rFonts w:ascii="Arial" w:hAnsi="Arial" w:cs="Arial"/>
          <w:sz w:val="24"/>
          <w:szCs w:val="24"/>
        </w:rPr>
        <w:t>Tanto la publicación como el término que debe transcurrir después de la última aparición en el Diario Oficial de los carteles, son irrenunciables bajo pena de nulidad.</w:t>
      </w:r>
    </w:p>
    <w:p w:rsidR="00072CDD"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Este inciso fue agregado por las reformas hechas en 1902, y la razón que tuvo la comisión redactora para ello fue que tanto la publicación como el término de los carteles ha sido introducido en las leyes, no sólo en interés de las partes si no también en la de la generalidad de las personas.</w:t>
      </w:r>
      <w:r w:rsidR="00072CDD">
        <w:rPr>
          <w:rFonts w:ascii="Arial" w:hAnsi="Arial" w:cs="Arial"/>
          <w:sz w:val="24"/>
          <w:szCs w:val="24"/>
        </w:rPr>
        <w:t xml:space="preserve"> </w:t>
      </w:r>
      <w:r w:rsidRPr="00E658F5">
        <w:rPr>
          <w:rFonts w:ascii="Arial" w:hAnsi="Arial" w:cs="Arial"/>
          <w:sz w:val="24"/>
          <w:szCs w:val="24"/>
        </w:rPr>
        <w:t xml:space="preserve">Y esta publicación es lógica y justa, pues lo que se persigue con la venta de los bienes en pública subasta es además de tratar de pagar al actor, obtener para el deudor el mejor precio posible sobre sus bienes, y una de las formas que tienden a asegurar </w:t>
      </w:r>
      <w:r w:rsidRPr="00E658F5">
        <w:rPr>
          <w:rFonts w:ascii="Arial" w:hAnsi="Arial" w:cs="Arial"/>
          <w:sz w:val="24"/>
          <w:szCs w:val="24"/>
        </w:rPr>
        <w:lastRenderedPageBreak/>
        <w:t>esto, es el lograr la concurrencia del mayor número de posibles compradores, haciendo anuncios de la venta.</w:t>
      </w:r>
    </w:p>
    <w:p w:rsidR="00317720" w:rsidRPr="00072CDD"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Un expositor del Derecho chileno, dice:</w:t>
      </w:r>
    </w:p>
    <w:p w:rsidR="00072CDD" w:rsidRDefault="00E658F5" w:rsidP="008C6373">
      <w:pPr>
        <w:shd w:val="clear" w:color="auto" w:fill="FFFFFF" w:themeFill="background1"/>
        <w:spacing w:line="360" w:lineRule="auto"/>
        <w:jc w:val="both"/>
        <w:rPr>
          <w:sz w:val="24"/>
          <w:szCs w:val="24"/>
        </w:rPr>
      </w:pPr>
      <w:r w:rsidRPr="00E658F5">
        <w:rPr>
          <w:rFonts w:ascii="Arial" w:hAnsi="Arial" w:cs="Arial"/>
          <w:sz w:val="24"/>
          <w:szCs w:val="24"/>
        </w:rPr>
        <w:t>“La fijación de carteles y publicación de avisos en los diarios, no son formalidades propias de la naturaleza del contrato de venta, y si se exigen en el juicio ejecutivo para la enajenación de los bienes embargados, es a título de diligencias del proceso, con el fin de dar garantías al deudor de que sus derechos no se menoscabarán en el acto de la subasta, y si esas actuaciones del juicio no se verifican correctamente, la parte agraviada puede reclamar de ellos”.</w:t>
      </w:r>
      <w:r w:rsidR="00072CDD">
        <w:rPr>
          <w:sz w:val="24"/>
          <w:szCs w:val="24"/>
        </w:rPr>
        <w:t xml:space="preserve"> </w:t>
      </w:r>
      <w:r w:rsidRPr="00E658F5">
        <w:rPr>
          <w:rFonts w:ascii="Arial" w:hAnsi="Arial" w:cs="Arial"/>
          <w:sz w:val="24"/>
          <w:szCs w:val="24"/>
        </w:rPr>
        <w:t>Cuando los bienes a subastarse son raíces, además de prevenir a las partes que expresan el valor que dan a dichos bienes, debe ordenarse que se pida informe al Registrador de la Propiedad Raíz respectivo, para saberse si están inscritas a favor del deudor o de otra persona cuyos derechos deben respetarse en una subasta, tal como lo ordena el Art. 645.</w:t>
      </w:r>
      <w:r w:rsidRPr="00E658F5">
        <w:rPr>
          <w:sz w:val="24"/>
          <w:szCs w:val="24"/>
        </w:rPr>
        <w:br/>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 xml:space="preserve">Este valúo lo pueden hacer en el acto de la notificación, en el caso de que no haya valúo convencional y de que no </w:t>
      </w:r>
      <w:proofErr w:type="gramStart"/>
      <w:r w:rsidRPr="00E658F5">
        <w:rPr>
          <w:rFonts w:ascii="Arial" w:hAnsi="Arial" w:cs="Arial"/>
          <w:sz w:val="24"/>
          <w:szCs w:val="24"/>
        </w:rPr>
        <w:t>hayan</w:t>
      </w:r>
      <w:proofErr w:type="gramEnd"/>
      <w:r w:rsidRPr="00E658F5">
        <w:rPr>
          <w:rFonts w:ascii="Arial" w:hAnsi="Arial" w:cs="Arial"/>
          <w:sz w:val="24"/>
          <w:szCs w:val="24"/>
        </w:rPr>
        <w:t xml:space="preserve"> personas interesadas o con derechos sobre dichos bienes, pues si hay acreedores hipotecarios distintos al ejecutante, estos tienen intervención hasta en el nombramiento de peritos.</w:t>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Si las partes nada dicen o no se oponen de acuerdo en el valor de los bienes o en el nombramiento de peritos, éstos deben ser nombrados precisamente, a petición del actor, por el Juez, y los nombrados procederán, en el cumplimiento de su cargo, de acuerdo con el Art. 347, y para llevar a cabo su gestión se les deben entregar las actas originales.</w:t>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Pero para el nombramiento de los peritos el Juez debe esperar a recibir en su caso el informe del Registrador, pues teniendo intervención tanto en el nombramiento como en el valúo de los bienes los acreedores hipotecarios, tal como lo ordena el Art. 645 ya citado, es necesario tener a la vista el informe para así ver si hay o no persona con derecho a intervenir en las diligencias apuntadas.</w:t>
      </w:r>
      <w:r w:rsidRPr="00E658F5">
        <w:rPr>
          <w:sz w:val="24"/>
          <w:szCs w:val="24"/>
        </w:rPr>
        <w:br/>
      </w:r>
      <w:r w:rsidRPr="00E658F5">
        <w:rPr>
          <w:sz w:val="24"/>
          <w:szCs w:val="24"/>
        </w:rPr>
        <w:br/>
      </w:r>
      <w:r w:rsidRPr="00E658F5">
        <w:rPr>
          <w:rFonts w:ascii="Arial" w:hAnsi="Arial" w:cs="Arial"/>
          <w:sz w:val="24"/>
          <w:szCs w:val="24"/>
        </w:rPr>
        <w:lastRenderedPageBreak/>
        <w:t>Pueden también las partes contratantes estipular, por medio de escritura pública, que puede ser la misma del acto o contrario, o por separado del valor que dan a determinados bienes, para el caso en que sean subastados. Pero el cartulario debe hacer constar en el instrumento respectivo que hizo saber al deudor los efectos o consecuencias del incumplimiento de su obligación pues de lo contrario el Juez no debe aceptar tal valúo.</w:t>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Debe ponerse especial cuidado cuando los bienes valuados son varios en el valor que dan a cada uno en particular, pues si se valúan en globo, ya nuestros Tribunales han sentado jurisprudencia de que no puede respetarse un valúo total y han ordenado el justiprecio por peritos para el caso de que las partes no se pongan de acuerdo, para conocer así el valor de cada bien.</w:t>
      </w:r>
      <w:r w:rsidRPr="00E658F5">
        <w:rPr>
          <w:sz w:val="24"/>
          <w:szCs w:val="24"/>
        </w:rPr>
        <w:br/>
      </w:r>
      <w:r w:rsidRPr="00E658F5">
        <w:rPr>
          <w:rFonts w:ascii="Arial" w:hAnsi="Arial" w:cs="Arial"/>
          <w:sz w:val="24"/>
          <w:szCs w:val="24"/>
        </w:rPr>
        <w:t>Y esta jurisprudencia es acertada, pues siendo varios los bienes a subastarse, pueden ser varios también los interesados en su compra y, como no siempre el que concurre a una subasta quiere quedarse con todos los bienes, es necesario que cada bien esté valuados por separado.</w:t>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Sucede a menudo que varios acreedores embargan los mismos bienes del deudor y entonces se procede a la acumulación de todos los juicios, para que las partes, en un solo proceso, puedan discutir sus derechos. Entonces puede suceder que en alguna de ellas haya habido estipulación de precio, en la forma antes indicada, y entonces este precio servirá de base para la subasta, pero si no hubiera postores para tal precio, cualquiera de los otros acreedores que no hubieren intervenido en la estipulación, puede pedir valúo para la nueva licitación, porque no se le puede obligar a estarse por un valúo en el que no internito y que se ha visto ya que no atrae compradores.</w:t>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También puede suceder que el deudor haya dado en dos o más escrituras diferentes, distintos precios a unos mismos bienes y en este caso, buscando lo más favorable al deudor, servirá de base el precio mayor y después los otros, sucesivamente, y si aún así no se presentan postores, se procederá al valúo toda vez que lo pida algún acreedor que no haya estipulado precio.</w:t>
      </w:r>
      <w:r w:rsidRPr="00E658F5">
        <w:rPr>
          <w:sz w:val="24"/>
          <w:szCs w:val="24"/>
        </w:rPr>
        <w:br/>
      </w:r>
      <w:r w:rsidRPr="00E658F5">
        <w:rPr>
          <w:sz w:val="24"/>
          <w:szCs w:val="24"/>
        </w:rPr>
        <w:br/>
      </w:r>
      <w:r w:rsidRPr="00E658F5">
        <w:rPr>
          <w:rFonts w:ascii="Arial" w:hAnsi="Arial" w:cs="Arial"/>
          <w:sz w:val="24"/>
          <w:szCs w:val="24"/>
        </w:rPr>
        <w:t>¿Y para el caso de que en todas las escrituras se han fijado precios diferentes y no hay subasta por falta de postores?</w:t>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lastRenderedPageBreak/>
        <w:t>Pues entonces, conforme el Art. 638 inc. 2º los acreedores podrán probar que los bienes embargados han desmejorado después del valúo y pedir que se valúen de nuevo para solicitar nueva subasta.</w:t>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No hay que olvidar que en nuestra ley el valúo, ya sea pericial o convencional, debe ser determinado, mientras que en Chile, por ejemplo, a los bienes a subastarse se les da un valúo máximo y otro mínimo para que, dentro de esos límites, se hagan las posturas.</w:t>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Cuando por no haberse llevado a cabo la subasta por falta de postores, y hay necesidad de volver a valuar los bienes, establece la ley que dicho nuevo valúo no puede exceder de las cuatro quintas partes del precio estipulado, caso de haber uno solo, o del que ha servido de base a la última licitación en caso de haber varios precios, y es natural que así sea, pues si el precio que ha servido de base no tiene una rebaja aceptable, ningún fin práctico se conseguiría en el nuevo valúo.</w:t>
      </w:r>
    </w:p>
    <w:p w:rsidR="00E658F5"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No siempre el que reclama un crédito ha intervenido en su otorgamiento y por lo tanto, se presenta la cuestión de que el que reclama del deudor el cumplimiento de la obligación, sea un acreedor derivado y que pretenda no aceptar el precio dado a los bienes que se han embargado.</w:t>
      </w:r>
    </w:p>
    <w:p w:rsidR="00072CDD" w:rsidRDefault="00E658F5" w:rsidP="008C6373">
      <w:pPr>
        <w:shd w:val="clear" w:color="auto" w:fill="FFFFFF" w:themeFill="background1"/>
        <w:spacing w:line="360" w:lineRule="auto"/>
        <w:jc w:val="both"/>
        <w:rPr>
          <w:rFonts w:ascii="Arial" w:hAnsi="Arial" w:cs="Arial"/>
          <w:sz w:val="24"/>
          <w:szCs w:val="24"/>
        </w:rPr>
      </w:pPr>
      <w:r w:rsidRPr="00E658F5">
        <w:rPr>
          <w:rFonts w:ascii="Arial" w:hAnsi="Arial" w:cs="Arial"/>
          <w:sz w:val="24"/>
          <w:szCs w:val="24"/>
        </w:rPr>
        <w:t>Con gran acierto nuestra ley india que cualquiera que sea el ejecutante, si hace uso de la escritura en que se ha fijado el precio, debe respetar dicho convenio y admitir que ha habido estipulación con el deudor.</w:t>
      </w:r>
      <w:r>
        <w:rPr>
          <w:rStyle w:val="Refdenotaalpie"/>
          <w:rFonts w:ascii="Arial" w:hAnsi="Arial" w:cs="Arial"/>
          <w:sz w:val="24"/>
          <w:szCs w:val="24"/>
        </w:rPr>
        <w:footnoteReference w:id="4"/>
      </w:r>
      <w:r w:rsidR="00072CDD">
        <w:rPr>
          <w:rFonts w:ascii="Arial" w:hAnsi="Arial" w:cs="Arial"/>
          <w:sz w:val="24"/>
          <w:szCs w:val="24"/>
        </w:rPr>
        <w:t xml:space="preserve"> </w:t>
      </w:r>
    </w:p>
    <w:p w:rsidR="00E2358D" w:rsidRDefault="005C63A2" w:rsidP="008C6373">
      <w:pPr>
        <w:shd w:val="clear" w:color="auto" w:fill="FFFFFF" w:themeFill="background1"/>
        <w:spacing w:line="360" w:lineRule="auto"/>
        <w:jc w:val="both"/>
        <w:rPr>
          <w:rFonts w:ascii="Arial" w:hAnsi="Arial" w:cs="Arial"/>
          <w:sz w:val="24"/>
          <w:szCs w:val="24"/>
        </w:rPr>
      </w:pPr>
      <w:r w:rsidRPr="005C63A2">
        <w:rPr>
          <w:rFonts w:ascii="Arial" w:hAnsi="Arial" w:cs="Arial"/>
          <w:sz w:val="24"/>
          <w:szCs w:val="24"/>
        </w:rPr>
        <w:t xml:space="preserve">Pero suponiendo que el Art. 628 </w:t>
      </w:r>
      <w:proofErr w:type="spellStart"/>
      <w:r w:rsidRPr="005C63A2">
        <w:rPr>
          <w:rFonts w:ascii="Arial" w:hAnsi="Arial" w:cs="Arial"/>
          <w:sz w:val="24"/>
          <w:szCs w:val="24"/>
        </w:rPr>
        <w:t>Pr.</w:t>
      </w:r>
      <w:proofErr w:type="spellEnd"/>
      <w:r w:rsidRPr="005C63A2">
        <w:rPr>
          <w:rFonts w:ascii="Arial" w:hAnsi="Arial" w:cs="Arial"/>
          <w:sz w:val="24"/>
          <w:szCs w:val="24"/>
        </w:rPr>
        <w:t xml:space="preserve">, habla de tercería de pago preferente o a prorrata, lo que justificaría en verdad que esa disposición contempla el caso de embargos posteriores trabados en una misma cosa en ejecuciones dirigidas contra un mismo deudor, esto no sería motivo, por las razones antes expuestas, para negar la acumulación; debiendo el Juez en el caso de ser distintos los deudores, seguir, al ejecutarse la acumulación, el trámite que </w:t>
      </w:r>
      <w:r w:rsidRPr="005C63A2">
        <w:rPr>
          <w:rFonts w:ascii="Arial" w:hAnsi="Arial" w:cs="Arial"/>
          <w:sz w:val="24"/>
          <w:szCs w:val="24"/>
        </w:rPr>
        <w:lastRenderedPageBreak/>
        <w:t>creyere aplicable, a fin de resolver la situación anómala creada por dos embargos incompatibles”. (Sentencia dictada el 14 de julio de 1937).</w:t>
      </w:r>
      <w:r w:rsidRPr="005C63A2">
        <w:rPr>
          <w:rStyle w:val="Refdenotaalpie"/>
          <w:rFonts w:ascii="Arial" w:hAnsi="Arial" w:cs="Arial"/>
          <w:sz w:val="24"/>
          <w:szCs w:val="24"/>
        </w:rPr>
        <w:footnoteReference w:id="5"/>
      </w:r>
    </w:p>
    <w:p w:rsidR="005C63A2" w:rsidRDefault="005C63A2" w:rsidP="008C6373">
      <w:pPr>
        <w:shd w:val="clear" w:color="auto" w:fill="FFFFFF" w:themeFill="background1"/>
        <w:spacing w:line="360" w:lineRule="auto"/>
        <w:jc w:val="both"/>
        <w:rPr>
          <w:rFonts w:ascii="Arial" w:hAnsi="Arial" w:cs="Arial"/>
          <w:sz w:val="24"/>
          <w:szCs w:val="24"/>
        </w:rPr>
      </w:pPr>
      <w:r w:rsidRPr="005C63A2">
        <w:rPr>
          <w:rFonts w:ascii="Arial" w:hAnsi="Arial" w:cs="Arial"/>
          <w:sz w:val="24"/>
          <w:szCs w:val="24"/>
        </w:rPr>
        <w:t>Con el fin de obtener el mejor precio en la venta con la concurrencia de diversos interesados en la compra de los bienes, la ley ordena la publicación de avisos al público, que en terminología forense se llaman “carteles”, los cuales, por práctica generalizada de nuestros Tribunales, se fijan: uno en el lugar donde están situados cada uno de los bienes a venderse, otro en el tablero del Tribunal, otro se remite a la Imprenta Nacional para su publicación en el Diario Oficial por tres veces y, por último, se deja una copia en el juicio.</w:t>
      </w:r>
      <w:r w:rsidRPr="005C63A2">
        <w:rPr>
          <w:sz w:val="24"/>
          <w:szCs w:val="24"/>
        </w:rPr>
        <w:br/>
      </w:r>
      <w:r w:rsidRPr="005C63A2">
        <w:rPr>
          <w:sz w:val="24"/>
          <w:szCs w:val="24"/>
        </w:rPr>
        <w:br/>
      </w:r>
      <w:r w:rsidRPr="005C63A2">
        <w:rPr>
          <w:rFonts w:ascii="Arial" w:hAnsi="Arial" w:cs="Arial"/>
          <w:sz w:val="24"/>
          <w:szCs w:val="24"/>
        </w:rPr>
        <w:t>En dichos carteles se hace constar el nombre y apellido de cada una de las partes, la descripción circunstanciada de los bienes a subastarse y si se trata de bienes raíces el número de su inscripción en el Registro de la Propiedad Raíz.</w:t>
      </w:r>
      <w:r w:rsidRPr="005C63A2">
        <w:rPr>
          <w:sz w:val="24"/>
          <w:szCs w:val="24"/>
        </w:rPr>
        <w:br/>
      </w:r>
      <w:r w:rsidRPr="005C63A2">
        <w:rPr>
          <w:sz w:val="24"/>
          <w:szCs w:val="24"/>
        </w:rPr>
        <w:br/>
      </w:r>
      <w:r w:rsidRPr="005C63A2">
        <w:rPr>
          <w:rFonts w:ascii="Arial" w:hAnsi="Arial" w:cs="Arial"/>
          <w:sz w:val="24"/>
          <w:szCs w:val="24"/>
        </w:rPr>
        <w:t>Tanto la publicación como el término que debe transcurrir después de la última aparición en el Diario Oficial de los carteles, son irrenunciables bajo pena de nulidad.</w:t>
      </w:r>
      <w:r w:rsidRPr="005C63A2">
        <w:rPr>
          <w:sz w:val="24"/>
          <w:szCs w:val="24"/>
        </w:rPr>
        <w:br/>
      </w:r>
      <w:r w:rsidRPr="005C63A2">
        <w:rPr>
          <w:sz w:val="24"/>
          <w:szCs w:val="24"/>
        </w:rPr>
        <w:br/>
      </w:r>
      <w:r w:rsidRPr="005C63A2">
        <w:rPr>
          <w:rFonts w:ascii="Arial" w:hAnsi="Arial" w:cs="Arial"/>
          <w:sz w:val="24"/>
          <w:szCs w:val="24"/>
        </w:rPr>
        <w:t>Este inciso fue agregado por las reformas hechas en 1902, y la razón que tuvo la comisión redactora para ello fue que tanto la publicación como el término de los carteles ha sido introducido en las leyes, no sólo en interés de las partes si no también en la de la generalidad de las personas.</w:t>
      </w:r>
    </w:p>
    <w:p w:rsidR="005C63A2" w:rsidRDefault="005C63A2" w:rsidP="008C6373">
      <w:pPr>
        <w:shd w:val="clear" w:color="auto" w:fill="FFFFFF" w:themeFill="background1"/>
        <w:spacing w:line="360" w:lineRule="auto"/>
        <w:jc w:val="both"/>
        <w:rPr>
          <w:rFonts w:ascii="Arial" w:hAnsi="Arial" w:cs="Arial"/>
          <w:sz w:val="24"/>
          <w:szCs w:val="24"/>
        </w:rPr>
      </w:pPr>
      <w:r w:rsidRPr="005C63A2">
        <w:rPr>
          <w:rFonts w:ascii="Arial" w:hAnsi="Arial" w:cs="Arial"/>
          <w:sz w:val="24"/>
          <w:szCs w:val="24"/>
        </w:rPr>
        <w:t>Y esta publicación es lógica y justa, pues lo que se persigue con la venta de los bienes en pública subasta es además de tratar de pagar al actor, obtener para el deudor el mejor precio posible sobre sus bienes, y una de las formas que tienden a asegurar esto, es el lograr la concurrencia del mayor número de posibles compradores, haciendo anuncios de la venta.</w:t>
      </w:r>
      <w:r>
        <w:rPr>
          <w:rStyle w:val="Refdenotaalpie"/>
          <w:rFonts w:ascii="Arial" w:hAnsi="Arial" w:cs="Arial"/>
          <w:sz w:val="24"/>
          <w:szCs w:val="24"/>
        </w:rPr>
        <w:footnoteReference w:id="6"/>
      </w:r>
    </w:p>
    <w:p w:rsidR="005C63A2" w:rsidRDefault="005C63A2" w:rsidP="008C6373">
      <w:pPr>
        <w:shd w:val="clear" w:color="auto" w:fill="FFFFFF" w:themeFill="background1"/>
        <w:spacing w:line="360" w:lineRule="auto"/>
        <w:jc w:val="both"/>
        <w:rPr>
          <w:sz w:val="24"/>
          <w:szCs w:val="24"/>
        </w:rPr>
      </w:pPr>
      <w:r w:rsidRPr="005C63A2">
        <w:rPr>
          <w:rFonts w:ascii="Arial" w:hAnsi="Arial" w:cs="Arial"/>
          <w:sz w:val="24"/>
          <w:szCs w:val="24"/>
        </w:rPr>
        <w:lastRenderedPageBreak/>
        <w:t>Art. 622. “En la diligencia de embargo se detallarán todos y cada uno de los bienes embargados, expresando la persona en cuyo poder quedan depositaros y todo lo demás que haya ocurrido en el acto, firmándose por el ejecutor, el depositario, las partes y el secretario.</w:t>
      </w:r>
    </w:p>
    <w:p w:rsidR="005C63A2" w:rsidRDefault="005C63A2" w:rsidP="008C6373">
      <w:pPr>
        <w:shd w:val="clear" w:color="auto" w:fill="FFFFFF" w:themeFill="background1"/>
        <w:spacing w:line="360" w:lineRule="auto"/>
        <w:jc w:val="both"/>
        <w:rPr>
          <w:rFonts w:ascii="Arial" w:hAnsi="Arial" w:cs="Arial"/>
          <w:sz w:val="24"/>
          <w:szCs w:val="24"/>
        </w:rPr>
      </w:pPr>
      <w:r w:rsidRPr="005C63A2">
        <w:rPr>
          <w:rFonts w:ascii="Arial" w:hAnsi="Arial" w:cs="Arial"/>
          <w:sz w:val="24"/>
          <w:szCs w:val="24"/>
        </w:rPr>
        <w:t>El depositario es desde aquel momento responsable de los bienes embargados aunque no los saque de casa del deudor.</w:t>
      </w:r>
      <w:r>
        <w:rPr>
          <w:rFonts w:ascii="Arial" w:hAnsi="Arial" w:cs="Arial"/>
          <w:sz w:val="24"/>
          <w:szCs w:val="24"/>
        </w:rPr>
        <w:t xml:space="preserve"> </w:t>
      </w:r>
      <w:r w:rsidRPr="005C63A2">
        <w:rPr>
          <w:rFonts w:ascii="Arial" w:hAnsi="Arial" w:cs="Arial"/>
          <w:sz w:val="24"/>
          <w:szCs w:val="24"/>
        </w:rPr>
        <w:t>Si los bienes no se le hubieren entregado efectivamente, el Juez o Cámara ante quien pendan los autor ordenará, a petición del depositario, la entrega efectiva de ellos, salvas las excepciones legales; más, si fueren raíces, no se ordenará la entrega si no es cuando aparezca del informe que se pida al Registrador respectivo, que están inscritos a favor del deudor y que no lo están a favor de otra persona por derechos que deban respetarse.</w:t>
      </w:r>
    </w:p>
    <w:p w:rsidR="005C63A2" w:rsidRDefault="005C63A2" w:rsidP="008C6373">
      <w:pPr>
        <w:shd w:val="clear" w:color="auto" w:fill="FFFFFF" w:themeFill="background1"/>
        <w:spacing w:line="360" w:lineRule="auto"/>
        <w:jc w:val="both"/>
        <w:rPr>
          <w:rFonts w:ascii="Arial" w:hAnsi="Arial" w:cs="Arial"/>
          <w:sz w:val="24"/>
          <w:szCs w:val="24"/>
        </w:rPr>
      </w:pPr>
      <w:r w:rsidRPr="005C63A2">
        <w:rPr>
          <w:rFonts w:ascii="Arial" w:hAnsi="Arial" w:cs="Arial"/>
          <w:sz w:val="24"/>
          <w:szCs w:val="24"/>
        </w:rPr>
        <w:t>Si fuere necesario para esta entrega lanzar a los que estuvieren ocupando indebidamente los inmuebles, el juez o Cámara lo acordará así, concediéndoles un breve término prudencialmente para la desocupación, y si no lo verificaren en el término señalado, se hará efectivo el lanzamiento”.</w:t>
      </w:r>
      <w:r w:rsidRPr="005C63A2">
        <w:rPr>
          <w:sz w:val="24"/>
          <w:szCs w:val="24"/>
        </w:rPr>
        <w:br/>
      </w:r>
      <w:r w:rsidRPr="005C63A2">
        <w:rPr>
          <w:sz w:val="24"/>
          <w:szCs w:val="24"/>
        </w:rPr>
        <w:br/>
      </w:r>
      <w:r w:rsidRPr="005C63A2">
        <w:rPr>
          <w:rFonts w:ascii="Arial" w:hAnsi="Arial" w:cs="Arial"/>
          <w:sz w:val="24"/>
          <w:szCs w:val="24"/>
        </w:rPr>
        <w:t>El Juez ejecutor, con el fin de evitarse responsabilidades y reclamos que le pueden hacer las partes, y para facilitar –además- al Juez, la tramitación de la ejecución, debe detallar con toda precisión los bienes que embarga, indicando quién es el depositario y si los bienes se le han entregado o no de manera efectiva y todo lo que hubiere ocurrido durante la práctica del embargo.</w:t>
      </w:r>
      <w:r w:rsidRPr="005C63A2">
        <w:rPr>
          <w:sz w:val="24"/>
          <w:szCs w:val="24"/>
        </w:rPr>
        <w:br/>
      </w:r>
      <w:r w:rsidRPr="005C63A2">
        <w:rPr>
          <w:sz w:val="24"/>
          <w:szCs w:val="24"/>
        </w:rPr>
        <w:br/>
      </w:r>
      <w:r w:rsidRPr="005C63A2">
        <w:rPr>
          <w:rFonts w:ascii="Arial" w:hAnsi="Arial" w:cs="Arial"/>
          <w:sz w:val="24"/>
          <w:szCs w:val="24"/>
        </w:rPr>
        <w:t>El embargo se efectúa por la entrega real o simbólica de los bienes al depositario, y aún cuando éste los deje en poder del deudor, siempre es responsable de ellos y, por lo tanto, es conveniente, para resguardo suyo, que la entrega –sobre todo cuando se trata de bienes muebles- sea realizada por el juez ejecutor, quien, con este objeto, puede reclamar el auxilio de la fuerza pública, para el caso de que el deudor se niegue a la entrega.</w:t>
      </w:r>
      <w:r>
        <w:rPr>
          <w:rStyle w:val="Refdenotaalpie"/>
          <w:rFonts w:ascii="Arial" w:hAnsi="Arial" w:cs="Arial"/>
          <w:sz w:val="24"/>
          <w:szCs w:val="24"/>
        </w:rPr>
        <w:footnoteReference w:id="7"/>
      </w:r>
    </w:p>
    <w:p w:rsidR="00317720" w:rsidRDefault="00317720" w:rsidP="008C6373">
      <w:pPr>
        <w:shd w:val="clear" w:color="auto" w:fill="FFFFFF" w:themeFill="background1"/>
        <w:spacing w:line="360" w:lineRule="auto"/>
        <w:jc w:val="both"/>
        <w:rPr>
          <w:rFonts w:ascii="Arial" w:hAnsi="Arial" w:cs="Arial"/>
          <w:sz w:val="24"/>
          <w:szCs w:val="24"/>
        </w:rPr>
      </w:pPr>
      <w:r w:rsidRPr="00317720">
        <w:rPr>
          <w:rFonts w:ascii="Arial" w:hAnsi="Arial" w:cs="Arial"/>
          <w:sz w:val="24"/>
          <w:szCs w:val="24"/>
        </w:rPr>
        <w:lastRenderedPageBreak/>
        <w:t>Art. 644. “La certificación del acta de remate y su aprobación, o del auto de adjudicación en su caso, servirá de título de propiedad y posesión al comprador o adjudicatario”.</w:t>
      </w:r>
      <w:r>
        <w:rPr>
          <w:rFonts w:ascii="Arial" w:hAnsi="Arial" w:cs="Arial"/>
          <w:sz w:val="24"/>
          <w:szCs w:val="24"/>
        </w:rPr>
        <w:t xml:space="preserve"> </w:t>
      </w:r>
      <w:r w:rsidRPr="00317720">
        <w:rPr>
          <w:rFonts w:ascii="Arial" w:hAnsi="Arial" w:cs="Arial"/>
          <w:sz w:val="24"/>
          <w:szCs w:val="24"/>
        </w:rPr>
        <w:t xml:space="preserve">Con gran acierto nuestra ley dispone que la certificación del acta de remate y su aprobación –y del auto de adjudicación en su caso- </w:t>
      </w:r>
      <w:proofErr w:type="gramStart"/>
      <w:r w:rsidRPr="00317720">
        <w:rPr>
          <w:rFonts w:ascii="Arial" w:hAnsi="Arial" w:cs="Arial"/>
          <w:sz w:val="24"/>
          <w:szCs w:val="24"/>
        </w:rPr>
        <w:t>es</w:t>
      </w:r>
      <w:proofErr w:type="gramEnd"/>
      <w:r w:rsidRPr="00317720">
        <w:rPr>
          <w:rFonts w:ascii="Arial" w:hAnsi="Arial" w:cs="Arial"/>
          <w:sz w:val="24"/>
          <w:szCs w:val="24"/>
        </w:rPr>
        <w:t xml:space="preserve"> el título del comprador o adjudicatario.</w:t>
      </w:r>
    </w:p>
    <w:p w:rsidR="005C63A2" w:rsidRDefault="00317720" w:rsidP="008C6373">
      <w:pPr>
        <w:shd w:val="clear" w:color="auto" w:fill="FFFFFF" w:themeFill="background1"/>
        <w:spacing w:line="360" w:lineRule="auto"/>
        <w:jc w:val="both"/>
        <w:rPr>
          <w:rFonts w:ascii="Arial" w:hAnsi="Arial" w:cs="Arial"/>
          <w:sz w:val="24"/>
          <w:szCs w:val="24"/>
        </w:rPr>
      </w:pPr>
      <w:r w:rsidRPr="00317720">
        <w:rPr>
          <w:rFonts w:ascii="Arial" w:hAnsi="Arial" w:cs="Arial"/>
          <w:sz w:val="24"/>
          <w:szCs w:val="24"/>
        </w:rPr>
        <w:t xml:space="preserve">Se aparta así la ley salvadoreña de la exigencia de otras legislaciones que prescriben que después del remate se otorgue escritura de venta a favor del comprador o adjudicatario, actuando el Juez como representante del deudor. </w:t>
      </w:r>
      <w:r w:rsidRPr="00317720">
        <w:rPr>
          <w:sz w:val="24"/>
          <w:szCs w:val="24"/>
        </w:rPr>
        <w:br/>
      </w:r>
      <w:r w:rsidRPr="00317720">
        <w:rPr>
          <w:rFonts w:ascii="Arial" w:hAnsi="Arial" w:cs="Arial"/>
          <w:sz w:val="24"/>
          <w:szCs w:val="24"/>
        </w:rPr>
        <w:t>Como indicación final quiero hacer constar que –aunque la ley no lo dice- el título de adjudicatario lo constituye la certificación de la diligencia que se practica el día señalado para el remate, en la cual se hace constar que no hubo postores, además de la certificación del auto de la adjudicación.</w:t>
      </w:r>
      <w:r>
        <w:rPr>
          <w:rStyle w:val="Refdenotaalpie"/>
          <w:rFonts w:ascii="Arial" w:hAnsi="Arial" w:cs="Arial"/>
          <w:sz w:val="24"/>
          <w:szCs w:val="24"/>
        </w:rPr>
        <w:footnoteReference w:id="8"/>
      </w: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8C6373">
      <w:pPr>
        <w:shd w:val="clear" w:color="auto" w:fill="FFFFFF" w:themeFill="background1"/>
        <w:spacing w:line="360" w:lineRule="auto"/>
        <w:jc w:val="both"/>
        <w:rPr>
          <w:rFonts w:ascii="Arial" w:hAnsi="Arial" w:cs="Arial"/>
          <w:sz w:val="24"/>
          <w:szCs w:val="24"/>
        </w:rPr>
      </w:pPr>
    </w:p>
    <w:p w:rsidR="00667AE5" w:rsidRDefault="00667AE5" w:rsidP="00667AE5">
      <w:pPr>
        <w:shd w:val="clear" w:color="auto" w:fill="FFFFFF" w:themeFill="background1"/>
        <w:spacing w:line="360" w:lineRule="auto"/>
        <w:jc w:val="center"/>
        <w:rPr>
          <w:rFonts w:ascii="Arial" w:hAnsi="Arial" w:cs="Arial"/>
          <w:b/>
          <w:sz w:val="24"/>
          <w:szCs w:val="24"/>
        </w:rPr>
      </w:pPr>
      <w:r w:rsidRPr="00667AE5">
        <w:rPr>
          <w:rFonts w:ascii="Arial" w:hAnsi="Arial" w:cs="Arial"/>
          <w:b/>
          <w:sz w:val="24"/>
          <w:szCs w:val="24"/>
        </w:rPr>
        <w:lastRenderedPageBreak/>
        <w:t>CONCLUSION</w:t>
      </w:r>
    </w:p>
    <w:p w:rsidR="00667AE5" w:rsidRDefault="00667AE5" w:rsidP="00667AE5">
      <w:pPr>
        <w:shd w:val="clear" w:color="auto" w:fill="FFFFFF" w:themeFill="background1"/>
        <w:spacing w:line="360" w:lineRule="auto"/>
        <w:jc w:val="both"/>
        <w:rPr>
          <w:rFonts w:ascii="Arial" w:hAnsi="Arial" w:cs="Arial"/>
          <w:sz w:val="24"/>
          <w:szCs w:val="24"/>
        </w:rPr>
      </w:pPr>
      <w:r>
        <w:rPr>
          <w:rFonts w:ascii="Arial" w:hAnsi="Arial" w:cs="Arial"/>
          <w:sz w:val="24"/>
          <w:szCs w:val="24"/>
        </w:rPr>
        <w:t>Al finalizar nuestro trabajo de investigación terminamos satisfechos con lo logrado por el hecho que los objetivos propuestos en su mayoría fueron alcanzados, esperamos sean comprendidos, y la información dada sea de mucha ayuda a quien la consulte.</w:t>
      </w:r>
    </w:p>
    <w:p w:rsidR="00667AE5" w:rsidRDefault="00667AE5" w:rsidP="00667AE5">
      <w:pPr>
        <w:shd w:val="clear" w:color="auto" w:fill="FFFFFF" w:themeFill="background1"/>
        <w:spacing w:line="360" w:lineRule="auto"/>
        <w:jc w:val="both"/>
        <w:rPr>
          <w:rFonts w:ascii="Arial" w:hAnsi="Arial" w:cs="Arial"/>
          <w:sz w:val="24"/>
          <w:szCs w:val="24"/>
        </w:rPr>
      </w:pPr>
      <w:r>
        <w:rPr>
          <w:rFonts w:ascii="Arial" w:hAnsi="Arial" w:cs="Arial"/>
          <w:sz w:val="24"/>
          <w:szCs w:val="24"/>
        </w:rPr>
        <w:t xml:space="preserve">Concluimos el tema de la realización de inmueble teniendo como base que es una subdivisión de la subasta pública por la cual entendemos  que es </w:t>
      </w:r>
      <w:r w:rsidRPr="00667AE5">
        <w:rPr>
          <w:rFonts w:ascii="Arial" w:hAnsi="Arial" w:cs="Arial"/>
          <w:sz w:val="24"/>
          <w:szCs w:val="24"/>
        </w:rPr>
        <w:t xml:space="preserve">un procedimiento para la venta de un </w:t>
      </w:r>
      <w:hyperlink r:id="rId16" w:tooltip="Bien económico" w:history="1">
        <w:r w:rsidRPr="00667AE5">
          <w:rPr>
            <w:rStyle w:val="Hipervnculo"/>
            <w:rFonts w:ascii="Arial" w:hAnsi="Arial" w:cs="Arial"/>
            <w:color w:val="auto"/>
            <w:sz w:val="24"/>
            <w:szCs w:val="24"/>
            <w:u w:val="none"/>
          </w:rPr>
          <w:t>bien</w:t>
        </w:r>
      </w:hyperlink>
      <w:r w:rsidRPr="00667AE5">
        <w:rPr>
          <w:rFonts w:ascii="Arial" w:hAnsi="Arial" w:cs="Arial"/>
          <w:sz w:val="24"/>
          <w:szCs w:val="24"/>
        </w:rPr>
        <w:t xml:space="preserve"> a través del cual se pretende determinar el </w:t>
      </w:r>
      <w:hyperlink r:id="rId17" w:tooltip="Comprador" w:history="1">
        <w:r w:rsidRPr="00667AE5">
          <w:rPr>
            <w:rStyle w:val="Hipervnculo"/>
            <w:rFonts w:ascii="Arial" w:hAnsi="Arial" w:cs="Arial"/>
            <w:color w:val="auto"/>
            <w:sz w:val="24"/>
            <w:szCs w:val="24"/>
            <w:u w:val="none"/>
          </w:rPr>
          <w:t>comprador</w:t>
        </w:r>
      </w:hyperlink>
      <w:r w:rsidRPr="00667AE5">
        <w:rPr>
          <w:rFonts w:ascii="Arial" w:hAnsi="Arial" w:cs="Arial"/>
          <w:sz w:val="24"/>
          <w:szCs w:val="24"/>
        </w:rPr>
        <w:t xml:space="preserve"> y el </w:t>
      </w:r>
      <w:hyperlink r:id="rId18" w:tooltip="Precio" w:history="1">
        <w:r w:rsidRPr="00667AE5">
          <w:rPr>
            <w:rStyle w:val="Hipervnculo"/>
            <w:rFonts w:ascii="Arial" w:hAnsi="Arial" w:cs="Arial"/>
            <w:color w:val="auto"/>
            <w:sz w:val="24"/>
            <w:szCs w:val="24"/>
            <w:u w:val="none"/>
          </w:rPr>
          <w:t>precio</w:t>
        </w:r>
      </w:hyperlink>
      <w:r w:rsidRPr="00667AE5">
        <w:rPr>
          <w:rFonts w:ascii="Arial" w:hAnsi="Arial" w:cs="Arial"/>
          <w:sz w:val="24"/>
          <w:szCs w:val="24"/>
        </w:rPr>
        <w:t>, según el sistema de competencia entre varios posibles compradores, adjudicando el bien al que mayor precio ofrezca. Además, la subasta pública se diferencia de otro tipo de subastas por el hecho de que cualquier persona puede pujar por la compra del bien.</w:t>
      </w:r>
    </w:p>
    <w:p w:rsidR="00667AE5" w:rsidRDefault="00667AE5" w:rsidP="00667AE5">
      <w:pPr>
        <w:shd w:val="clear" w:color="auto" w:fill="FFFFFF" w:themeFill="background1"/>
        <w:spacing w:line="360" w:lineRule="auto"/>
        <w:jc w:val="both"/>
        <w:rPr>
          <w:rFonts w:ascii="Arial" w:hAnsi="Arial" w:cs="Arial"/>
          <w:sz w:val="24"/>
          <w:szCs w:val="24"/>
        </w:rPr>
      </w:pPr>
      <w:r>
        <w:rPr>
          <w:rFonts w:ascii="Arial" w:hAnsi="Arial" w:cs="Arial"/>
          <w:sz w:val="24"/>
          <w:szCs w:val="24"/>
        </w:rPr>
        <w:t xml:space="preserve">El tema de investigación proporciono un gran aprendizaje para el grupo puesto como  punto clave se tiene que la subasta tiene como  objeto  susceptible de inscripción  en el registro </w:t>
      </w:r>
      <w:r w:rsidR="001E25D1">
        <w:rPr>
          <w:rFonts w:ascii="Arial" w:hAnsi="Arial" w:cs="Arial"/>
          <w:sz w:val="24"/>
          <w:szCs w:val="24"/>
        </w:rPr>
        <w:t>público</w:t>
      </w:r>
      <w:r>
        <w:rPr>
          <w:rFonts w:ascii="Arial" w:hAnsi="Arial" w:cs="Arial"/>
          <w:sz w:val="24"/>
          <w:szCs w:val="24"/>
        </w:rPr>
        <w:t xml:space="preserve"> tal como lo establece el </w:t>
      </w:r>
      <w:r w:rsidR="001E25D1">
        <w:rPr>
          <w:rFonts w:ascii="Arial" w:hAnsi="Arial" w:cs="Arial"/>
          <w:sz w:val="24"/>
          <w:szCs w:val="24"/>
        </w:rPr>
        <w:t>artículo</w:t>
      </w:r>
      <w:r>
        <w:rPr>
          <w:rFonts w:ascii="Arial" w:hAnsi="Arial" w:cs="Arial"/>
          <w:sz w:val="24"/>
          <w:szCs w:val="24"/>
        </w:rPr>
        <w:t xml:space="preserve"> 665 del código procesal civil,</w:t>
      </w:r>
      <w:r w:rsidR="001E25D1">
        <w:rPr>
          <w:rFonts w:ascii="Arial" w:hAnsi="Arial" w:cs="Arial"/>
          <w:sz w:val="24"/>
          <w:szCs w:val="24"/>
        </w:rPr>
        <w:t xml:space="preserve"> se llevara oficios por parte del tribunal, de ahí que se desprenden otros presupuestos ya detallados en el materia.</w:t>
      </w:r>
    </w:p>
    <w:p w:rsidR="001E25D1" w:rsidRPr="00667AE5" w:rsidRDefault="001E25D1" w:rsidP="00667AE5">
      <w:pPr>
        <w:shd w:val="clear" w:color="auto" w:fill="FFFFFF" w:themeFill="background1"/>
        <w:spacing w:line="360" w:lineRule="auto"/>
        <w:jc w:val="both"/>
        <w:rPr>
          <w:rFonts w:ascii="Arial" w:hAnsi="Arial" w:cs="Arial"/>
          <w:sz w:val="24"/>
          <w:szCs w:val="24"/>
        </w:rPr>
      </w:pPr>
      <w:r>
        <w:rPr>
          <w:rFonts w:ascii="Arial" w:hAnsi="Arial" w:cs="Arial"/>
          <w:sz w:val="24"/>
          <w:szCs w:val="24"/>
        </w:rPr>
        <w:t>Es de gran beneficio la finalización de nuestro trabajo esperando se cumplan las expectativas esperadas por nuestro catedrático.</w:t>
      </w:r>
    </w:p>
    <w:sectPr w:rsidR="001E25D1" w:rsidRPr="00667AE5" w:rsidSect="00E2358D">
      <w:foot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2BA" w:rsidRDefault="002572BA" w:rsidP="002572BA">
      <w:pPr>
        <w:spacing w:after="0" w:line="240" w:lineRule="auto"/>
      </w:pPr>
      <w:r>
        <w:separator/>
      </w:r>
    </w:p>
  </w:endnote>
  <w:endnote w:type="continuationSeparator" w:id="0">
    <w:p w:rsidR="002572BA" w:rsidRDefault="002572BA" w:rsidP="00257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2BA" w:rsidRDefault="002572BA">
    <w:pPr>
      <w:pStyle w:val="Piedepgina"/>
    </w:pPr>
  </w:p>
  <w:p w:rsidR="002D5597" w:rsidRDefault="001E25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2BA" w:rsidRDefault="002572BA" w:rsidP="002572BA">
      <w:pPr>
        <w:spacing w:after="0" w:line="240" w:lineRule="auto"/>
      </w:pPr>
      <w:r>
        <w:separator/>
      </w:r>
    </w:p>
  </w:footnote>
  <w:footnote w:type="continuationSeparator" w:id="0">
    <w:p w:rsidR="002572BA" w:rsidRDefault="002572BA" w:rsidP="002572BA">
      <w:pPr>
        <w:spacing w:after="0" w:line="240" w:lineRule="auto"/>
      </w:pPr>
      <w:r>
        <w:continuationSeparator/>
      </w:r>
    </w:p>
  </w:footnote>
  <w:footnote w:id="1">
    <w:p w:rsidR="002572BA" w:rsidRDefault="002572BA">
      <w:pPr>
        <w:pStyle w:val="Textonotapie"/>
      </w:pPr>
      <w:r>
        <w:rPr>
          <w:rStyle w:val="Refdenotaalpie"/>
        </w:rPr>
        <w:footnoteRef/>
      </w:r>
      <w:r>
        <w:t xml:space="preserve"> </w:t>
      </w:r>
      <w:proofErr w:type="spellStart"/>
      <w:r w:rsidRPr="002572BA">
        <w:t>alberto</w:t>
      </w:r>
      <w:proofErr w:type="spellEnd"/>
      <w:r w:rsidRPr="002572BA">
        <w:t xml:space="preserve"> tomasino , juicio ejecutivo</w:t>
      </w:r>
    </w:p>
  </w:footnote>
  <w:footnote w:id="2">
    <w:p w:rsidR="002572BA" w:rsidRDefault="002572BA">
      <w:pPr>
        <w:pStyle w:val="Textonotapie"/>
      </w:pPr>
      <w:r>
        <w:rPr>
          <w:rStyle w:val="Refdenotaalpie"/>
        </w:rPr>
        <w:footnoteRef/>
      </w:r>
      <w:r>
        <w:t xml:space="preserve"> </w:t>
      </w:r>
      <w:r w:rsidRPr="002572BA">
        <w:t>http://www.csj.gob.sv/BVirtual.nsf/3db6532d39e032fd06256b3e006d8a73/687073a071f23c4c06256b3e00747d08?OpenDocument</w:t>
      </w:r>
    </w:p>
    <w:p w:rsidR="002572BA" w:rsidRDefault="002572BA">
      <w:pPr>
        <w:pStyle w:val="Textonotapie"/>
      </w:pPr>
    </w:p>
  </w:footnote>
  <w:footnote w:id="3">
    <w:p w:rsidR="002572BA" w:rsidRPr="002572BA" w:rsidRDefault="002572BA" w:rsidP="002572BA">
      <w:pPr>
        <w:spacing w:before="100" w:beforeAutospacing="1" w:after="100" w:afterAutospacing="1" w:line="240" w:lineRule="auto"/>
        <w:rPr>
          <w:rFonts w:ascii="Times New Roman" w:eastAsia="Times New Roman" w:hAnsi="Times New Roman" w:cs="Times New Roman"/>
          <w:sz w:val="24"/>
          <w:szCs w:val="24"/>
          <w:lang w:eastAsia="es-ES"/>
        </w:rPr>
      </w:pPr>
      <w:r>
        <w:rPr>
          <w:rStyle w:val="Refdenotaalpie"/>
        </w:rPr>
        <w:footnoteRef/>
      </w:r>
      <w:r>
        <w:t xml:space="preserve"> </w:t>
      </w:r>
      <w:hyperlink r:id="rId1" w:history="1">
        <w:r w:rsidRPr="002572BA">
          <w:rPr>
            <w:rStyle w:val="Hipervnculo"/>
            <w:rFonts w:ascii="Times New Roman" w:eastAsia="Times New Roman" w:hAnsi="Times New Roman" w:cs="Times New Roman"/>
            <w:color w:val="auto"/>
            <w:sz w:val="24"/>
            <w:szCs w:val="24"/>
            <w:u w:val="none"/>
            <w:lang w:eastAsia="es-ES"/>
          </w:rPr>
          <w:t>http://es.overblog.com/Certificado_de_dominio_y_cargas_tramites_para_su_solicitud-1228321767-art172965.html</w:t>
        </w:r>
      </w:hyperlink>
    </w:p>
    <w:p w:rsidR="002572BA" w:rsidRDefault="002572BA" w:rsidP="002572BA">
      <w:pPr>
        <w:spacing w:before="100" w:beforeAutospacing="1" w:after="100" w:afterAutospacing="1" w:line="240" w:lineRule="auto"/>
        <w:rPr>
          <w:rFonts w:ascii="Times New Roman" w:eastAsia="Times New Roman" w:hAnsi="Times New Roman" w:cs="Times New Roman"/>
          <w:sz w:val="24"/>
          <w:szCs w:val="24"/>
          <w:lang w:eastAsia="es-ES"/>
        </w:rPr>
      </w:pPr>
    </w:p>
    <w:p w:rsidR="002572BA" w:rsidRDefault="002572BA">
      <w:pPr>
        <w:pStyle w:val="Textonotapie"/>
      </w:pPr>
    </w:p>
  </w:footnote>
  <w:footnote w:id="4">
    <w:p w:rsidR="00E658F5" w:rsidRDefault="00E658F5">
      <w:pPr>
        <w:pStyle w:val="Textonotapie"/>
      </w:pPr>
      <w:r>
        <w:rPr>
          <w:rStyle w:val="Refdenotaalpie"/>
        </w:rPr>
        <w:footnoteRef/>
      </w:r>
      <w:r>
        <w:t xml:space="preserve"> </w:t>
      </w:r>
      <w:r w:rsidRPr="00E658F5">
        <w:t>http://www.csj.gob.sv/BVirtual.nsf/3db6532d39e032fd06256b3e006d8a73/687073a071f23c4c06256b3e00747d08?OpenDocument</w:t>
      </w:r>
    </w:p>
  </w:footnote>
  <w:footnote w:id="5">
    <w:p w:rsidR="005C63A2" w:rsidRDefault="005C63A2">
      <w:pPr>
        <w:pStyle w:val="Textonotapie"/>
      </w:pPr>
      <w:r>
        <w:rPr>
          <w:rStyle w:val="Refdenotaalpie"/>
        </w:rPr>
        <w:footnoteRef/>
      </w:r>
      <w:r>
        <w:t xml:space="preserve"> Juicio ejecutivo Alberto tomasino.</w:t>
      </w:r>
    </w:p>
  </w:footnote>
  <w:footnote w:id="6">
    <w:p w:rsidR="005C63A2" w:rsidRDefault="005C63A2">
      <w:pPr>
        <w:pStyle w:val="Textonotapie"/>
      </w:pPr>
      <w:r>
        <w:rPr>
          <w:rStyle w:val="Refdenotaalpie"/>
        </w:rPr>
        <w:footnoteRef/>
      </w:r>
      <w:r>
        <w:t xml:space="preserve"> </w:t>
      </w:r>
      <w:r w:rsidRPr="005C63A2">
        <w:t>http://www.csj.gob.sv/BVirtual.nsf/3db6532d39e032fd06256b3e006d8a73/687073a071f23c4c06256b3e00747d08?OpenDocument</w:t>
      </w:r>
    </w:p>
  </w:footnote>
  <w:footnote w:id="7">
    <w:p w:rsidR="005C63A2" w:rsidRPr="00317720" w:rsidRDefault="005C63A2">
      <w:pPr>
        <w:pStyle w:val="Textonotapie"/>
      </w:pPr>
      <w:r>
        <w:rPr>
          <w:rStyle w:val="Refdenotaalpie"/>
        </w:rPr>
        <w:footnoteRef/>
      </w:r>
      <w:r>
        <w:t xml:space="preserve"> </w:t>
      </w:r>
      <w:hyperlink r:id="rId2" w:history="1">
        <w:r w:rsidRPr="00317720">
          <w:rPr>
            <w:rStyle w:val="Hipervnculo"/>
            <w:rFonts w:asciiTheme="majorHAnsi" w:hAnsiTheme="majorHAnsi"/>
            <w:color w:val="auto"/>
            <w:u w:val="none"/>
          </w:rPr>
          <w:t>http://www.csj.gob.sv/BVirtual.nsf/3db6532d39e032fd06256b3e006d8a73/687073a071f23c4c06256b3e00747d08?OpenDocumenthttp://</w:t>
        </w:r>
      </w:hyperlink>
    </w:p>
  </w:footnote>
  <w:footnote w:id="8">
    <w:p w:rsidR="00317720" w:rsidRDefault="00317720">
      <w:pPr>
        <w:pStyle w:val="Textonotapie"/>
      </w:pPr>
      <w:r>
        <w:rPr>
          <w:rStyle w:val="Refdenotaalpie"/>
        </w:rPr>
        <w:footnoteRef/>
      </w:r>
      <w:r>
        <w:t xml:space="preserve"> </w:t>
      </w:r>
      <w:r w:rsidRPr="00317720">
        <w:t>http://www.csj.gob.sv/BVirtual.nsf/3db6532d39e032fd06256b3e006d8a73/687073a071f23c4c06256b3e00747d08?OpenDocument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931F4"/>
    <w:multiLevelType w:val="multilevel"/>
    <w:tmpl w:val="4680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985C73"/>
    <w:multiLevelType w:val="hybridMultilevel"/>
    <w:tmpl w:val="0126726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2572BA"/>
    <w:rsid w:val="00072CDD"/>
    <w:rsid w:val="001E25D1"/>
    <w:rsid w:val="002572BA"/>
    <w:rsid w:val="00317720"/>
    <w:rsid w:val="004A0919"/>
    <w:rsid w:val="005C63A2"/>
    <w:rsid w:val="00667AE5"/>
    <w:rsid w:val="008C6373"/>
    <w:rsid w:val="00E2358D"/>
    <w:rsid w:val="00E658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BA"/>
  </w:style>
  <w:style w:type="paragraph" w:styleId="Ttulo1">
    <w:name w:val="heading 1"/>
    <w:basedOn w:val="Normal"/>
    <w:link w:val="Ttulo1Car"/>
    <w:uiPriority w:val="9"/>
    <w:qFormat/>
    <w:rsid w:val="003177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572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72BA"/>
  </w:style>
  <w:style w:type="character" w:styleId="Hipervnculo">
    <w:name w:val="Hyperlink"/>
    <w:basedOn w:val="Fuentedeprrafopredeter"/>
    <w:uiPriority w:val="99"/>
    <w:unhideWhenUsed/>
    <w:rsid w:val="002572BA"/>
    <w:rPr>
      <w:color w:val="0000FF" w:themeColor="hyperlink"/>
      <w:u w:val="single"/>
    </w:rPr>
  </w:style>
  <w:style w:type="paragraph" w:styleId="Textonotapie">
    <w:name w:val="footnote text"/>
    <w:basedOn w:val="Normal"/>
    <w:link w:val="TextonotapieCar"/>
    <w:uiPriority w:val="99"/>
    <w:semiHidden/>
    <w:unhideWhenUsed/>
    <w:rsid w:val="002572B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72BA"/>
    <w:rPr>
      <w:sz w:val="20"/>
      <w:szCs w:val="20"/>
    </w:rPr>
  </w:style>
  <w:style w:type="character" w:styleId="Refdenotaalpie">
    <w:name w:val="footnote reference"/>
    <w:basedOn w:val="Fuentedeprrafopredeter"/>
    <w:uiPriority w:val="99"/>
    <w:semiHidden/>
    <w:unhideWhenUsed/>
    <w:rsid w:val="002572BA"/>
    <w:rPr>
      <w:vertAlign w:val="superscript"/>
    </w:rPr>
  </w:style>
  <w:style w:type="paragraph" w:styleId="Encabezado">
    <w:name w:val="header"/>
    <w:basedOn w:val="Normal"/>
    <w:link w:val="EncabezadoCar"/>
    <w:uiPriority w:val="99"/>
    <w:semiHidden/>
    <w:unhideWhenUsed/>
    <w:rsid w:val="002572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572BA"/>
  </w:style>
  <w:style w:type="paragraph" w:styleId="NormalWeb">
    <w:name w:val="Normal (Web)"/>
    <w:basedOn w:val="Normal"/>
    <w:uiPriority w:val="99"/>
    <w:semiHidden/>
    <w:unhideWhenUsed/>
    <w:rsid w:val="00E658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317720"/>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667AE5"/>
    <w:pPr>
      <w:ind w:left="720"/>
      <w:contextualSpacing/>
    </w:pPr>
  </w:style>
</w:styles>
</file>

<file path=word/webSettings.xml><?xml version="1.0" encoding="utf-8"?>
<w:webSettings xmlns:r="http://schemas.openxmlformats.org/officeDocument/2006/relationships" xmlns:w="http://schemas.openxmlformats.org/wordprocessingml/2006/main">
  <w:divs>
    <w:div w:id="955867034">
      <w:bodyDiv w:val="1"/>
      <w:marLeft w:val="0"/>
      <w:marRight w:val="0"/>
      <w:marTop w:val="0"/>
      <w:marBottom w:val="0"/>
      <w:divBdr>
        <w:top w:val="none" w:sz="0" w:space="0" w:color="auto"/>
        <w:left w:val="none" w:sz="0" w:space="0" w:color="auto"/>
        <w:bottom w:val="none" w:sz="0" w:space="0" w:color="auto"/>
        <w:right w:val="none" w:sz="0" w:space="0" w:color="auto"/>
      </w:divBdr>
    </w:div>
    <w:div w:id="1725635767">
      <w:bodyDiv w:val="1"/>
      <w:marLeft w:val="0"/>
      <w:marRight w:val="0"/>
      <w:marTop w:val="0"/>
      <w:marBottom w:val="0"/>
      <w:divBdr>
        <w:top w:val="none" w:sz="0" w:space="0" w:color="auto"/>
        <w:left w:val="none" w:sz="0" w:space="0" w:color="auto"/>
        <w:bottom w:val="none" w:sz="0" w:space="0" w:color="auto"/>
        <w:right w:val="none" w:sz="0" w:space="0" w:color="auto"/>
      </w:divBdr>
    </w:div>
    <w:div w:id="2120684039">
      <w:bodyDiv w:val="1"/>
      <w:marLeft w:val="0"/>
      <w:marRight w:val="0"/>
      <w:marTop w:val="0"/>
      <w:marBottom w:val="0"/>
      <w:divBdr>
        <w:top w:val="none" w:sz="0" w:space="0" w:color="auto"/>
        <w:left w:val="none" w:sz="0" w:space="0" w:color="auto"/>
        <w:bottom w:val="none" w:sz="0" w:space="0" w:color="auto"/>
        <w:right w:val="none" w:sz="0" w:space="0" w:color="auto"/>
      </w:divBdr>
      <w:divsChild>
        <w:div w:id="1548948735">
          <w:marLeft w:val="0"/>
          <w:marRight w:val="0"/>
          <w:marTop w:val="0"/>
          <w:marBottom w:val="0"/>
          <w:divBdr>
            <w:top w:val="none" w:sz="0" w:space="0" w:color="auto"/>
            <w:left w:val="none" w:sz="0" w:space="0" w:color="auto"/>
            <w:bottom w:val="none" w:sz="0" w:space="0" w:color="auto"/>
            <w:right w:val="none" w:sz="0" w:space="0" w:color="auto"/>
          </w:divBdr>
          <w:divsChild>
            <w:div w:id="1456869895">
              <w:marLeft w:val="0"/>
              <w:marRight w:val="0"/>
              <w:marTop w:val="0"/>
              <w:marBottom w:val="0"/>
              <w:divBdr>
                <w:top w:val="none" w:sz="0" w:space="0" w:color="auto"/>
                <w:left w:val="none" w:sz="0" w:space="0" w:color="auto"/>
                <w:bottom w:val="none" w:sz="0" w:space="0" w:color="auto"/>
                <w:right w:val="none" w:sz="0" w:space="0" w:color="auto"/>
              </w:divBdr>
            </w:div>
            <w:div w:id="3587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Obra_de_arte" TargetMode="External"/><Relationship Id="rId13" Type="http://schemas.openxmlformats.org/officeDocument/2006/relationships/hyperlink" Target="http://es.wikipedia.org/wiki/Comprador" TargetMode="External"/><Relationship Id="rId18" Type="http://schemas.openxmlformats.org/officeDocument/2006/relationships/hyperlink" Target="http://es.wikipedia.org/wiki/Preci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wikipedia.org/wiki/Bien_econ%C3%B3mico" TargetMode="External"/><Relationship Id="rId17" Type="http://schemas.openxmlformats.org/officeDocument/2006/relationships/hyperlink" Target="http://es.wikipedia.org/wiki/Comprador" TargetMode="External"/><Relationship Id="rId2" Type="http://schemas.openxmlformats.org/officeDocument/2006/relationships/numbering" Target="numbering.xml"/><Relationship Id="rId16" Type="http://schemas.openxmlformats.org/officeDocument/2006/relationships/hyperlink" Target="http://es.wikipedia.org/wiki/Bien_econ%C3%B3mi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ndex.php?title=Plazos&amp;action=edit&amp;redlink=1" TargetMode="External"/><Relationship Id="rId5" Type="http://schemas.openxmlformats.org/officeDocument/2006/relationships/webSettings" Target="webSettings.xml"/><Relationship Id="rId15" Type="http://schemas.openxmlformats.org/officeDocument/2006/relationships/hyperlink" Target="http://noticias.juridicas.com/external/disp.php?name=rdleg2-1995" TargetMode="External"/><Relationship Id="rId10" Type="http://schemas.openxmlformats.org/officeDocument/2006/relationships/hyperlink" Target="http://es.wikipedia.org/wiki/Publicida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s.wikipedia.org/wiki/Ley" TargetMode="External"/><Relationship Id="rId14" Type="http://schemas.openxmlformats.org/officeDocument/2006/relationships/hyperlink" Target="http://es.wikipedia.org/wiki/Preci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sj.gob.sv/BVirtual.nsf/3db6532d39e032fd06256b3e006d8a73/687073a071f23c4c06256b3e00747d08?OpenDocumenthttp://" TargetMode="External"/><Relationship Id="rId1" Type="http://schemas.openxmlformats.org/officeDocument/2006/relationships/hyperlink" Target="http://es.overblog.com/Certificado_de_dominio_y_cargas_tramites_para_su_solicitud-1228321767-art17296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CD43F-89DE-4D4E-BA80-86672C87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4462</Words>
  <Characters>24546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roberto carlos</dc:creator>
  <cp:lastModifiedBy>ing. roberto carlos</cp:lastModifiedBy>
  <cp:revision>1</cp:revision>
  <dcterms:created xsi:type="dcterms:W3CDTF">2012-11-06T02:41:00Z</dcterms:created>
  <dcterms:modified xsi:type="dcterms:W3CDTF">2012-11-06T04:17:00Z</dcterms:modified>
</cp:coreProperties>
</file>