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D5" w:rsidRPr="006A61E3" w:rsidRDefault="00456FD5" w:rsidP="00456FD5">
      <w:pPr>
        <w:jc w:val="center"/>
        <w:rPr>
          <w:rFonts w:ascii="Calisto MT" w:hAnsi="Calisto MT" w:cs="Times New Roman"/>
          <w:b/>
          <w:sz w:val="36"/>
          <w:szCs w:val="36"/>
        </w:rPr>
      </w:pPr>
      <w:r w:rsidRPr="006A61E3">
        <w:rPr>
          <w:rFonts w:ascii="Calisto MT" w:hAnsi="Calisto MT" w:cs="Times New Roman"/>
          <w:b/>
          <w:sz w:val="36"/>
          <w:szCs w:val="36"/>
        </w:rPr>
        <w:t>PONTIFICIA UNIVERSIDAD CATÓLICA DEL PERÚ</w:t>
      </w:r>
    </w:p>
    <w:p w:rsidR="00456FD5" w:rsidRPr="006A61E3" w:rsidRDefault="00456FD5" w:rsidP="00456FD5">
      <w:pPr>
        <w:jc w:val="center"/>
        <w:rPr>
          <w:rFonts w:ascii="Calisto MT" w:hAnsi="Calisto MT" w:cs="Times New Roman"/>
          <w:sz w:val="38"/>
          <w:szCs w:val="38"/>
        </w:rPr>
      </w:pPr>
    </w:p>
    <w:p w:rsidR="00456FD5" w:rsidRPr="006A61E3" w:rsidRDefault="00456FD5" w:rsidP="00456FD5">
      <w:pPr>
        <w:jc w:val="center"/>
        <w:rPr>
          <w:rFonts w:ascii="Calisto MT" w:hAnsi="Calisto MT" w:cs="Times New Roman"/>
        </w:rPr>
      </w:pPr>
      <w:r w:rsidRPr="006A61E3">
        <w:rPr>
          <w:rFonts w:ascii="Calisto MT" w:hAnsi="Calisto MT" w:cs="Times New Roman"/>
          <w:b/>
          <w:sz w:val="34"/>
          <w:szCs w:val="34"/>
        </w:rPr>
        <w:t xml:space="preserve">FACULTAD DE </w:t>
      </w:r>
      <w:r>
        <w:rPr>
          <w:rFonts w:ascii="Calisto MT" w:hAnsi="Calisto MT" w:cs="Times New Roman"/>
          <w:b/>
          <w:sz w:val="34"/>
          <w:szCs w:val="34"/>
        </w:rPr>
        <w:t>DERECHO</w:t>
      </w:r>
    </w:p>
    <w:p w:rsidR="00456FD5" w:rsidRDefault="00456FD5" w:rsidP="00456FD5">
      <w:pPr>
        <w:rPr>
          <w:rFonts w:ascii="Calisto MT" w:hAnsi="Calisto MT" w:cs="Times New Roman"/>
          <w:b/>
          <w:sz w:val="32"/>
          <w:szCs w:val="32"/>
        </w:rPr>
      </w:pPr>
    </w:p>
    <w:p w:rsidR="00456FD5" w:rsidRPr="006A61E3" w:rsidRDefault="0088708F" w:rsidP="00456FD5">
      <w:pPr>
        <w:jc w:val="center"/>
        <w:rPr>
          <w:rFonts w:ascii="Calisto MT" w:hAnsi="Calisto MT" w:cs="Times New Roman"/>
          <w:b/>
        </w:rPr>
      </w:pPr>
      <w:r>
        <w:rPr>
          <w:rFonts w:ascii="Calisto MT" w:hAnsi="Calisto MT" w:cs="Times New Roman"/>
          <w:b/>
          <w:sz w:val="32"/>
          <w:szCs w:val="32"/>
        </w:rPr>
        <w:t>“Primer Capítulo</w:t>
      </w:r>
      <w:r w:rsidR="00456FD5">
        <w:rPr>
          <w:rFonts w:ascii="Calisto MT" w:hAnsi="Calisto MT" w:cs="Times New Roman"/>
          <w:b/>
          <w:sz w:val="32"/>
          <w:szCs w:val="32"/>
        </w:rPr>
        <w:t>”</w:t>
      </w:r>
    </w:p>
    <w:p w:rsidR="00456FD5" w:rsidRPr="006A61E3" w:rsidRDefault="00456FD5" w:rsidP="00456FD5">
      <w:pPr>
        <w:jc w:val="center"/>
        <w:rPr>
          <w:rFonts w:ascii="Calisto MT" w:hAnsi="Calisto MT" w:cs="Times New Roman"/>
          <w:sz w:val="28"/>
          <w:szCs w:val="28"/>
        </w:rPr>
      </w:pPr>
      <w:r>
        <w:rPr>
          <w:rFonts w:ascii="Calisto MT" w:hAnsi="Calisto MT" w:cs="Times New Roman"/>
          <w:sz w:val="28"/>
          <w:szCs w:val="28"/>
        </w:rPr>
        <w:t>Trabajo  para el curso de Introducción a la Metodología de la    Investigación Jurídica</w:t>
      </w:r>
      <w:r w:rsidRPr="006A61E3">
        <w:rPr>
          <w:rFonts w:ascii="Calisto MT" w:hAnsi="Calisto MT" w:cs="Times New Roman"/>
          <w:sz w:val="28"/>
          <w:szCs w:val="28"/>
        </w:rPr>
        <w:t>, que presenta:</w:t>
      </w:r>
    </w:p>
    <w:p w:rsidR="00456FD5" w:rsidRDefault="00456FD5" w:rsidP="00456FD5">
      <w:pPr>
        <w:jc w:val="center"/>
        <w:rPr>
          <w:rFonts w:ascii="Calisto MT" w:hAnsi="Calisto MT" w:cs="Times New Roman"/>
        </w:rPr>
      </w:pPr>
      <w:r>
        <w:rPr>
          <w:rFonts w:ascii="Calisto MT" w:hAnsi="Calisto MT" w:cs="Times New Roman"/>
        </w:rPr>
        <w:t>Jesús Canales Yactayo.</w:t>
      </w:r>
    </w:p>
    <w:p w:rsidR="00456FD5" w:rsidRPr="0076238B" w:rsidRDefault="00456FD5" w:rsidP="00456FD5">
      <w:pPr>
        <w:jc w:val="center"/>
        <w:rPr>
          <w:rFonts w:ascii="Calisto MT" w:hAnsi="Calisto MT" w:cs="Times New Roman"/>
        </w:rPr>
      </w:pPr>
      <w:r>
        <w:rPr>
          <w:rFonts w:ascii="Calisto MT" w:hAnsi="Calisto MT" w:cs="Times New Roman"/>
        </w:rPr>
        <w:t>20081058.</w:t>
      </w:r>
    </w:p>
    <w:p w:rsidR="00456FD5" w:rsidRPr="006A61E3" w:rsidRDefault="00456FD5" w:rsidP="00456FD5">
      <w:pPr>
        <w:ind w:left="2124" w:firstLine="708"/>
        <w:rPr>
          <w:rFonts w:ascii="Calisto MT" w:hAnsi="Calisto MT" w:cs="Times New Roman"/>
          <w:sz w:val="28"/>
          <w:szCs w:val="28"/>
        </w:rPr>
      </w:pPr>
    </w:p>
    <w:p w:rsidR="00456FD5" w:rsidRPr="006A61E3" w:rsidRDefault="00456FD5" w:rsidP="00456FD5">
      <w:pPr>
        <w:rPr>
          <w:rFonts w:ascii="Calisto MT" w:hAnsi="Calisto MT" w:cs="Times New Roman"/>
          <w:sz w:val="28"/>
          <w:szCs w:val="28"/>
        </w:rPr>
      </w:pPr>
    </w:p>
    <w:p w:rsidR="00456FD5" w:rsidRPr="006A61E3" w:rsidRDefault="00456FD5" w:rsidP="00456FD5">
      <w:pPr>
        <w:pStyle w:val="Sinespaciado"/>
        <w:rPr>
          <w:rFonts w:ascii="Calisto MT" w:hAnsi="Calisto MT" w:cs="Times New Roman"/>
          <w:sz w:val="28"/>
          <w:szCs w:val="28"/>
        </w:rPr>
      </w:pPr>
    </w:p>
    <w:p w:rsidR="00456FD5" w:rsidRPr="006A61E3" w:rsidRDefault="00456FD5" w:rsidP="00456FD5">
      <w:pPr>
        <w:pStyle w:val="Sinespaciado"/>
        <w:jc w:val="right"/>
        <w:rPr>
          <w:rFonts w:ascii="Calisto MT" w:hAnsi="Calisto MT" w:cs="Times New Roman"/>
          <w:sz w:val="28"/>
          <w:szCs w:val="28"/>
        </w:rPr>
      </w:pPr>
    </w:p>
    <w:p w:rsidR="00456FD5" w:rsidRPr="006A61E3" w:rsidRDefault="00456FD5" w:rsidP="00456FD5">
      <w:pPr>
        <w:pStyle w:val="Sinespaciado"/>
        <w:ind w:left="2832"/>
        <w:jc w:val="both"/>
        <w:rPr>
          <w:rFonts w:ascii="Calisto MT" w:hAnsi="Calisto MT" w:cs="Times New Roman"/>
          <w:sz w:val="28"/>
          <w:szCs w:val="28"/>
        </w:rPr>
      </w:pPr>
      <w:r w:rsidRPr="006A61E3">
        <w:rPr>
          <w:rFonts w:ascii="Calisto MT" w:hAnsi="Calisto MT" w:cs="Times New Roman"/>
          <w:sz w:val="28"/>
          <w:szCs w:val="28"/>
        </w:rPr>
        <w:t>Profes</w:t>
      </w:r>
      <w:r>
        <w:rPr>
          <w:rFonts w:ascii="Calisto MT" w:hAnsi="Calisto MT" w:cs="Times New Roman"/>
          <w:sz w:val="28"/>
          <w:szCs w:val="28"/>
        </w:rPr>
        <w:t>or</w:t>
      </w:r>
      <w:r w:rsidR="0088708F">
        <w:rPr>
          <w:rFonts w:ascii="Calisto MT" w:hAnsi="Calisto MT" w:cs="Times New Roman"/>
          <w:sz w:val="28"/>
          <w:szCs w:val="28"/>
        </w:rPr>
        <w:t>a</w:t>
      </w:r>
      <w:r>
        <w:rPr>
          <w:rFonts w:ascii="Calisto MT" w:hAnsi="Calisto MT" w:cs="Times New Roman"/>
          <w:sz w:val="28"/>
          <w:szCs w:val="28"/>
        </w:rPr>
        <w:t xml:space="preserve"> del Curso:</w:t>
      </w:r>
      <w:r>
        <w:rPr>
          <w:rFonts w:ascii="Calisto MT" w:hAnsi="Calisto MT" w:cs="Times New Roman"/>
          <w:sz w:val="28"/>
          <w:szCs w:val="28"/>
        </w:rPr>
        <w:tab/>
        <w:t>Ana Revilla Vergara</w:t>
      </w:r>
      <w:r w:rsidR="0088708F">
        <w:rPr>
          <w:rFonts w:ascii="Calisto MT" w:hAnsi="Calisto MT" w:cs="Times New Roman"/>
          <w:sz w:val="28"/>
          <w:szCs w:val="28"/>
        </w:rPr>
        <w:t>.</w:t>
      </w:r>
    </w:p>
    <w:p w:rsidR="00456FD5" w:rsidRPr="006A61E3" w:rsidRDefault="00456FD5" w:rsidP="00456FD5">
      <w:pPr>
        <w:pStyle w:val="Sinespaciado"/>
        <w:ind w:left="2832"/>
        <w:jc w:val="both"/>
        <w:rPr>
          <w:rFonts w:ascii="Calisto MT" w:hAnsi="Calisto MT" w:cs="Times New Roman"/>
          <w:sz w:val="28"/>
          <w:szCs w:val="28"/>
        </w:rPr>
      </w:pPr>
    </w:p>
    <w:p w:rsidR="00456FD5" w:rsidRPr="006A61E3" w:rsidRDefault="00456FD5" w:rsidP="00456FD5">
      <w:pPr>
        <w:pStyle w:val="Sinespaciado"/>
        <w:jc w:val="both"/>
        <w:rPr>
          <w:rFonts w:ascii="Calisto MT" w:hAnsi="Calisto MT" w:cs="Times New Roman"/>
          <w:sz w:val="28"/>
          <w:szCs w:val="28"/>
        </w:rPr>
      </w:pPr>
    </w:p>
    <w:p w:rsidR="00456FD5" w:rsidRPr="006A61E3" w:rsidRDefault="00456FD5" w:rsidP="00456FD5">
      <w:pPr>
        <w:pStyle w:val="Sinespaciado"/>
        <w:jc w:val="both"/>
        <w:rPr>
          <w:rFonts w:ascii="Calisto MT" w:hAnsi="Calisto MT" w:cs="Times New Roman"/>
          <w:sz w:val="28"/>
          <w:szCs w:val="28"/>
        </w:rPr>
      </w:pPr>
    </w:p>
    <w:p w:rsidR="00456FD5" w:rsidRPr="006A61E3" w:rsidRDefault="00456FD5" w:rsidP="00456FD5">
      <w:pPr>
        <w:pStyle w:val="Sinespaciado"/>
        <w:rPr>
          <w:rFonts w:ascii="Calisto MT" w:hAnsi="Calisto MT" w:cs="Times New Roman"/>
          <w:sz w:val="28"/>
          <w:szCs w:val="28"/>
        </w:rPr>
      </w:pPr>
    </w:p>
    <w:p w:rsidR="00456FD5" w:rsidRPr="006A61E3" w:rsidRDefault="00456FD5" w:rsidP="00456FD5">
      <w:pPr>
        <w:pStyle w:val="Sinespaciado"/>
        <w:rPr>
          <w:rFonts w:ascii="Calisto MT" w:hAnsi="Calisto MT" w:cs="Times New Roman"/>
          <w:sz w:val="28"/>
          <w:szCs w:val="28"/>
        </w:rPr>
      </w:pPr>
    </w:p>
    <w:p w:rsidR="00456FD5" w:rsidRDefault="0088708F" w:rsidP="00456FD5">
      <w:pPr>
        <w:pStyle w:val="Sinespaciado"/>
        <w:jc w:val="center"/>
        <w:rPr>
          <w:rFonts w:ascii="Calisto MT" w:hAnsi="Calisto MT" w:cs="Times New Roman"/>
          <w:sz w:val="28"/>
          <w:szCs w:val="28"/>
        </w:rPr>
      </w:pPr>
      <w:r>
        <w:rPr>
          <w:rFonts w:ascii="Calisto MT" w:hAnsi="Calisto MT" w:cs="Times New Roman"/>
          <w:sz w:val="28"/>
          <w:szCs w:val="28"/>
        </w:rPr>
        <w:t>Fecha (31/10</w:t>
      </w:r>
      <w:r w:rsidR="00456FD5" w:rsidRPr="006A61E3">
        <w:rPr>
          <w:rFonts w:ascii="Calisto MT" w:hAnsi="Calisto MT" w:cs="Times New Roman"/>
          <w:sz w:val="28"/>
          <w:szCs w:val="28"/>
        </w:rPr>
        <w:t>/</w:t>
      </w:r>
      <w:r w:rsidR="00456FD5">
        <w:rPr>
          <w:rFonts w:ascii="Calisto MT" w:hAnsi="Calisto MT" w:cs="Times New Roman"/>
          <w:sz w:val="28"/>
          <w:szCs w:val="28"/>
        </w:rPr>
        <w:t>2012</w:t>
      </w:r>
      <w:r w:rsidR="00456FD5" w:rsidRPr="006A61E3">
        <w:rPr>
          <w:rFonts w:ascii="Calisto MT" w:hAnsi="Calisto MT" w:cs="Times New Roman"/>
          <w:sz w:val="28"/>
          <w:szCs w:val="28"/>
        </w:rPr>
        <w:t>)</w:t>
      </w: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456FD5">
      <w:pPr>
        <w:pStyle w:val="Sinespaciado"/>
        <w:jc w:val="center"/>
        <w:rPr>
          <w:rFonts w:ascii="Calisto MT" w:hAnsi="Calisto MT" w:cs="Times New Roman"/>
          <w:sz w:val="28"/>
          <w:szCs w:val="28"/>
        </w:rPr>
      </w:pPr>
    </w:p>
    <w:p w:rsidR="00456FD5" w:rsidRDefault="00456FD5" w:rsidP="00E333F0">
      <w:pPr>
        <w:jc w:val="both"/>
        <w:rPr>
          <w:rFonts w:ascii="Arial" w:hAnsi="Arial" w:cs="Arial"/>
        </w:rPr>
      </w:pPr>
    </w:p>
    <w:p w:rsidR="00456FD5" w:rsidRDefault="00456FD5" w:rsidP="00E333F0">
      <w:pPr>
        <w:jc w:val="both"/>
        <w:rPr>
          <w:rFonts w:ascii="Arial" w:hAnsi="Arial" w:cs="Arial"/>
        </w:rPr>
      </w:pPr>
    </w:p>
    <w:p w:rsidR="00456FD5" w:rsidRDefault="00456FD5" w:rsidP="00E333F0">
      <w:pPr>
        <w:jc w:val="both"/>
        <w:rPr>
          <w:rFonts w:ascii="Arial" w:hAnsi="Arial" w:cs="Arial"/>
        </w:rPr>
      </w:pPr>
    </w:p>
    <w:p w:rsidR="008D4434" w:rsidRPr="00180A91" w:rsidRDefault="00180A91" w:rsidP="00180A91">
      <w:pPr>
        <w:jc w:val="center"/>
        <w:rPr>
          <w:rFonts w:ascii="Arial" w:hAnsi="Arial" w:cs="Arial"/>
          <w:b/>
        </w:rPr>
      </w:pPr>
      <w:r w:rsidRPr="00180A91">
        <w:rPr>
          <w:rFonts w:ascii="Arial" w:hAnsi="Arial" w:cs="Arial"/>
          <w:b/>
        </w:rPr>
        <w:lastRenderedPageBreak/>
        <w:t>CAPITULO 1: DERECHO DE PROPIEDAD: CONCEPTO, CARACTERÍSTISCAS, SISTEMAS DE TRANSFERENCIAS, SU INSCRIPCIÓN Y SU DIFERENCIACIÓN.</w:t>
      </w:r>
    </w:p>
    <w:p w:rsidR="008D4434" w:rsidRDefault="008D4434" w:rsidP="00E333F0">
      <w:pPr>
        <w:jc w:val="both"/>
        <w:rPr>
          <w:rFonts w:ascii="Arial" w:hAnsi="Arial" w:cs="Arial"/>
        </w:rPr>
      </w:pPr>
    </w:p>
    <w:p w:rsidR="00E42DD2" w:rsidRPr="00180A91" w:rsidRDefault="00E6620E" w:rsidP="00E333F0">
      <w:pPr>
        <w:jc w:val="both"/>
        <w:rPr>
          <w:rFonts w:ascii="Arial" w:hAnsi="Arial" w:cs="Arial"/>
          <w:u w:val="single"/>
        </w:rPr>
      </w:pPr>
      <w:r w:rsidRPr="00180A91">
        <w:rPr>
          <w:rFonts w:ascii="Arial" w:hAnsi="Arial" w:cs="Arial"/>
          <w:u w:val="single"/>
        </w:rPr>
        <w:t>1</w:t>
      </w:r>
      <w:r w:rsidR="008D4434" w:rsidRPr="00180A91">
        <w:rPr>
          <w:rFonts w:ascii="Arial" w:hAnsi="Arial" w:cs="Arial"/>
          <w:u w:val="single"/>
        </w:rPr>
        <w:t>.1</w:t>
      </w:r>
      <w:r w:rsidRPr="00180A91">
        <w:rPr>
          <w:rFonts w:ascii="Arial" w:hAnsi="Arial" w:cs="Arial"/>
          <w:u w:val="single"/>
        </w:rPr>
        <w:t xml:space="preserve">) </w:t>
      </w:r>
      <w:r w:rsidR="008D4434" w:rsidRPr="00180A91">
        <w:rPr>
          <w:rFonts w:ascii="Arial" w:hAnsi="Arial" w:cs="Arial"/>
          <w:u w:val="single"/>
        </w:rPr>
        <w:t xml:space="preserve">Concepto del </w:t>
      </w:r>
      <w:r w:rsidRPr="00180A91">
        <w:rPr>
          <w:rFonts w:ascii="Arial" w:hAnsi="Arial" w:cs="Arial"/>
          <w:u w:val="single"/>
        </w:rPr>
        <w:t>Derecho</w:t>
      </w:r>
      <w:r w:rsidR="00DA1023" w:rsidRPr="00180A91">
        <w:rPr>
          <w:rFonts w:ascii="Arial" w:hAnsi="Arial" w:cs="Arial"/>
          <w:u w:val="single"/>
        </w:rPr>
        <w:t xml:space="preserve"> de Propiedad:</w:t>
      </w:r>
    </w:p>
    <w:p w:rsidR="00B3379B" w:rsidRDefault="006F51EB" w:rsidP="00E333F0">
      <w:pPr>
        <w:jc w:val="both"/>
        <w:rPr>
          <w:rFonts w:ascii="Arial" w:hAnsi="Arial" w:cs="Arial"/>
        </w:rPr>
      </w:pPr>
      <w:r>
        <w:rPr>
          <w:rFonts w:ascii="Arial" w:hAnsi="Arial" w:cs="Arial"/>
        </w:rPr>
        <w:t>En primer lugar, este derecho es reconocido</w:t>
      </w:r>
      <w:r w:rsidR="001956BF">
        <w:rPr>
          <w:rFonts w:ascii="Arial" w:hAnsi="Arial" w:cs="Arial"/>
        </w:rPr>
        <w:t xml:space="preserve"> en su artículo 21</w:t>
      </w:r>
      <w:r>
        <w:rPr>
          <w:rFonts w:ascii="Arial" w:hAnsi="Arial" w:cs="Arial"/>
        </w:rPr>
        <w:t xml:space="preserve"> por la Convención americana de Derechos Humanos: “Toda persona tiene derecho al uso y goce de sus bienes. La ley puede subordinar </w:t>
      </w:r>
      <w:r w:rsidR="001956BF">
        <w:rPr>
          <w:rFonts w:ascii="Arial" w:hAnsi="Arial" w:cs="Arial"/>
        </w:rPr>
        <w:t xml:space="preserve">tal uso y goce al interés social”. Del mismo </w:t>
      </w:r>
      <w:r w:rsidR="00D2373A">
        <w:rPr>
          <w:rFonts w:ascii="Arial" w:hAnsi="Arial" w:cs="Arial"/>
        </w:rPr>
        <w:t>modo,</w:t>
      </w:r>
      <w:r w:rsidR="001956BF">
        <w:rPr>
          <w:rFonts w:ascii="Arial" w:hAnsi="Arial" w:cs="Arial"/>
        </w:rPr>
        <w:t xml:space="preserve"> es reconocido por nuestra constitución en su artículo 70, únicamente haciendo un cambio entre el término “interés social” por el de “bien común”</w:t>
      </w:r>
      <w:r w:rsidR="00B3379B">
        <w:rPr>
          <w:rFonts w:ascii="Arial" w:hAnsi="Arial" w:cs="Arial"/>
        </w:rPr>
        <w:t>.</w:t>
      </w:r>
    </w:p>
    <w:p w:rsidR="006F51EB" w:rsidRDefault="00B3379B" w:rsidP="00E333F0">
      <w:pPr>
        <w:jc w:val="both"/>
        <w:rPr>
          <w:rFonts w:ascii="Arial" w:hAnsi="Arial" w:cs="Arial"/>
        </w:rPr>
      </w:pPr>
      <w:r>
        <w:rPr>
          <w:rFonts w:ascii="Arial" w:hAnsi="Arial" w:cs="Arial"/>
        </w:rPr>
        <w:t>La</w:t>
      </w:r>
      <w:r w:rsidR="001956BF">
        <w:rPr>
          <w:rFonts w:ascii="Arial" w:hAnsi="Arial" w:cs="Arial"/>
        </w:rPr>
        <w:t xml:space="preserve"> diferencia </w:t>
      </w:r>
      <w:r>
        <w:rPr>
          <w:rFonts w:ascii="Arial" w:hAnsi="Arial" w:cs="Arial"/>
        </w:rPr>
        <w:t xml:space="preserve">entre estos dos términos que han limitado y limitan hoy la propiedad </w:t>
      </w:r>
      <w:r w:rsidR="001956BF">
        <w:rPr>
          <w:rFonts w:ascii="Arial" w:hAnsi="Arial" w:cs="Arial"/>
        </w:rPr>
        <w:t xml:space="preserve">radica en el contenido de solidad del primero con el </w:t>
      </w:r>
      <w:r w:rsidR="00D2373A">
        <w:rPr>
          <w:rFonts w:ascii="Arial" w:hAnsi="Arial" w:cs="Arial"/>
        </w:rPr>
        <w:t>de suma de intereses individuales del segundo</w:t>
      </w:r>
      <w:r w:rsidR="00D2373A">
        <w:rPr>
          <w:rStyle w:val="Refdenotaalpie"/>
          <w:rFonts w:ascii="Arial" w:hAnsi="Arial" w:cs="Arial"/>
        </w:rPr>
        <w:footnoteReference w:id="2"/>
      </w:r>
      <w:r w:rsidR="00D2373A">
        <w:rPr>
          <w:rFonts w:ascii="Arial" w:hAnsi="Arial" w:cs="Arial"/>
        </w:rPr>
        <w:t>. La diferencia es crucial, puesta que mientras  en el primer caso se limita por orden de ideas abstractas, lo cual genera inseguridad; en el segundo caso, es una norma concreta que permite conocer exactamente cuáles son eso limites mediante la ley</w:t>
      </w:r>
      <w:r w:rsidR="00D2373A">
        <w:rPr>
          <w:rStyle w:val="Refdenotaalpie"/>
          <w:rFonts w:ascii="Arial" w:hAnsi="Arial" w:cs="Arial"/>
        </w:rPr>
        <w:footnoteReference w:id="3"/>
      </w:r>
      <w:r w:rsidR="00D2373A">
        <w:rPr>
          <w:rFonts w:ascii="Arial" w:hAnsi="Arial" w:cs="Arial"/>
        </w:rPr>
        <w:t xml:space="preserve">. </w:t>
      </w:r>
    </w:p>
    <w:p w:rsidR="00DA1023" w:rsidRPr="003D4D7F" w:rsidRDefault="003D4D7F" w:rsidP="00E333F0">
      <w:pPr>
        <w:jc w:val="both"/>
        <w:rPr>
          <w:rFonts w:ascii="Arial" w:hAnsi="Arial" w:cs="Arial"/>
        </w:rPr>
      </w:pPr>
      <w:r>
        <w:rPr>
          <w:rFonts w:ascii="Arial" w:hAnsi="Arial" w:cs="Arial"/>
        </w:rPr>
        <w:t>Estas excepciones no están mencionada en nuestro código civil, pero por un criterio de jerarquía, se asume que sí</w:t>
      </w:r>
      <w:r>
        <w:rPr>
          <w:rFonts w:ascii="Arial" w:eastAsia="Calibri" w:hAnsi="Arial" w:cs="Arial"/>
        </w:rPr>
        <w:t xml:space="preserve">: </w:t>
      </w:r>
      <w:r w:rsidRPr="00E6620E">
        <w:rPr>
          <w:rFonts w:ascii="Arial" w:eastAsia="Calibri" w:hAnsi="Arial" w:cs="Arial"/>
        </w:rPr>
        <w:t>el poder jurídico que permite usar, disfrutar, disponer y reivindicar un bien</w:t>
      </w:r>
      <w:r>
        <w:rPr>
          <w:rStyle w:val="Refdenotaalpie"/>
          <w:rFonts w:ascii="Arial" w:eastAsia="Calibri" w:hAnsi="Arial" w:cs="Arial"/>
        </w:rPr>
        <w:footnoteReference w:id="4"/>
      </w:r>
      <w:r w:rsidRPr="00E6620E">
        <w:rPr>
          <w:rFonts w:ascii="Arial" w:eastAsia="Calibri" w:hAnsi="Arial" w:cs="Arial"/>
        </w:rPr>
        <w:t>.</w:t>
      </w:r>
      <w:r>
        <w:rPr>
          <w:rFonts w:ascii="Arial" w:hAnsi="Arial" w:cs="Arial"/>
        </w:rPr>
        <w:t xml:space="preserve"> Del mismo modo la </w:t>
      </w:r>
      <w:r w:rsidR="00DA1023" w:rsidRPr="00E6620E">
        <w:rPr>
          <w:rFonts w:ascii="Arial" w:hAnsi="Arial" w:cs="Arial"/>
        </w:rPr>
        <w:t xml:space="preserve"> doctrina la define como</w:t>
      </w:r>
      <w:r>
        <w:rPr>
          <w:rFonts w:ascii="Arial" w:hAnsi="Arial" w:cs="Arial"/>
        </w:rPr>
        <w:t xml:space="preserve"> el </w:t>
      </w:r>
      <w:r w:rsidR="00DA1023" w:rsidRPr="00E6620E">
        <w:rPr>
          <w:rFonts w:ascii="Arial" w:eastAsia="Calibri" w:hAnsi="Arial" w:cs="Arial"/>
        </w:rPr>
        <w:t>máximo poder jurídico pleno sobre una cosa, la cual queda sometida  directa y totalmente(es decir en todos sus aspectos y utilidades  que pueda proporcionar) a nuestro señorío exclusivo</w:t>
      </w:r>
      <w:r w:rsidR="00DA1023">
        <w:rPr>
          <w:rStyle w:val="Refdenotaalpie"/>
          <w:rFonts w:ascii="Arial" w:eastAsia="Calibri" w:hAnsi="Arial" w:cs="Arial"/>
        </w:rPr>
        <w:footnoteReference w:id="5"/>
      </w:r>
      <w:r w:rsidR="00DA1023" w:rsidRPr="00E6620E">
        <w:rPr>
          <w:rFonts w:ascii="Arial" w:eastAsia="Calibri" w:hAnsi="Arial" w:cs="Arial"/>
        </w:rPr>
        <w:t>.</w:t>
      </w:r>
      <w:r w:rsidR="00B3379B">
        <w:rPr>
          <w:rFonts w:ascii="Arial" w:eastAsia="Calibri" w:hAnsi="Arial" w:cs="Arial"/>
        </w:rPr>
        <w:t xml:space="preserve">  </w:t>
      </w:r>
    </w:p>
    <w:p w:rsidR="006F5389" w:rsidRDefault="006F5389" w:rsidP="00E333F0">
      <w:pPr>
        <w:jc w:val="both"/>
        <w:rPr>
          <w:rFonts w:ascii="Arial" w:eastAsia="Calibri" w:hAnsi="Arial" w:cs="Arial"/>
        </w:rPr>
      </w:pPr>
      <w:r>
        <w:rPr>
          <w:rFonts w:ascii="Arial" w:eastAsia="Calibri" w:hAnsi="Arial" w:cs="Arial"/>
        </w:rPr>
        <w:t>Es necesario, indicar que este derecho no se refiere a la relación entre los hombres y las cosas, sino a la regulación de las relaciones de conducta entre los hombres, que aparecen como consecuencia de la existencia de cosas y del problema de cómo deben ser usadas</w:t>
      </w:r>
      <w:r>
        <w:rPr>
          <w:rStyle w:val="Refdenotaalpie"/>
          <w:rFonts w:ascii="Arial" w:eastAsia="Calibri" w:hAnsi="Arial" w:cs="Arial"/>
        </w:rPr>
        <w:footnoteReference w:id="6"/>
      </w:r>
      <w:r>
        <w:rPr>
          <w:rFonts w:ascii="Arial" w:eastAsia="Calibri" w:hAnsi="Arial" w:cs="Arial"/>
        </w:rPr>
        <w:t>.</w:t>
      </w:r>
    </w:p>
    <w:p w:rsidR="006F5389" w:rsidRPr="00E6620E" w:rsidRDefault="003D4D7F" w:rsidP="00E333F0">
      <w:pPr>
        <w:jc w:val="both"/>
        <w:rPr>
          <w:rFonts w:ascii="Arial" w:eastAsia="Calibri" w:hAnsi="Arial" w:cs="Arial"/>
        </w:rPr>
      </w:pPr>
      <w:r>
        <w:rPr>
          <w:rFonts w:ascii="Arial" w:eastAsia="Calibri" w:hAnsi="Arial" w:cs="Arial"/>
        </w:rPr>
        <w:t xml:space="preserve">Para finalizar esta </w:t>
      </w:r>
      <w:r w:rsidR="00895732">
        <w:rPr>
          <w:rFonts w:ascii="Arial" w:eastAsia="Calibri" w:hAnsi="Arial" w:cs="Arial"/>
        </w:rPr>
        <w:t>parte,</w:t>
      </w:r>
      <w:r>
        <w:rPr>
          <w:rFonts w:ascii="Arial" w:eastAsia="Calibri" w:hAnsi="Arial" w:cs="Arial"/>
        </w:rPr>
        <w:t xml:space="preserve"> es necesario mencionar la importancia económica </w:t>
      </w:r>
      <w:r w:rsidR="00895732">
        <w:rPr>
          <w:rFonts w:ascii="Arial" w:eastAsia="Calibri" w:hAnsi="Arial" w:cs="Arial"/>
        </w:rPr>
        <w:t>de este derecho: “es sin duda  una de las piezas  claves de todo sistema jurídico y económico. Del régimen legal atribuido a este derecho depende en no poca medida el éxito o fracaso de las política  económicas y sociales de un país”</w:t>
      </w:r>
      <w:r w:rsidR="00895732">
        <w:rPr>
          <w:rStyle w:val="Refdenotaalpie"/>
          <w:rFonts w:ascii="Arial" w:eastAsia="Calibri" w:hAnsi="Arial" w:cs="Arial"/>
        </w:rPr>
        <w:footnoteReference w:id="7"/>
      </w:r>
      <w:r w:rsidR="00895732">
        <w:rPr>
          <w:rFonts w:ascii="Arial" w:eastAsia="Calibri" w:hAnsi="Arial" w:cs="Arial"/>
        </w:rPr>
        <w:t>. Del mismo modo, la cita de Castillo Freyre: “</w:t>
      </w:r>
      <w:r w:rsidR="006F5389">
        <w:rPr>
          <w:rFonts w:ascii="Arial" w:eastAsia="Calibri" w:hAnsi="Arial" w:cs="Arial"/>
        </w:rPr>
        <w:t xml:space="preserve">Este derecho no es un mero </w:t>
      </w:r>
      <w:r w:rsidR="000D6A95">
        <w:rPr>
          <w:rFonts w:ascii="Arial" w:eastAsia="Calibri" w:hAnsi="Arial" w:cs="Arial"/>
        </w:rPr>
        <w:t>papel,</w:t>
      </w:r>
      <w:r w:rsidR="006F5389">
        <w:rPr>
          <w:rFonts w:ascii="Arial" w:eastAsia="Calibri" w:hAnsi="Arial" w:cs="Arial"/>
        </w:rPr>
        <w:t xml:space="preserve"> sino también una herramienta mediadora que captura y almacena  la mayoría del material </w:t>
      </w:r>
      <w:r w:rsidR="000D6A95">
        <w:rPr>
          <w:rFonts w:ascii="Arial" w:eastAsia="Calibri" w:hAnsi="Arial" w:cs="Arial"/>
        </w:rPr>
        <w:t>requerido para lograr  que la economía del mercado fluya</w:t>
      </w:r>
      <w:r w:rsidR="00895732">
        <w:rPr>
          <w:rFonts w:ascii="Arial" w:eastAsia="Calibri" w:hAnsi="Arial" w:cs="Arial"/>
        </w:rPr>
        <w:t>”</w:t>
      </w:r>
      <w:r w:rsidR="000D6A95">
        <w:rPr>
          <w:rStyle w:val="Refdenotaalpie"/>
          <w:rFonts w:ascii="Arial" w:eastAsia="Calibri" w:hAnsi="Arial" w:cs="Arial"/>
        </w:rPr>
        <w:footnoteReference w:id="8"/>
      </w:r>
    </w:p>
    <w:p w:rsidR="008D4434" w:rsidRDefault="008D4434" w:rsidP="00E333F0">
      <w:pPr>
        <w:jc w:val="both"/>
        <w:rPr>
          <w:rFonts w:ascii="Arial" w:eastAsia="Calibri" w:hAnsi="Arial" w:cs="Arial"/>
        </w:rPr>
      </w:pPr>
    </w:p>
    <w:p w:rsidR="00180A91" w:rsidRDefault="00180A91" w:rsidP="00E333F0">
      <w:pPr>
        <w:jc w:val="both"/>
        <w:rPr>
          <w:rFonts w:ascii="Arial" w:eastAsia="Calibri" w:hAnsi="Arial" w:cs="Arial"/>
        </w:rPr>
      </w:pPr>
    </w:p>
    <w:p w:rsidR="00180A91" w:rsidRDefault="00180A91" w:rsidP="00E333F0">
      <w:pPr>
        <w:jc w:val="both"/>
        <w:rPr>
          <w:rFonts w:ascii="Arial" w:eastAsia="Calibri" w:hAnsi="Arial" w:cs="Arial"/>
        </w:rPr>
      </w:pPr>
    </w:p>
    <w:p w:rsidR="00FA4822" w:rsidRPr="00E6620E" w:rsidRDefault="008D4434" w:rsidP="00E333F0">
      <w:pPr>
        <w:jc w:val="both"/>
        <w:rPr>
          <w:rFonts w:ascii="Arial" w:eastAsia="Calibri" w:hAnsi="Arial" w:cs="Arial"/>
        </w:rPr>
      </w:pPr>
      <w:r w:rsidRPr="00180A91">
        <w:rPr>
          <w:rFonts w:ascii="Arial" w:eastAsia="Calibri" w:hAnsi="Arial" w:cs="Arial"/>
          <w:u w:val="single"/>
        </w:rPr>
        <w:lastRenderedPageBreak/>
        <w:t>1.2</w:t>
      </w:r>
      <w:r w:rsidR="00E6620E" w:rsidRPr="00180A91">
        <w:rPr>
          <w:rFonts w:ascii="Arial" w:eastAsia="Calibri" w:hAnsi="Arial" w:cs="Arial"/>
          <w:u w:val="single"/>
        </w:rPr>
        <w:t>) Características</w:t>
      </w:r>
      <w:r w:rsidR="004C1EE7" w:rsidRPr="00180A91">
        <w:rPr>
          <w:rFonts w:ascii="Arial" w:eastAsia="Calibri" w:hAnsi="Arial" w:cs="Arial"/>
          <w:u w:val="single"/>
        </w:rPr>
        <w:t xml:space="preserve"> del Derecho de Propiedad</w:t>
      </w:r>
      <w:r w:rsidR="004C1EE7" w:rsidRPr="00E6620E">
        <w:rPr>
          <w:rFonts w:ascii="Arial" w:eastAsia="Calibri" w:hAnsi="Arial" w:cs="Arial"/>
        </w:rPr>
        <w:t>:</w:t>
      </w:r>
    </w:p>
    <w:p w:rsidR="00B85D52" w:rsidRPr="00E6620E" w:rsidRDefault="00895732" w:rsidP="00E333F0">
      <w:pPr>
        <w:jc w:val="both"/>
        <w:rPr>
          <w:rFonts w:ascii="Arial" w:eastAsia="Calibri" w:hAnsi="Arial" w:cs="Arial"/>
        </w:rPr>
      </w:pPr>
      <w:r>
        <w:rPr>
          <w:rFonts w:ascii="Arial" w:eastAsia="Calibri" w:hAnsi="Arial" w:cs="Arial"/>
        </w:rPr>
        <w:t>Actual</w:t>
      </w:r>
      <w:r w:rsidR="00D9598B">
        <w:rPr>
          <w:rFonts w:ascii="Arial" w:eastAsia="Calibri" w:hAnsi="Arial" w:cs="Arial"/>
        </w:rPr>
        <w:t>mente se ha modificado en parte</w:t>
      </w:r>
      <w:r>
        <w:rPr>
          <w:rFonts w:ascii="Arial" w:eastAsia="Calibri" w:hAnsi="Arial" w:cs="Arial"/>
        </w:rPr>
        <w:t xml:space="preserve">, las características tradicionales de </w:t>
      </w:r>
      <w:r w:rsidR="00D9598B">
        <w:rPr>
          <w:rFonts w:ascii="Arial" w:eastAsia="Calibri" w:hAnsi="Arial" w:cs="Arial"/>
        </w:rPr>
        <w:t>este derecho, y ello, con la finalidad de que estas tenga una mayor ajuste a como esta se desenvuelve en lo cotidiano L</w:t>
      </w:r>
      <w:r w:rsidR="004C1EE7" w:rsidRPr="00E6620E">
        <w:rPr>
          <w:rFonts w:ascii="Arial" w:eastAsia="Calibri" w:hAnsi="Arial" w:cs="Arial"/>
        </w:rPr>
        <w:t>a doctrina moderna la describe como un derecho abstracto y elástico, exclusivo, tendencialmente perpetuo:</w:t>
      </w:r>
    </w:p>
    <w:p w:rsidR="00D9598B" w:rsidRPr="00180A91" w:rsidRDefault="00D9598B" w:rsidP="00D9598B">
      <w:pPr>
        <w:jc w:val="both"/>
        <w:rPr>
          <w:rFonts w:ascii="Arial" w:eastAsia="Calibri" w:hAnsi="Arial" w:cs="Arial"/>
          <w:u w:val="single"/>
        </w:rPr>
      </w:pPr>
    </w:p>
    <w:p w:rsidR="00D9598B" w:rsidRPr="00180A91" w:rsidRDefault="008D4434" w:rsidP="008D4434">
      <w:pPr>
        <w:jc w:val="both"/>
        <w:rPr>
          <w:rFonts w:ascii="Arial" w:eastAsia="Calibri" w:hAnsi="Arial" w:cs="Arial"/>
          <w:u w:val="single"/>
        </w:rPr>
      </w:pPr>
      <w:r w:rsidRPr="00180A91">
        <w:rPr>
          <w:rFonts w:ascii="Arial" w:eastAsia="Calibri" w:hAnsi="Arial" w:cs="Arial"/>
          <w:u w:val="single"/>
        </w:rPr>
        <w:t>1.2.1) Derecho</w:t>
      </w:r>
      <w:r w:rsidR="004C1EE7" w:rsidRPr="00180A91">
        <w:rPr>
          <w:rFonts w:ascii="Arial" w:eastAsia="Calibri" w:hAnsi="Arial" w:cs="Arial"/>
          <w:u w:val="single"/>
        </w:rPr>
        <w:t xml:space="preserve"> Abstracto y Elástico: </w:t>
      </w:r>
    </w:p>
    <w:p w:rsidR="004C1EE7" w:rsidRPr="00D9598B" w:rsidRDefault="004C1EE7" w:rsidP="00D9598B">
      <w:pPr>
        <w:jc w:val="both"/>
        <w:rPr>
          <w:rFonts w:ascii="Arial" w:eastAsia="Calibri" w:hAnsi="Arial" w:cs="Arial"/>
        </w:rPr>
      </w:pPr>
      <w:r w:rsidRPr="00D9598B">
        <w:rPr>
          <w:rFonts w:ascii="Arial" w:eastAsia="Calibri" w:hAnsi="Arial" w:cs="Arial"/>
        </w:rPr>
        <w:t>Se le considera abstracto, porque comprende todas las facultades  y atributos jurídicos (Uso, goce, disposición, etc.</w:t>
      </w:r>
      <w:r w:rsidR="00FA4822" w:rsidRPr="00D9598B">
        <w:rPr>
          <w:rFonts w:ascii="Arial" w:eastAsia="Calibri" w:hAnsi="Arial" w:cs="Arial"/>
        </w:rPr>
        <w:t>) posibles que, sobre el bien, tiene el dueño</w:t>
      </w:r>
      <w:r w:rsidR="00FA4822">
        <w:rPr>
          <w:rStyle w:val="Refdenotaalpie"/>
          <w:rFonts w:ascii="Arial" w:eastAsia="Calibri" w:hAnsi="Arial" w:cs="Arial"/>
        </w:rPr>
        <w:footnoteReference w:id="9"/>
      </w:r>
      <w:r w:rsidR="00FA4822" w:rsidRPr="00D9598B">
        <w:rPr>
          <w:rFonts w:ascii="Arial" w:eastAsia="Calibri" w:hAnsi="Arial" w:cs="Arial"/>
        </w:rPr>
        <w:t>. Y en el caso de la  elasticidad, porque no deja de ser tal derecho por más que los atributos (goce, disposición, etc.) estén momentáneamente reducidos o constreñidos</w:t>
      </w:r>
      <w:r w:rsidR="00FA4822">
        <w:rPr>
          <w:rStyle w:val="Refdenotaalpie"/>
          <w:rFonts w:ascii="Arial" w:eastAsia="Calibri" w:hAnsi="Arial" w:cs="Arial"/>
        </w:rPr>
        <w:footnoteReference w:id="10"/>
      </w:r>
      <w:r w:rsidR="00FA4822" w:rsidRPr="00D9598B">
        <w:rPr>
          <w:rFonts w:ascii="Arial" w:eastAsia="Calibri" w:hAnsi="Arial" w:cs="Arial"/>
        </w:rPr>
        <w:t>.</w:t>
      </w:r>
    </w:p>
    <w:p w:rsidR="00180A91" w:rsidRDefault="00180A91" w:rsidP="008D4434">
      <w:pPr>
        <w:jc w:val="both"/>
        <w:rPr>
          <w:rFonts w:ascii="Arial" w:eastAsia="Calibri" w:hAnsi="Arial" w:cs="Arial"/>
        </w:rPr>
      </w:pPr>
    </w:p>
    <w:p w:rsidR="00D9598B" w:rsidRPr="00180A91" w:rsidRDefault="008D4434" w:rsidP="008D4434">
      <w:pPr>
        <w:jc w:val="both"/>
        <w:rPr>
          <w:rFonts w:ascii="Arial" w:eastAsia="Calibri" w:hAnsi="Arial" w:cs="Arial"/>
          <w:u w:val="single"/>
        </w:rPr>
      </w:pPr>
      <w:r w:rsidRPr="00180A91">
        <w:rPr>
          <w:rFonts w:ascii="Arial" w:eastAsia="Calibri" w:hAnsi="Arial" w:cs="Arial"/>
          <w:u w:val="single"/>
        </w:rPr>
        <w:t>1.2.2) Derecho</w:t>
      </w:r>
      <w:r w:rsidR="004C1EE7" w:rsidRPr="00180A91">
        <w:rPr>
          <w:rFonts w:ascii="Arial" w:eastAsia="Calibri" w:hAnsi="Arial" w:cs="Arial"/>
          <w:u w:val="single"/>
        </w:rPr>
        <w:t xml:space="preserve"> exclusivo:</w:t>
      </w:r>
      <w:r w:rsidR="00FA4822" w:rsidRPr="00180A91">
        <w:rPr>
          <w:rFonts w:ascii="Arial" w:eastAsia="Calibri" w:hAnsi="Arial" w:cs="Arial"/>
          <w:u w:val="single"/>
        </w:rPr>
        <w:t xml:space="preserve"> </w:t>
      </w:r>
    </w:p>
    <w:p w:rsidR="004C1EE7" w:rsidRPr="00D9598B" w:rsidRDefault="00D9598B" w:rsidP="00D9598B">
      <w:pPr>
        <w:jc w:val="both"/>
        <w:rPr>
          <w:rFonts w:ascii="Arial" w:eastAsia="Calibri" w:hAnsi="Arial" w:cs="Arial"/>
        </w:rPr>
      </w:pPr>
      <w:r w:rsidRPr="00D9598B">
        <w:rPr>
          <w:rFonts w:ascii="Arial" w:eastAsia="Calibri" w:hAnsi="Arial" w:cs="Arial"/>
        </w:rPr>
        <w:t>Esta</w:t>
      </w:r>
      <w:r w:rsidR="00FA4822" w:rsidRPr="00D9598B">
        <w:rPr>
          <w:rFonts w:ascii="Arial" w:eastAsia="Calibri" w:hAnsi="Arial" w:cs="Arial"/>
        </w:rPr>
        <w:t xml:space="preserve"> característica  se da por ser oponible a quien pretende inmiscuirse en su bien y porque sobre un mismo bien no puede haber dos derechos idénticos</w:t>
      </w:r>
      <w:r w:rsidR="00FA4822" w:rsidRPr="00FA4822">
        <w:rPr>
          <w:rStyle w:val="Refdenotaalpie"/>
          <w:rFonts w:ascii="Arial" w:eastAsia="Calibri" w:hAnsi="Arial" w:cs="Arial"/>
        </w:rPr>
        <w:footnoteReference w:id="11"/>
      </w:r>
      <w:r w:rsidR="00FA4822" w:rsidRPr="00D9598B">
        <w:rPr>
          <w:rFonts w:ascii="Arial" w:eastAsia="Calibri" w:hAnsi="Arial" w:cs="Arial"/>
        </w:rPr>
        <w:t>.</w:t>
      </w:r>
    </w:p>
    <w:p w:rsidR="004D15CE" w:rsidRDefault="004D15CE" w:rsidP="00E333F0">
      <w:pPr>
        <w:jc w:val="both"/>
        <w:rPr>
          <w:rFonts w:ascii="Arial" w:eastAsia="Calibri" w:hAnsi="Arial" w:cs="Arial"/>
        </w:rPr>
      </w:pPr>
      <w:r>
        <w:rPr>
          <w:rFonts w:ascii="Arial" w:eastAsia="Calibri" w:hAnsi="Arial" w:cs="Arial"/>
        </w:rPr>
        <w:t xml:space="preserve">Esta característica se considera la principal, porque incentiva la inversión en bienes y permiten que se utilicen de un modo más eficiente. </w:t>
      </w:r>
      <w:r w:rsidR="00D47919">
        <w:rPr>
          <w:rFonts w:ascii="Arial" w:eastAsia="Calibri" w:hAnsi="Arial" w:cs="Arial"/>
        </w:rPr>
        <w:t>Dicho Uso efectivo se fundamente en su</w:t>
      </w:r>
      <w:r>
        <w:rPr>
          <w:rFonts w:ascii="Arial" w:eastAsia="Calibri" w:hAnsi="Arial" w:cs="Arial"/>
        </w:rPr>
        <w:t xml:space="preserve"> mayor </w:t>
      </w:r>
      <w:r w:rsidR="000D6A95">
        <w:rPr>
          <w:rFonts w:ascii="Arial" w:eastAsia="Calibri" w:hAnsi="Arial" w:cs="Arial"/>
        </w:rPr>
        <w:t>valor</w:t>
      </w:r>
      <w:r w:rsidR="00D47919">
        <w:rPr>
          <w:rFonts w:ascii="Arial" w:eastAsia="Calibri" w:hAnsi="Arial" w:cs="Arial"/>
        </w:rPr>
        <w:t xml:space="preserve"> económico</w:t>
      </w:r>
      <w:r w:rsidR="000D6A95">
        <w:rPr>
          <w:rFonts w:ascii="Arial" w:eastAsia="Calibri" w:hAnsi="Arial" w:cs="Arial"/>
        </w:rPr>
        <w:t xml:space="preserve"> (</w:t>
      </w:r>
      <w:r>
        <w:rPr>
          <w:rFonts w:ascii="Arial" w:eastAsia="Calibri" w:hAnsi="Arial" w:cs="Arial"/>
        </w:rPr>
        <w:t>puesto que una casa tiene menor valor si está ocupada)</w:t>
      </w:r>
      <w:r w:rsidR="00D47919">
        <w:rPr>
          <w:rFonts w:ascii="Arial" w:eastAsia="Calibri" w:hAnsi="Arial" w:cs="Arial"/>
        </w:rPr>
        <w:t>, así como también permite su fácil</w:t>
      </w:r>
      <w:r>
        <w:rPr>
          <w:rFonts w:ascii="Arial" w:eastAsia="Calibri" w:hAnsi="Arial" w:cs="Arial"/>
        </w:rPr>
        <w:t xml:space="preserve"> transferencia y </w:t>
      </w:r>
      <w:r w:rsidR="000D6A95">
        <w:rPr>
          <w:rFonts w:ascii="Arial" w:eastAsia="Calibri" w:hAnsi="Arial" w:cs="Arial"/>
        </w:rPr>
        <w:t>gravamen (</w:t>
      </w:r>
      <w:r>
        <w:rPr>
          <w:rFonts w:ascii="Arial" w:eastAsia="Calibri" w:hAnsi="Arial" w:cs="Arial"/>
        </w:rPr>
        <w:t>su utilización como garantía para obtener créditos)</w:t>
      </w:r>
      <w:r>
        <w:rPr>
          <w:rStyle w:val="Refdenotaalpie"/>
          <w:rFonts w:ascii="Arial" w:eastAsia="Calibri" w:hAnsi="Arial" w:cs="Arial"/>
        </w:rPr>
        <w:footnoteReference w:id="12"/>
      </w:r>
      <w:r>
        <w:rPr>
          <w:rFonts w:ascii="Arial" w:eastAsia="Calibri" w:hAnsi="Arial" w:cs="Arial"/>
        </w:rPr>
        <w:t>.</w:t>
      </w:r>
    </w:p>
    <w:p w:rsidR="000D6A95" w:rsidRDefault="000D6A95" w:rsidP="00E333F0">
      <w:pPr>
        <w:jc w:val="both"/>
        <w:rPr>
          <w:rFonts w:ascii="Arial" w:eastAsia="Calibri" w:hAnsi="Arial" w:cs="Arial"/>
        </w:rPr>
      </w:pPr>
      <w:r>
        <w:rPr>
          <w:rFonts w:ascii="Arial" w:eastAsia="Calibri" w:hAnsi="Arial" w:cs="Arial"/>
        </w:rPr>
        <w:t>El mismo no es no es otra cosa  que lo que  la doctrina tradicional  ha denominado  el carácter “erga omnes</w:t>
      </w:r>
      <w:r w:rsidR="00C973C9">
        <w:rPr>
          <w:rFonts w:ascii="Arial" w:eastAsia="Calibri" w:hAnsi="Arial" w:cs="Arial"/>
        </w:rPr>
        <w:t>”,</w:t>
      </w:r>
      <w:r>
        <w:rPr>
          <w:rFonts w:ascii="Arial" w:eastAsia="Calibri" w:hAnsi="Arial" w:cs="Arial"/>
        </w:rPr>
        <w:t xml:space="preserve"> es </w:t>
      </w:r>
      <w:r w:rsidR="00C973C9">
        <w:rPr>
          <w:rFonts w:ascii="Arial" w:eastAsia="Calibri" w:hAnsi="Arial" w:cs="Arial"/>
        </w:rPr>
        <w:t>decir,</w:t>
      </w:r>
      <w:r>
        <w:rPr>
          <w:rFonts w:ascii="Arial" w:eastAsia="Calibri" w:hAnsi="Arial" w:cs="Arial"/>
        </w:rPr>
        <w:t xml:space="preserve"> la oponibilidad absoluta</w:t>
      </w:r>
      <w:r w:rsidR="00C973C9">
        <w:rPr>
          <w:rFonts w:ascii="Arial" w:eastAsia="Calibri" w:hAnsi="Arial" w:cs="Arial"/>
        </w:rPr>
        <w:t xml:space="preserve"> del derecho de propiedad. Es</w:t>
      </w:r>
      <w:r w:rsidR="00D47919">
        <w:rPr>
          <w:rFonts w:ascii="Arial" w:eastAsia="Calibri" w:hAnsi="Arial" w:cs="Arial"/>
        </w:rPr>
        <w:t>to</w:t>
      </w:r>
      <w:r>
        <w:rPr>
          <w:rFonts w:ascii="Arial" w:eastAsia="Calibri" w:hAnsi="Arial" w:cs="Arial"/>
        </w:rPr>
        <w:t xml:space="preserve"> </w:t>
      </w:r>
      <w:r w:rsidR="00D47919">
        <w:rPr>
          <w:rFonts w:ascii="Arial" w:eastAsia="Calibri" w:hAnsi="Arial" w:cs="Arial"/>
        </w:rPr>
        <w:t>último, en términos de Alfredo Bullard,</w:t>
      </w:r>
      <w:r w:rsidR="00C973C9">
        <w:rPr>
          <w:rFonts w:ascii="Arial" w:eastAsia="Calibri" w:hAnsi="Arial" w:cs="Arial"/>
        </w:rPr>
        <w:t xml:space="preserve"> </w:t>
      </w:r>
      <w:r>
        <w:rPr>
          <w:rFonts w:ascii="Arial" w:eastAsia="Calibri" w:hAnsi="Arial" w:cs="Arial"/>
        </w:rPr>
        <w:t xml:space="preserve"> convierte a la propiedad en el </w:t>
      </w:r>
      <w:r w:rsidR="00C973C9">
        <w:rPr>
          <w:rFonts w:ascii="Arial" w:eastAsia="Calibri" w:hAnsi="Arial" w:cs="Arial"/>
        </w:rPr>
        <w:t>vehículo</w:t>
      </w:r>
      <w:r>
        <w:rPr>
          <w:rFonts w:ascii="Arial" w:eastAsia="Calibri" w:hAnsi="Arial" w:cs="Arial"/>
        </w:rPr>
        <w:t xml:space="preserve"> idóneo para i</w:t>
      </w:r>
      <w:r w:rsidR="00D47919">
        <w:rPr>
          <w:rFonts w:ascii="Arial" w:eastAsia="Calibri" w:hAnsi="Arial" w:cs="Arial"/>
        </w:rPr>
        <w:t xml:space="preserve">nternalizar  las externalidades, es decir </w:t>
      </w:r>
      <w:r>
        <w:rPr>
          <w:rFonts w:ascii="Arial" w:eastAsia="Calibri" w:hAnsi="Arial" w:cs="Arial"/>
        </w:rPr>
        <w:t>los propietarios tienen en consideración los efectos que generan sus actos</w:t>
      </w:r>
      <w:r w:rsidR="00D47919">
        <w:rPr>
          <w:rFonts w:ascii="Arial" w:eastAsia="Calibri" w:hAnsi="Arial" w:cs="Arial"/>
        </w:rPr>
        <w:t>: contaminación al medio ambiente, mejoramiento o daño al panorama, pero sobre todo tener en cuenta el precio de excluir a los demás</w:t>
      </w:r>
      <w:r w:rsidR="00C973C9">
        <w:rPr>
          <w:rStyle w:val="Refdenotaalpie"/>
          <w:rFonts w:ascii="Arial" w:eastAsia="Calibri" w:hAnsi="Arial" w:cs="Arial"/>
        </w:rPr>
        <w:footnoteReference w:id="13"/>
      </w:r>
      <w:r w:rsidR="00C973C9">
        <w:rPr>
          <w:rFonts w:ascii="Arial" w:eastAsia="Calibri" w:hAnsi="Arial" w:cs="Arial"/>
        </w:rPr>
        <w:t>.</w:t>
      </w:r>
    </w:p>
    <w:p w:rsidR="00180A91" w:rsidRDefault="00180A91" w:rsidP="008D4434">
      <w:pPr>
        <w:jc w:val="both"/>
        <w:rPr>
          <w:rFonts w:ascii="Arial" w:eastAsia="Calibri" w:hAnsi="Arial" w:cs="Arial"/>
        </w:rPr>
      </w:pPr>
    </w:p>
    <w:p w:rsidR="00D9598B" w:rsidRPr="00180A91" w:rsidRDefault="008D4434" w:rsidP="008D4434">
      <w:pPr>
        <w:jc w:val="both"/>
        <w:rPr>
          <w:rFonts w:ascii="Arial" w:eastAsia="Calibri" w:hAnsi="Arial" w:cs="Arial"/>
          <w:u w:val="single"/>
        </w:rPr>
      </w:pPr>
      <w:r w:rsidRPr="00180A91">
        <w:rPr>
          <w:rFonts w:ascii="Arial" w:eastAsia="Calibri" w:hAnsi="Arial" w:cs="Arial"/>
          <w:u w:val="single"/>
        </w:rPr>
        <w:t>1.2.3) Derecho</w:t>
      </w:r>
      <w:r w:rsidR="004C1EE7" w:rsidRPr="00180A91">
        <w:rPr>
          <w:rFonts w:ascii="Arial" w:eastAsia="Calibri" w:hAnsi="Arial" w:cs="Arial"/>
          <w:u w:val="single"/>
        </w:rPr>
        <w:t xml:space="preserve"> Tendencialmente Perpetuo:</w:t>
      </w:r>
      <w:r w:rsidR="00FA4822" w:rsidRPr="00180A91">
        <w:rPr>
          <w:rFonts w:ascii="Arial" w:eastAsia="Calibri" w:hAnsi="Arial" w:cs="Arial"/>
          <w:u w:val="single"/>
        </w:rPr>
        <w:t xml:space="preserve"> </w:t>
      </w:r>
    </w:p>
    <w:p w:rsidR="004C1EE7" w:rsidRDefault="00FA4822" w:rsidP="00D9598B">
      <w:pPr>
        <w:jc w:val="both"/>
        <w:rPr>
          <w:rFonts w:ascii="Arial" w:eastAsia="Calibri" w:hAnsi="Arial" w:cs="Arial"/>
        </w:rPr>
      </w:pPr>
      <w:r w:rsidRPr="00D9598B">
        <w:rPr>
          <w:rFonts w:ascii="Arial" w:eastAsia="Calibri" w:hAnsi="Arial" w:cs="Arial"/>
        </w:rPr>
        <w:t xml:space="preserve">En la doctrina clásica la propiedad no se extingue, pues se mantiene durante la vida del titular y aun después de su muerte, en sus herederos. Sin embargo se admite ciertos límites como para admitir que no son del todo </w:t>
      </w:r>
      <w:r w:rsidR="00B85D52" w:rsidRPr="00D9598B">
        <w:rPr>
          <w:rFonts w:ascii="Arial" w:eastAsia="Calibri" w:hAnsi="Arial" w:cs="Arial"/>
        </w:rPr>
        <w:t xml:space="preserve">perpetuos, ya que </w:t>
      </w:r>
      <w:r w:rsidRPr="00D9598B">
        <w:rPr>
          <w:rFonts w:ascii="Arial" w:eastAsia="Calibri" w:hAnsi="Arial" w:cs="Arial"/>
        </w:rPr>
        <w:t>el dominio dura  tanto como</w:t>
      </w:r>
      <w:r w:rsidR="00B85D52" w:rsidRPr="00D9598B">
        <w:rPr>
          <w:rFonts w:ascii="Arial" w:eastAsia="Calibri" w:hAnsi="Arial" w:cs="Arial"/>
        </w:rPr>
        <w:t xml:space="preserve"> su objeto, es decir condiciona </w:t>
      </w:r>
      <w:r w:rsidRPr="00D9598B">
        <w:rPr>
          <w:rFonts w:ascii="Arial" w:eastAsia="Calibri" w:hAnsi="Arial" w:cs="Arial"/>
        </w:rPr>
        <w:t xml:space="preserve"> la duración del derecho</w:t>
      </w:r>
      <w:r w:rsidR="00B85D52">
        <w:rPr>
          <w:rStyle w:val="Refdenotaalpie"/>
          <w:rFonts w:ascii="Arial" w:eastAsia="Calibri" w:hAnsi="Arial" w:cs="Arial"/>
        </w:rPr>
        <w:footnoteReference w:id="14"/>
      </w:r>
      <w:r w:rsidRPr="00D9598B">
        <w:rPr>
          <w:rFonts w:ascii="Arial" w:eastAsia="Calibri" w:hAnsi="Arial" w:cs="Arial"/>
        </w:rPr>
        <w:t>.</w:t>
      </w:r>
    </w:p>
    <w:p w:rsidR="008D4434" w:rsidRPr="00D9598B" w:rsidRDefault="008D4434" w:rsidP="00D9598B">
      <w:pPr>
        <w:jc w:val="both"/>
        <w:rPr>
          <w:rFonts w:ascii="Arial" w:eastAsia="Calibri" w:hAnsi="Arial" w:cs="Arial"/>
        </w:rPr>
      </w:pPr>
    </w:p>
    <w:p w:rsidR="004C1EE7" w:rsidRPr="00180A91" w:rsidRDefault="008D4434" w:rsidP="00E333F0">
      <w:pPr>
        <w:jc w:val="both"/>
        <w:rPr>
          <w:rFonts w:ascii="Arial" w:hAnsi="Arial" w:cs="Arial"/>
          <w:u w:val="single"/>
        </w:rPr>
      </w:pPr>
      <w:r w:rsidRPr="00180A91">
        <w:rPr>
          <w:rFonts w:ascii="Arial" w:hAnsi="Arial" w:cs="Arial"/>
          <w:u w:val="single"/>
        </w:rPr>
        <w:t>1.3</w:t>
      </w:r>
      <w:r w:rsidR="00E6620E" w:rsidRPr="00180A91">
        <w:rPr>
          <w:rFonts w:ascii="Arial" w:hAnsi="Arial" w:cs="Arial"/>
          <w:u w:val="single"/>
        </w:rPr>
        <w:t>) Transferencia del derecho de propiedad:</w:t>
      </w:r>
    </w:p>
    <w:p w:rsidR="00E63AB9" w:rsidRDefault="00E63AB9" w:rsidP="00E333F0">
      <w:pPr>
        <w:jc w:val="both"/>
        <w:rPr>
          <w:rFonts w:ascii="Arial" w:hAnsi="Arial" w:cs="Arial"/>
        </w:rPr>
      </w:pPr>
      <w:r>
        <w:rPr>
          <w:rFonts w:ascii="Arial" w:hAnsi="Arial" w:cs="Arial"/>
        </w:rPr>
        <w:t>El primer código civil (1852) que tuvo considerable vigencia  en nuestro país, adoptó un solo sistema de transferencia no diferenciado  para los bienes corporales, sea estos muebles o inmuebles; siendo este basado el mero consentimiento de las partes</w:t>
      </w:r>
      <w:r>
        <w:rPr>
          <w:rStyle w:val="Refdenotaalpie"/>
          <w:rFonts w:ascii="Arial" w:hAnsi="Arial" w:cs="Arial"/>
        </w:rPr>
        <w:footnoteReference w:id="15"/>
      </w:r>
      <w:r>
        <w:rPr>
          <w:rFonts w:ascii="Arial" w:hAnsi="Arial" w:cs="Arial"/>
        </w:rPr>
        <w:t>. Para el siguiente código de 1936, se sigue manteniendo este sistema, pero previamente ya había entrado la posibilidad del sistema constitutivo registral como alternativa (Alfredo Solf)</w:t>
      </w:r>
      <w:r w:rsidR="00E333F0">
        <w:rPr>
          <w:rFonts w:ascii="Arial" w:hAnsi="Arial" w:cs="Arial"/>
        </w:rPr>
        <w:t>, es decir hacer obligatorio su inscripción en el registro público</w:t>
      </w:r>
      <w:r w:rsidR="00E333F0">
        <w:rPr>
          <w:rStyle w:val="Refdenotaalpie"/>
          <w:rFonts w:ascii="Arial" w:hAnsi="Arial" w:cs="Arial"/>
        </w:rPr>
        <w:footnoteReference w:id="16"/>
      </w:r>
      <w:r w:rsidR="00E333F0">
        <w:rPr>
          <w:rFonts w:ascii="Arial" w:hAnsi="Arial" w:cs="Arial"/>
        </w:rPr>
        <w:t>. Y Finalmente, el ultimo código de 1984, siguió la misma línea, pero generando mecanismo que den prioridad al registro público, tal y como se venía desarrollando en la legislación francesa, puesto que de ahí parte nuestro derecho</w:t>
      </w:r>
      <w:r w:rsidR="00E333F0">
        <w:rPr>
          <w:rStyle w:val="Refdenotaalpie"/>
          <w:rFonts w:ascii="Arial" w:hAnsi="Arial" w:cs="Arial"/>
        </w:rPr>
        <w:footnoteReference w:id="17"/>
      </w:r>
      <w:r w:rsidR="00E333F0">
        <w:rPr>
          <w:rFonts w:ascii="Arial" w:hAnsi="Arial" w:cs="Arial"/>
        </w:rPr>
        <w:t xml:space="preserve">.  </w:t>
      </w:r>
      <w:r>
        <w:rPr>
          <w:rFonts w:ascii="Arial" w:hAnsi="Arial" w:cs="Arial"/>
        </w:rPr>
        <w:t xml:space="preserve">    </w:t>
      </w:r>
    </w:p>
    <w:p w:rsidR="00C3709A" w:rsidRDefault="00C3709A" w:rsidP="00E333F0">
      <w:pPr>
        <w:jc w:val="both"/>
        <w:rPr>
          <w:rFonts w:ascii="Arial" w:hAnsi="Arial" w:cs="Arial"/>
        </w:rPr>
      </w:pPr>
      <w:r>
        <w:rPr>
          <w:rFonts w:ascii="Arial" w:hAnsi="Arial" w:cs="Arial"/>
        </w:rPr>
        <w:t>Como se mencionó en la parte inicial</w:t>
      </w:r>
      <w:r w:rsidR="00E6620E">
        <w:rPr>
          <w:rFonts w:ascii="Arial" w:hAnsi="Arial" w:cs="Arial"/>
        </w:rPr>
        <w:t xml:space="preserve">, el código </w:t>
      </w:r>
      <w:r w:rsidR="007921BB">
        <w:rPr>
          <w:rFonts w:ascii="Arial" w:hAnsi="Arial" w:cs="Arial"/>
        </w:rPr>
        <w:t>otorga atribuciones al</w:t>
      </w:r>
      <w:r w:rsidR="00E6620E">
        <w:rPr>
          <w:rFonts w:ascii="Arial" w:hAnsi="Arial" w:cs="Arial"/>
        </w:rPr>
        <w:t xml:space="preserve"> propietario</w:t>
      </w:r>
      <w:r w:rsidR="007921BB">
        <w:rPr>
          <w:rFonts w:ascii="Arial" w:hAnsi="Arial" w:cs="Arial"/>
        </w:rPr>
        <w:t xml:space="preserve">, una de ella es la disposición del </w:t>
      </w:r>
      <w:r w:rsidR="00E6620E">
        <w:rPr>
          <w:rFonts w:ascii="Arial" w:hAnsi="Arial" w:cs="Arial"/>
        </w:rPr>
        <w:t>b</w:t>
      </w:r>
      <w:r>
        <w:rPr>
          <w:rFonts w:ascii="Arial" w:hAnsi="Arial" w:cs="Arial"/>
        </w:rPr>
        <w:t>ien. Antes de describir la transferencia hay que precisar que estos se</w:t>
      </w:r>
      <w:r w:rsidR="007921BB">
        <w:rPr>
          <w:rFonts w:ascii="Arial" w:hAnsi="Arial" w:cs="Arial"/>
        </w:rPr>
        <w:t xml:space="preserve"> clasifican en muebles (vehículos terrestres, fuerzas naturales susceptibles de apropiación, los títulos de valores, marcas, etc.)</w:t>
      </w:r>
      <w:r w:rsidR="009B63F5">
        <w:rPr>
          <w:rStyle w:val="Refdenotaalpie"/>
          <w:rFonts w:ascii="Arial" w:hAnsi="Arial" w:cs="Arial"/>
        </w:rPr>
        <w:footnoteReference w:id="18"/>
      </w:r>
      <w:r w:rsidR="007921BB">
        <w:rPr>
          <w:rFonts w:ascii="Arial" w:hAnsi="Arial" w:cs="Arial"/>
        </w:rPr>
        <w:t xml:space="preserve"> e inmuebles(el suelo, el subsuelo, el sobresuelo, el mar , los lagos , los ríos, los manantiales , las corrientes de agua , las minas , canteras, depósitos de hidrocarburos, naves , aeronaves, los derechos sobre inmuebles inscribibles </w:t>
      </w:r>
      <w:r w:rsidR="009B63F5">
        <w:rPr>
          <w:rFonts w:ascii="Arial" w:hAnsi="Arial" w:cs="Arial"/>
        </w:rPr>
        <w:t>en el registro, etc.)</w:t>
      </w:r>
      <w:r w:rsidR="009B63F5">
        <w:rPr>
          <w:rStyle w:val="Refdenotaalpie"/>
          <w:rFonts w:ascii="Arial" w:hAnsi="Arial" w:cs="Arial"/>
        </w:rPr>
        <w:footnoteReference w:id="19"/>
      </w:r>
      <w:r w:rsidR="009B63F5">
        <w:rPr>
          <w:rFonts w:ascii="Arial" w:hAnsi="Arial" w:cs="Arial"/>
        </w:rPr>
        <w:t>.</w:t>
      </w:r>
      <w:r>
        <w:rPr>
          <w:rFonts w:ascii="Arial" w:hAnsi="Arial" w:cs="Arial"/>
        </w:rPr>
        <w:t xml:space="preserve">Estos últimos son de gran importancia, puesto que siempre es necesario </w:t>
      </w:r>
      <w:r w:rsidR="00B70B9C">
        <w:rPr>
          <w:rFonts w:ascii="Arial" w:hAnsi="Arial" w:cs="Arial"/>
        </w:rPr>
        <w:t>un espacio geográfico para el desempeño de toda actividad humana (Por ejemplo, la vivienda, la producción industrial, la agricultura, la educación, la recreación, etc.)</w:t>
      </w:r>
      <w:r w:rsidR="00B70B9C">
        <w:rPr>
          <w:rStyle w:val="Refdenotaalpie"/>
          <w:rFonts w:ascii="Arial" w:hAnsi="Arial" w:cs="Arial"/>
        </w:rPr>
        <w:footnoteReference w:id="20"/>
      </w:r>
      <w:r w:rsidR="004A4B2D">
        <w:rPr>
          <w:rFonts w:ascii="Arial" w:hAnsi="Arial" w:cs="Arial"/>
        </w:rPr>
        <w:t xml:space="preserve"> </w:t>
      </w:r>
      <w:r w:rsidR="00B70B9C">
        <w:rPr>
          <w:rFonts w:ascii="Arial" w:hAnsi="Arial" w:cs="Arial"/>
        </w:rPr>
        <w:t xml:space="preserve">. </w:t>
      </w:r>
    </w:p>
    <w:p w:rsidR="00A23663" w:rsidRDefault="00C3709A" w:rsidP="00E333F0">
      <w:pPr>
        <w:jc w:val="both"/>
        <w:rPr>
          <w:rFonts w:ascii="Arial" w:hAnsi="Arial" w:cs="Arial"/>
        </w:rPr>
      </w:pPr>
      <w:r>
        <w:rPr>
          <w:rFonts w:ascii="Arial" w:hAnsi="Arial" w:cs="Arial"/>
        </w:rPr>
        <w:t xml:space="preserve"> L</w:t>
      </w:r>
      <w:r w:rsidR="00B70B9C">
        <w:rPr>
          <w:rFonts w:ascii="Arial" w:hAnsi="Arial" w:cs="Arial"/>
        </w:rPr>
        <w:t>a transferencia de estos tipos de bi</w:t>
      </w:r>
      <w:r>
        <w:rPr>
          <w:rFonts w:ascii="Arial" w:hAnsi="Arial" w:cs="Arial"/>
        </w:rPr>
        <w:t xml:space="preserve">enes </w:t>
      </w:r>
      <w:r w:rsidR="00A23663">
        <w:rPr>
          <w:rFonts w:ascii="Arial" w:hAnsi="Arial" w:cs="Arial"/>
        </w:rPr>
        <w:t xml:space="preserve">a terceros </w:t>
      </w:r>
      <w:r>
        <w:rPr>
          <w:rFonts w:ascii="Arial" w:hAnsi="Arial" w:cs="Arial"/>
        </w:rPr>
        <w:t xml:space="preserve">se da </w:t>
      </w:r>
      <w:r w:rsidR="00A23663">
        <w:rPr>
          <w:rFonts w:ascii="Arial" w:hAnsi="Arial" w:cs="Arial"/>
        </w:rPr>
        <w:t>mediante  un acuerdo (una obligación) entre el propietario vendedor y el comprador</w:t>
      </w:r>
      <w:r w:rsidR="00A23663">
        <w:rPr>
          <w:rStyle w:val="Refdenotaalpie"/>
          <w:rFonts w:ascii="Arial" w:hAnsi="Arial" w:cs="Arial"/>
        </w:rPr>
        <w:footnoteReference w:id="21"/>
      </w:r>
      <w:r w:rsidR="00A23663">
        <w:rPr>
          <w:rFonts w:ascii="Arial" w:hAnsi="Arial" w:cs="Arial"/>
        </w:rPr>
        <w:t>.</w:t>
      </w:r>
      <w:r>
        <w:rPr>
          <w:rFonts w:ascii="Arial" w:hAnsi="Arial" w:cs="Arial"/>
        </w:rPr>
        <w:t xml:space="preserve"> Es decir, mediante un contrato de compra-venta. En realidad existen otras precisiones más, las cuales explicaré en el siguiente </w:t>
      </w:r>
      <w:r w:rsidR="00C2768F">
        <w:rPr>
          <w:rFonts w:ascii="Arial" w:hAnsi="Arial" w:cs="Arial"/>
        </w:rPr>
        <w:t>apartado,</w:t>
      </w:r>
      <w:r>
        <w:rPr>
          <w:rFonts w:ascii="Arial" w:hAnsi="Arial" w:cs="Arial"/>
        </w:rPr>
        <w:t xml:space="preserve"> puesto que ella misma generan inseguridad a esta institución.  </w:t>
      </w:r>
    </w:p>
    <w:p w:rsidR="00180A91" w:rsidRDefault="00180A91" w:rsidP="00E333F0">
      <w:pPr>
        <w:jc w:val="both"/>
        <w:rPr>
          <w:rFonts w:ascii="Arial" w:hAnsi="Arial" w:cs="Arial"/>
        </w:rPr>
      </w:pPr>
    </w:p>
    <w:p w:rsidR="00E50D86" w:rsidRPr="00180A91" w:rsidRDefault="00A23663" w:rsidP="00E333F0">
      <w:pPr>
        <w:jc w:val="both"/>
        <w:rPr>
          <w:rFonts w:ascii="Arial" w:hAnsi="Arial" w:cs="Arial"/>
          <w:u w:val="single"/>
        </w:rPr>
      </w:pPr>
      <w:r w:rsidRPr="00180A91">
        <w:rPr>
          <w:rFonts w:ascii="Arial" w:hAnsi="Arial" w:cs="Arial"/>
          <w:u w:val="single"/>
        </w:rPr>
        <w:t>1.3</w:t>
      </w:r>
      <w:r w:rsidR="008D4434" w:rsidRPr="00180A91">
        <w:rPr>
          <w:rFonts w:ascii="Arial" w:hAnsi="Arial" w:cs="Arial"/>
          <w:u w:val="single"/>
        </w:rPr>
        <w:t>.1</w:t>
      </w:r>
      <w:r w:rsidRPr="00180A91">
        <w:rPr>
          <w:rFonts w:ascii="Arial" w:hAnsi="Arial" w:cs="Arial"/>
          <w:u w:val="single"/>
        </w:rPr>
        <w:t>) Inseguridades en la Transferencia del derecho de Propiedad:</w:t>
      </w:r>
    </w:p>
    <w:p w:rsidR="00BD6610" w:rsidRDefault="00BD6610" w:rsidP="00E333F0">
      <w:pPr>
        <w:jc w:val="both"/>
        <w:rPr>
          <w:rFonts w:ascii="Arial" w:hAnsi="Arial" w:cs="Arial"/>
        </w:rPr>
      </w:pPr>
      <w:r>
        <w:rPr>
          <w:rFonts w:ascii="Arial" w:hAnsi="Arial" w:cs="Arial"/>
        </w:rPr>
        <w:t>Tradicionalmente se nos ha dicho que uno de los principios básicos que inspira y organiza  un sistema de transferencia de propiedad es el de “</w:t>
      </w:r>
      <w:r w:rsidR="002E5218">
        <w:rPr>
          <w:rFonts w:ascii="Arial" w:hAnsi="Arial" w:cs="Arial"/>
        </w:rPr>
        <w:t xml:space="preserve">la </w:t>
      </w:r>
      <w:r>
        <w:rPr>
          <w:rFonts w:ascii="Arial" w:hAnsi="Arial" w:cs="Arial"/>
        </w:rPr>
        <w:t>seguridad jurídica”. Según este principio la transmisión de la propiedad debe estar dotada de una serie de garantías que permitan al adquiriente  sentirse seguro de la operación de  compra de un derecho, favoreciendo así el tráfico y la circulación  económica de los bienes</w:t>
      </w:r>
      <w:r>
        <w:rPr>
          <w:rStyle w:val="Refdenotaalpie"/>
          <w:rFonts w:ascii="Arial" w:hAnsi="Arial" w:cs="Arial"/>
        </w:rPr>
        <w:footnoteReference w:id="22"/>
      </w:r>
      <w:r>
        <w:rPr>
          <w:rFonts w:ascii="Arial" w:hAnsi="Arial" w:cs="Arial"/>
        </w:rPr>
        <w:t xml:space="preserve">. </w:t>
      </w:r>
      <w:r w:rsidR="00C2768F">
        <w:rPr>
          <w:rFonts w:ascii="Arial" w:hAnsi="Arial" w:cs="Arial"/>
        </w:rPr>
        <w:t xml:space="preserve"> Hay que resaltar que este principio tiene dos modalidades, la primera que garantiza un propiedad(estática) frente a otras , de alguien que quiere oponer su adquisición a todo </w:t>
      </w:r>
      <w:r w:rsidR="00C2768F">
        <w:rPr>
          <w:rFonts w:ascii="Arial" w:hAnsi="Arial" w:cs="Arial"/>
        </w:rPr>
        <w:lastRenderedPageBreak/>
        <w:t>el mundo , para que de esa manera , su propiedad se torne  los más valiosa imaginable</w:t>
      </w:r>
      <w:r w:rsidR="00C2768F">
        <w:rPr>
          <w:rStyle w:val="Refdenotaalpie"/>
          <w:rFonts w:ascii="Arial" w:hAnsi="Arial" w:cs="Arial"/>
        </w:rPr>
        <w:footnoteReference w:id="23"/>
      </w:r>
      <w:r w:rsidR="00C2768F">
        <w:rPr>
          <w:rFonts w:ascii="Arial" w:hAnsi="Arial" w:cs="Arial"/>
        </w:rPr>
        <w:t>. La segunda hace referencia a la</w:t>
      </w:r>
      <w:r w:rsidR="00C51FD8">
        <w:rPr>
          <w:rFonts w:ascii="Arial" w:hAnsi="Arial" w:cs="Arial"/>
        </w:rPr>
        <w:t xml:space="preserve"> circulación de riqueza en el tráfico inmobiliario con la</w:t>
      </w:r>
      <w:r w:rsidR="00C2768F">
        <w:rPr>
          <w:rFonts w:ascii="Arial" w:hAnsi="Arial" w:cs="Arial"/>
        </w:rPr>
        <w:t xml:space="preserve"> protección jurídica del tercero de bue</w:t>
      </w:r>
      <w:r w:rsidR="00C51FD8">
        <w:rPr>
          <w:rFonts w:ascii="Arial" w:hAnsi="Arial" w:cs="Arial"/>
        </w:rPr>
        <w:t>na fe</w:t>
      </w:r>
      <w:r w:rsidR="00C51FD8">
        <w:rPr>
          <w:rStyle w:val="Refdenotaalpie"/>
          <w:rFonts w:ascii="Arial" w:hAnsi="Arial" w:cs="Arial"/>
        </w:rPr>
        <w:footnoteReference w:id="24"/>
      </w:r>
      <w:r w:rsidR="00C51FD8">
        <w:rPr>
          <w:rFonts w:ascii="Arial" w:hAnsi="Arial" w:cs="Arial"/>
        </w:rPr>
        <w:t xml:space="preserve">. Este último es el que ha cogido nuestro sistema (consensual) que a pesar de sus ventajas genera los siguientes peligros: </w:t>
      </w:r>
    </w:p>
    <w:p w:rsidR="009B63F5" w:rsidRDefault="00E50D86" w:rsidP="00E333F0">
      <w:pPr>
        <w:jc w:val="both"/>
        <w:rPr>
          <w:rFonts w:ascii="Arial" w:hAnsi="Arial" w:cs="Arial"/>
        </w:rPr>
      </w:pPr>
      <w:r>
        <w:rPr>
          <w:rFonts w:ascii="Arial" w:hAnsi="Arial" w:cs="Arial"/>
        </w:rPr>
        <w:t>Al ser el acuerdo  lo único que valida la transferencia, ello genera que no sea del todo seguro, ya que lo adquirido podría venir de un no propietario, un simple poseedor, un tenedor, un poseedor precario, un servidor de la posesión, un estafador o un aparente poseedor</w:t>
      </w:r>
      <w:r>
        <w:rPr>
          <w:rStyle w:val="Refdenotaalpie"/>
          <w:rFonts w:ascii="Arial" w:hAnsi="Arial" w:cs="Arial"/>
        </w:rPr>
        <w:footnoteReference w:id="25"/>
      </w:r>
      <w:r>
        <w:rPr>
          <w:rFonts w:ascii="Arial" w:hAnsi="Arial" w:cs="Arial"/>
        </w:rPr>
        <w:t>.</w:t>
      </w:r>
      <w:r w:rsidR="00A23663">
        <w:rPr>
          <w:rFonts w:ascii="Arial" w:hAnsi="Arial" w:cs="Arial"/>
        </w:rPr>
        <w:t xml:space="preserve"> </w:t>
      </w:r>
      <w:r w:rsidR="009B63F5">
        <w:rPr>
          <w:rFonts w:ascii="Arial" w:hAnsi="Arial" w:cs="Arial"/>
        </w:rPr>
        <w:t xml:space="preserve"> </w:t>
      </w:r>
    </w:p>
    <w:p w:rsidR="002B6C4B" w:rsidRDefault="002B6C4B" w:rsidP="00E333F0">
      <w:pPr>
        <w:jc w:val="both"/>
        <w:rPr>
          <w:rFonts w:ascii="Arial" w:hAnsi="Arial" w:cs="Arial"/>
        </w:rPr>
      </w:pPr>
      <w:r>
        <w:rPr>
          <w:rFonts w:ascii="Arial" w:hAnsi="Arial" w:cs="Arial"/>
        </w:rPr>
        <w:t>No hay ningún mecanismo de publicidad, por lo que los terceros no tienen cómo saber  que se ha transferido el bien. En estas condiciones, el derecho de propiedad que se adquiere por el simple consentimiento no se puede oponer a todos. El sistema de transferencia  de inmueble del Código Civil crea pues propiedad</w:t>
      </w:r>
      <w:r w:rsidR="007E6A4D">
        <w:rPr>
          <w:rFonts w:ascii="Arial" w:hAnsi="Arial" w:cs="Arial"/>
        </w:rPr>
        <w:t>es</w:t>
      </w:r>
      <w:r>
        <w:rPr>
          <w:rFonts w:ascii="Arial" w:hAnsi="Arial" w:cs="Arial"/>
        </w:rPr>
        <w:t xml:space="preserve"> “relativas”</w:t>
      </w:r>
      <w:r>
        <w:rPr>
          <w:rStyle w:val="Refdenotaalpie"/>
          <w:rFonts w:ascii="Arial" w:hAnsi="Arial" w:cs="Arial"/>
        </w:rPr>
        <w:footnoteReference w:id="26"/>
      </w:r>
      <w:r>
        <w:rPr>
          <w:rFonts w:ascii="Arial" w:hAnsi="Arial" w:cs="Arial"/>
        </w:rPr>
        <w:t>.</w:t>
      </w:r>
    </w:p>
    <w:p w:rsidR="00454A95" w:rsidRDefault="00454A95" w:rsidP="00454A95">
      <w:pPr>
        <w:jc w:val="both"/>
        <w:rPr>
          <w:rFonts w:ascii="Arial" w:hAnsi="Arial" w:cs="Arial"/>
        </w:rPr>
      </w:pPr>
      <w:r>
        <w:rPr>
          <w:rFonts w:ascii="Arial" w:hAnsi="Arial" w:cs="Arial"/>
        </w:rPr>
        <w:t>Lo anterior explica la existencia de la  circulación de bienes inmuebles sin registro a un precio que se encuentra  por debajo del valor real del derecho que se adquiere</w:t>
      </w:r>
      <w:r>
        <w:rPr>
          <w:rStyle w:val="Refdenotaalpie"/>
          <w:rFonts w:ascii="Arial" w:hAnsi="Arial" w:cs="Arial"/>
        </w:rPr>
        <w:footnoteReference w:id="27"/>
      </w:r>
      <w:r>
        <w:rPr>
          <w:rFonts w:ascii="Arial" w:hAnsi="Arial" w:cs="Arial"/>
        </w:rPr>
        <w:t xml:space="preserve">. </w:t>
      </w:r>
      <w:r w:rsidR="00815500">
        <w:rPr>
          <w:rFonts w:ascii="Arial" w:hAnsi="Arial" w:cs="Arial"/>
        </w:rPr>
        <w:t xml:space="preserve">Así como la enorme </w:t>
      </w:r>
      <w:r>
        <w:rPr>
          <w:rFonts w:ascii="Arial" w:hAnsi="Arial" w:cs="Arial"/>
        </w:rPr>
        <w:t xml:space="preserve"> cantidad de bienes inmuebles  no registrados que existe en el Perú</w:t>
      </w:r>
      <w:r>
        <w:rPr>
          <w:rStyle w:val="Refdenotaalpie"/>
          <w:rFonts w:ascii="Arial" w:hAnsi="Arial" w:cs="Arial"/>
        </w:rPr>
        <w:footnoteReference w:id="28"/>
      </w:r>
      <w:r>
        <w:rPr>
          <w:rFonts w:ascii="Arial" w:hAnsi="Arial" w:cs="Arial"/>
        </w:rPr>
        <w:t xml:space="preserve">. </w:t>
      </w:r>
    </w:p>
    <w:p w:rsidR="00E50D86" w:rsidRDefault="00454A95" w:rsidP="00E333F0">
      <w:pPr>
        <w:jc w:val="both"/>
        <w:rPr>
          <w:rFonts w:ascii="Arial" w:hAnsi="Arial" w:cs="Arial"/>
        </w:rPr>
      </w:pPr>
      <w:r>
        <w:rPr>
          <w:rFonts w:ascii="Arial" w:hAnsi="Arial" w:cs="Arial"/>
        </w:rPr>
        <w:t xml:space="preserve">Ante el problema anteriormente citado, </w:t>
      </w:r>
      <w:r w:rsidR="007E6A4D">
        <w:rPr>
          <w:rFonts w:ascii="Arial" w:hAnsi="Arial" w:cs="Arial"/>
        </w:rPr>
        <w:t>se</w:t>
      </w:r>
      <w:r w:rsidR="00CA5E9C">
        <w:rPr>
          <w:rFonts w:ascii="Arial" w:hAnsi="Arial" w:cs="Arial"/>
        </w:rPr>
        <w:t xml:space="preserve"> buscan</w:t>
      </w:r>
      <w:r>
        <w:rPr>
          <w:rFonts w:ascii="Arial" w:hAnsi="Arial" w:cs="Arial"/>
        </w:rPr>
        <w:t xml:space="preserve"> una solución </w:t>
      </w:r>
      <w:r w:rsidR="007E6A4D">
        <w:rPr>
          <w:rFonts w:ascii="Arial" w:hAnsi="Arial" w:cs="Arial"/>
        </w:rPr>
        <w:t xml:space="preserve"> dando prioridad al título de buena fe que haya sido inscrito primero, en  el caso de haber</w:t>
      </w:r>
      <w:r w:rsidR="00CA5E9C">
        <w:rPr>
          <w:rFonts w:ascii="Arial" w:hAnsi="Arial" w:cs="Arial"/>
        </w:rPr>
        <w:t xml:space="preserve"> muchos acreedores a quienes el propietario se e</w:t>
      </w:r>
      <w:r w:rsidR="007E6A4D">
        <w:rPr>
          <w:rFonts w:ascii="Arial" w:hAnsi="Arial" w:cs="Arial"/>
        </w:rPr>
        <w:t>ncuentra obligado a entregarlo</w:t>
      </w:r>
      <w:r w:rsidR="00CA5E9C">
        <w:rPr>
          <w:rFonts w:ascii="Arial" w:hAnsi="Arial" w:cs="Arial"/>
        </w:rPr>
        <w:t>. Y de no haber inscripción, se prefiere al que posee titulo más antiguo</w:t>
      </w:r>
      <w:r w:rsidR="00CA5E9C">
        <w:rPr>
          <w:rStyle w:val="Refdenotaalpie"/>
          <w:rFonts w:ascii="Arial" w:hAnsi="Arial" w:cs="Arial"/>
        </w:rPr>
        <w:footnoteReference w:id="29"/>
      </w:r>
      <w:r w:rsidR="00CA5E9C">
        <w:rPr>
          <w:rFonts w:ascii="Arial" w:hAnsi="Arial" w:cs="Arial"/>
        </w:rPr>
        <w:t xml:space="preserve">. </w:t>
      </w:r>
      <w:r w:rsidR="004A4B2D">
        <w:rPr>
          <w:rFonts w:ascii="Arial" w:hAnsi="Arial" w:cs="Arial"/>
        </w:rPr>
        <w:t xml:space="preserve"> </w:t>
      </w:r>
    </w:p>
    <w:p w:rsidR="00E97810" w:rsidRPr="00E97810" w:rsidRDefault="00E97810" w:rsidP="00E333F0">
      <w:pPr>
        <w:jc w:val="both"/>
        <w:rPr>
          <w:rFonts w:ascii="Arial" w:hAnsi="Arial" w:cs="Arial"/>
        </w:rPr>
      </w:pPr>
      <w:r w:rsidRPr="00E97810">
        <w:rPr>
          <w:rFonts w:ascii="Arial" w:hAnsi="Arial" w:cs="Arial"/>
        </w:rPr>
        <w:t xml:space="preserve">Es decir, con  el solo acuerdo  de voluntades    se constituirán  tantos derechos de propiedad  como  ventas haga el vendedor. Así, se constituye derechos reales  que se van oponiendo uno a otros. El cuarto comprador  podrá oponer su derecho de propiedad  a los posteriores compradores, el tercero al cuarto y a los que lo siguen, y así sucesivamente hasta llegar al primer comprador, el cual podrá oponer su derecho a todos los posteriores  compradores, pero con una condición, que ninguno de ellos haya inscrito su </w:t>
      </w:r>
      <w:r w:rsidR="00815500" w:rsidRPr="00E97810">
        <w:rPr>
          <w:rFonts w:ascii="Arial" w:hAnsi="Arial" w:cs="Arial"/>
        </w:rPr>
        <w:t>derecho</w:t>
      </w:r>
      <w:r>
        <w:rPr>
          <w:rStyle w:val="Refdenotaalpie"/>
          <w:rFonts w:ascii="Arial" w:hAnsi="Arial" w:cs="Arial"/>
        </w:rPr>
        <w:footnoteReference w:id="30"/>
      </w:r>
      <w:r w:rsidRPr="00E97810">
        <w:rPr>
          <w:rFonts w:ascii="Arial" w:hAnsi="Arial" w:cs="Arial"/>
        </w:rPr>
        <w:t>.</w:t>
      </w:r>
    </w:p>
    <w:p w:rsidR="007E6A4D" w:rsidRDefault="007E6A4D" w:rsidP="00E333F0">
      <w:pPr>
        <w:jc w:val="both"/>
        <w:rPr>
          <w:rFonts w:ascii="Arial" w:hAnsi="Arial" w:cs="Arial"/>
        </w:rPr>
      </w:pPr>
      <w:r>
        <w:rPr>
          <w:rFonts w:ascii="Arial" w:hAnsi="Arial" w:cs="Arial"/>
        </w:rPr>
        <w:t>Entonces habría que aclarar que nada significa el simple contrato para los fines de exclusión absoluta, sino que se hace necesaria su inscripción en los Registros Públicos</w:t>
      </w:r>
      <w:r>
        <w:rPr>
          <w:rStyle w:val="Refdenotaalpie"/>
          <w:rFonts w:ascii="Arial" w:hAnsi="Arial" w:cs="Arial"/>
        </w:rPr>
        <w:footnoteReference w:id="31"/>
      </w:r>
      <w:r>
        <w:rPr>
          <w:rFonts w:ascii="Arial" w:hAnsi="Arial" w:cs="Arial"/>
        </w:rPr>
        <w:t xml:space="preserve">. </w:t>
      </w:r>
    </w:p>
    <w:p w:rsidR="00BA7E94" w:rsidRDefault="00815500" w:rsidP="00E333F0">
      <w:pPr>
        <w:jc w:val="both"/>
        <w:rPr>
          <w:rFonts w:ascii="Arial" w:hAnsi="Arial" w:cs="Arial"/>
        </w:rPr>
      </w:pPr>
      <w:r>
        <w:rPr>
          <w:rFonts w:ascii="Arial" w:hAnsi="Arial" w:cs="Arial"/>
        </w:rPr>
        <w:t xml:space="preserve">Hay que tener en consideración que el </w:t>
      </w:r>
      <w:r w:rsidR="004A4B2D">
        <w:rPr>
          <w:rFonts w:ascii="Arial" w:hAnsi="Arial" w:cs="Arial"/>
        </w:rPr>
        <w:t xml:space="preserve"> </w:t>
      </w:r>
      <w:r w:rsidR="00BA7E94">
        <w:rPr>
          <w:rFonts w:ascii="Arial" w:hAnsi="Arial" w:cs="Arial"/>
        </w:rPr>
        <w:t>recurso de la buena fe se limita cuando</w:t>
      </w:r>
      <w:r w:rsidR="004A4B2D">
        <w:rPr>
          <w:rFonts w:ascii="Arial" w:hAnsi="Arial" w:cs="Arial"/>
        </w:rPr>
        <w:t xml:space="preserve"> el derecho de propiedad ya ha</w:t>
      </w:r>
      <w:r w:rsidR="00BA7E94">
        <w:rPr>
          <w:rFonts w:ascii="Arial" w:hAnsi="Arial" w:cs="Arial"/>
        </w:rPr>
        <w:t xml:space="preserve"> sido inscrito por otro anteriormente. Además, la buena fe es realmente complicada, puesto que cómo se puede demostrar que no se conocía </w:t>
      </w:r>
      <w:r w:rsidR="00BA7E94">
        <w:rPr>
          <w:rFonts w:ascii="Arial" w:hAnsi="Arial" w:cs="Arial"/>
        </w:rPr>
        <w:lastRenderedPageBreak/>
        <w:t xml:space="preserve">que ya había un derecho inscrito cuando se presume que por su </w:t>
      </w:r>
      <w:r>
        <w:rPr>
          <w:rFonts w:ascii="Arial" w:hAnsi="Arial" w:cs="Arial"/>
        </w:rPr>
        <w:t>condición (Inscrito)</w:t>
      </w:r>
      <w:r w:rsidR="00BA7E94">
        <w:rPr>
          <w:rFonts w:ascii="Arial" w:hAnsi="Arial" w:cs="Arial"/>
        </w:rPr>
        <w:t xml:space="preserve"> ya es de conocimiento público</w:t>
      </w:r>
      <w:r w:rsidR="003A1476">
        <w:rPr>
          <w:rStyle w:val="Refdenotaalpie"/>
          <w:rFonts w:ascii="Arial" w:hAnsi="Arial" w:cs="Arial"/>
        </w:rPr>
        <w:footnoteReference w:id="32"/>
      </w:r>
      <w:r w:rsidR="00BA7E94">
        <w:rPr>
          <w:rFonts w:ascii="Arial" w:hAnsi="Arial" w:cs="Arial"/>
        </w:rPr>
        <w:t xml:space="preserve">. </w:t>
      </w:r>
    </w:p>
    <w:p w:rsidR="00AE120A" w:rsidRDefault="00C01D9C" w:rsidP="00E333F0">
      <w:pPr>
        <w:jc w:val="both"/>
        <w:rPr>
          <w:rFonts w:ascii="Arial" w:hAnsi="Arial" w:cs="Arial"/>
        </w:rPr>
      </w:pPr>
      <w:r>
        <w:rPr>
          <w:rFonts w:ascii="Arial" w:hAnsi="Arial" w:cs="Arial"/>
        </w:rPr>
        <w:t>Por otra parte</w:t>
      </w:r>
      <w:r w:rsidR="003A1476">
        <w:rPr>
          <w:rFonts w:ascii="Arial" w:hAnsi="Arial" w:cs="Arial"/>
        </w:rPr>
        <w:t xml:space="preserve">, habría que mencionar que aquel que pese a que hace oponible su derecho de propiedad con el registro puede perder ante quien la adquiere por prescripción adquisitiva, es decir por posesión continua del bien por un periodo regular de </w:t>
      </w:r>
      <w:r w:rsidR="00AE120A">
        <w:rPr>
          <w:rFonts w:ascii="Arial" w:hAnsi="Arial" w:cs="Arial"/>
        </w:rPr>
        <w:t>tiempo (30 años)</w:t>
      </w:r>
      <w:r w:rsidR="003A1476">
        <w:rPr>
          <w:rStyle w:val="Refdenotaalpie"/>
          <w:rFonts w:ascii="Arial" w:hAnsi="Arial" w:cs="Arial"/>
        </w:rPr>
        <w:footnoteReference w:id="33"/>
      </w:r>
      <w:r w:rsidR="003A1476">
        <w:rPr>
          <w:rFonts w:ascii="Arial" w:hAnsi="Arial" w:cs="Arial"/>
        </w:rPr>
        <w:t>.</w:t>
      </w:r>
    </w:p>
    <w:p w:rsidR="00C01D9C" w:rsidRDefault="00AE120A" w:rsidP="00E333F0">
      <w:pPr>
        <w:jc w:val="both"/>
        <w:rPr>
          <w:rFonts w:ascii="Arial" w:hAnsi="Arial" w:cs="Arial"/>
        </w:rPr>
      </w:pPr>
      <w:r>
        <w:rPr>
          <w:rFonts w:ascii="Arial" w:hAnsi="Arial" w:cs="Arial"/>
        </w:rPr>
        <w:t>Entonces el registro  puede oponerse a todos menos al poseedor actual (la posesión implica una inmediación física o jurídica al bien, que no se da por la simple inscripción de una transferencia)  que ha sumado  el tiempo requerido (directamente o por suma de plazos posesorios)</w:t>
      </w:r>
      <w:r>
        <w:rPr>
          <w:rStyle w:val="Refdenotaalpie"/>
          <w:rFonts w:ascii="Arial" w:hAnsi="Arial" w:cs="Arial"/>
        </w:rPr>
        <w:footnoteReference w:id="34"/>
      </w:r>
      <w:r>
        <w:rPr>
          <w:rFonts w:ascii="Arial" w:hAnsi="Arial" w:cs="Arial"/>
        </w:rPr>
        <w:t>.</w:t>
      </w:r>
    </w:p>
    <w:p w:rsidR="00C621BF" w:rsidRDefault="00C01D9C" w:rsidP="00E333F0">
      <w:pPr>
        <w:jc w:val="both"/>
        <w:rPr>
          <w:rFonts w:ascii="Arial" w:hAnsi="Arial" w:cs="Arial"/>
        </w:rPr>
      </w:pPr>
      <w:r>
        <w:rPr>
          <w:rFonts w:ascii="Arial" w:hAnsi="Arial" w:cs="Arial"/>
        </w:rPr>
        <w:t xml:space="preserve">Finalmente se podría concluir que la posesión se convierte  en nuestro sistema en un signo de cognoscibilidad oponible incluso a la inscripción registral, a pesar que resulta obvio  que el ultimo es un signo mucho más perfecto y cierto.  </w:t>
      </w:r>
      <w:r w:rsidR="00AE120A">
        <w:rPr>
          <w:rFonts w:ascii="Arial" w:hAnsi="Arial" w:cs="Arial"/>
        </w:rPr>
        <w:t xml:space="preserve"> </w:t>
      </w:r>
    </w:p>
    <w:p w:rsidR="00180A91" w:rsidRDefault="00180A91" w:rsidP="00E333F0">
      <w:pPr>
        <w:jc w:val="both"/>
        <w:rPr>
          <w:rFonts w:ascii="Arial" w:hAnsi="Arial" w:cs="Arial"/>
        </w:rPr>
      </w:pPr>
    </w:p>
    <w:p w:rsidR="00C621BF" w:rsidRPr="00180A91" w:rsidRDefault="008D4434" w:rsidP="00E333F0">
      <w:pPr>
        <w:jc w:val="both"/>
        <w:rPr>
          <w:rFonts w:ascii="Arial" w:hAnsi="Arial" w:cs="Arial"/>
          <w:u w:val="single"/>
        </w:rPr>
      </w:pPr>
      <w:r w:rsidRPr="00180A91">
        <w:rPr>
          <w:rFonts w:ascii="Arial" w:hAnsi="Arial" w:cs="Arial"/>
          <w:u w:val="single"/>
        </w:rPr>
        <w:t>1.3.2</w:t>
      </w:r>
      <w:r w:rsidR="001B627C" w:rsidRPr="00180A91">
        <w:rPr>
          <w:rFonts w:ascii="Arial" w:hAnsi="Arial" w:cs="Arial"/>
          <w:u w:val="single"/>
        </w:rPr>
        <w:t xml:space="preserve">) Sistemas de transferencias del derecho de Propiedad de Inmuebles: </w:t>
      </w:r>
    </w:p>
    <w:p w:rsidR="001B627C" w:rsidRDefault="00CD2BED" w:rsidP="00E333F0">
      <w:pPr>
        <w:jc w:val="both"/>
        <w:rPr>
          <w:rFonts w:ascii="Arial" w:hAnsi="Arial" w:cs="Arial"/>
        </w:rPr>
      </w:pPr>
      <w:r w:rsidRPr="00CD2BED">
        <w:rPr>
          <w:rFonts w:ascii="Arial" w:hAnsi="Arial" w:cs="Arial"/>
        </w:rPr>
        <w:t xml:space="preserve">En el derecho occidental contemporáneo existen dos grandes sistemas de transferencia de propiedad, a saber: el </w:t>
      </w:r>
      <w:r w:rsidRPr="00CD2BED">
        <w:rPr>
          <w:rFonts w:ascii="Arial" w:hAnsi="Arial" w:cs="Arial"/>
          <w:i/>
        </w:rPr>
        <w:t>sistema de la unidad del contrato</w:t>
      </w:r>
      <w:r w:rsidRPr="00CD2BED">
        <w:rPr>
          <w:rFonts w:ascii="Arial" w:hAnsi="Arial" w:cs="Arial"/>
        </w:rPr>
        <w:t xml:space="preserve"> y el </w:t>
      </w:r>
      <w:r w:rsidRPr="00CD2BED">
        <w:rPr>
          <w:rFonts w:ascii="Arial" w:hAnsi="Arial" w:cs="Arial"/>
          <w:i/>
        </w:rPr>
        <w:t>sistema de la separación del contrato</w:t>
      </w:r>
      <w:r w:rsidRPr="00CD2BED">
        <w:rPr>
          <w:rFonts w:ascii="Arial" w:hAnsi="Arial" w:cs="Arial"/>
        </w:rPr>
        <w:t>. El primer sistema se caracteriza por exigir la celebración de un solo negocio jurídico en el cual reposan las voluntades del transferente y del adquirente dirigidas a provocar la transferencia de la propiedad. El segundo sistema, en cambio, se caracteriza por exigir dos negocios jurídicos, uno obligacional y otro dispositivo, en los que, con distintas características y consecuencias, reposan las voluntades del transferente y del adquiriente dirigidas a provocar la transferencia de la propiedad</w:t>
      </w:r>
      <w:r>
        <w:rPr>
          <w:rStyle w:val="Refdenotaalpie"/>
          <w:rFonts w:ascii="Arial" w:hAnsi="Arial" w:cs="Arial"/>
        </w:rPr>
        <w:footnoteReference w:id="35"/>
      </w:r>
      <w:r>
        <w:rPr>
          <w:rFonts w:ascii="Arial" w:hAnsi="Arial" w:cs="Arial"/>
        </w:rPr>
        <w:t>:</w:t>
      </w:r>
    </w:p>
    <w:p w:rsidR="00180A91" w:rsidRDefault="00180A91" w:rsidP="00E333F0">
      <w:pPr>
        <w:jc w:val="both"/>
        <w:rPr>
          <w:rFonts w:ascii="Arial" w:hAnsi="Arial" w:cs="Arial"/>
        </w:rPr>
      </w:pPr>
    </w:p>
    <w:p w:rsidR="00CD2BED" w:rsidRPr="00180A91" w:rsidRDefault="008D4434" w:rsidP="00E333F0">
      <w:pPr>
        <w:jc w:val="both"/>
        <w:rPr>
          <w:rFonts w:ascii="Arial" w:hAnsi="Arial" w:cs="Arial"/>
          <w:u w:val="single"/>
        </w:rPr>
      </w:pPr>
      <w:r w:rsidRPr="00180A91">
        <w:rPr>
          <w:rFonts w:ascii="Arial" w:hAnsi="Arial" w:cs="Arial"/>
          <w:u w:val="single"/>
        </w:rPr>
        <w:t>1.3.2.1</w:t>
      </w:r>
      <w:r w:rsidR="001B627C" w:rsidRPr="00180A91">
        <w:rPr>
          <w:rFonts w:ascii="Arial" w:hAnsi="Arial" w:cs="Arial"/>
          <w:u w:val="single"/>
        </w:rPr>
        <w:t xml:space="preserve">) Sistema de Unidad de Contrato: </w:t>
      </w:r>
    </w:p>
    <w:p w:rsidR="001B627C" w:rsidRDefault="00CD2BED" w:rsidP="00E333F0">
      <w:pPr>
        <w:jc w:val="both"/>
        <w:rPr>
          <w:rFonts w:ascii="Arial" w:hAnsi="Arial" w:cs="Arial"/>
        </w:rPr>
      </w:pPr>
      <w:r>
        <w:rPr>
          <w:rFonts w:ascii="Arial" w:hAnsi="Arial" w:cs="Arial"/>
          <w:snapToGrid w:val="0"/>
        </w:rPr>
        <w:t xml:space="preserve"> E</w:t>
      </w:r>
      <w:r w:rsidRPr="00CD2BED">
        <w:rPr>
          <w:rFonts w:ascii="Arial" w:hAnsi="Arial" w:cs="Arial"/>
          <w:snapToGrid w:val="0"/>
        </w:rPr>
        <w:t>stablece que el contrato es la fuente directa del efecto traslativo de la propiedad por lo cual no requiere del modo que haga pública la adquisición de la propiedad; es decir el solo consentimiento (simple acuerdos de voluntades) es la causa del nacimiento del derecho del nuevo propietario; en efecto en los denominados sistemas de causa única, al reputarse a la voluntad suficiente para -producir la mutación jurídico-real, puede afirmarse que el contrato  adicionalmente a que pueda producir efectos obligatorios- está en la capacidad de producir efectos reales.</w:t>
      </w:r>
      <w:r>
        <w:rPr>
          <w:rFonts w:ascii="Garamond" w:hAnsi="Garamond"/>
          <w:snapToGrid w:val="0"/>
          <w:sz w:val="26"/>
          <w:szCs w:val="26"/>
        </w:rPr>
        <w:t xml:space="preserve"> </w:t>
      </w:r>
      <w:r w:rsidR="001B627C">
        <w:rPr>
          <w:rFonts w:ascii="Arial" w:hAnsi="Arial" w:cs="Arial"/>
        </w:rPr>
        <w:t>Destaca aquí el sistema consensual o espiritualista</w:t>
      </w:r>
      <w:r w:rsidR="00387C5D">
        <w:rPr>
          <w:rStyle w:val="Refdenotaalpie"/>
          <w:rFonts w:ascii="Arial" w:hAnsi="Arial" w:cs="Arial"/>
        </w:rPr>
        <w:footnoteReference w:id="36"/>
      </w:r>
      <w:r w:rsidR="00387C5D">
        <w:rPr>
          <w:rFonts w:ascii="Arial" w:hAnsi="Arial" w:cs="Arial"/>
        </w:rPr>
        <w:t>.</w:t>
      </w:r>
      <w:r w:rsidR="00155557">
        <w:rPr>
          <w:rFonts w:ascii="Arial" w:hAnsi="Arial" w:cs="Arial"/>
        </w:rPr>
        <w:t xml:space="preserve">  </w:t>
      </w:r>
    </w:p>
    <w:p w:rsidR="00815500" w:rsidRDefault="00815500" w:rsidP="00815500">
      <w:pPr>
        <w:jc w:val="both"/>
        <w:rPr>
          <w:rFonts w:ascii="Arial" w:hAnsi="Arial" w:cs="Arial"/>
        </w:rPr>
      </w:pPr>
      <w:r>
        <w:rPr>
          <w:rFonts w:ascii="Arial" w:hAnsi="Arial" w:cs="Arial"/>
        </w:rPr>
        <w:t xml:space="preserve">En el caso peruano se ha acogido al sistema consensual desde sus inicios de la vida republicana. Y aunque hoy se critica su vigencia, todavía tiene ciertos argumentos a </w:t>
      </w:r>
      <w:r>
        <w:rPr>
          <w:rFonts w:ascii="Arial" w:hAnsi="Arial" w:cs="Arial"/>
        </w:rPr>
        <w:lastRenderedPageBreak/>
        <w:t>favor como el hecho de permitir que los bienes circules con mayor rapidez, cumpliendo de ese modo la principal función de un sistema de transmisión de propiedad: La maximización de la riqueza</w:t>
      </w:r>
      <w:r>
        <w:rPr>
          <w:rStyle w:val="Refdenotaalpie"/>
          <w:rFonts w:ascii="Arial" w:hAnsi="Arial" w:cs="Arial"/>
        </w:rPr>
        <w:footnoteReference w:id="37"/>
      </w:r>
      <w:r>
        <w:rPr>
          <w:rFonts w:ascii="Arial" w:hAnsi="Arial" w:cs="Arial"/>
        </w:rPr>
        <w:t>. Pero a la vez inseguridad como se aplicó líneas atrás.</w:t>
      </w:r>
    </w:p>
    <w:p w:rsidR="00C51FD8" w:rsidRDefault="00C51FD8" w:rsidP="00E333F0">
      <w:pPr>
        <w:jc w:val="both"/>
        <w:rPr>
          <w:rFonts w:ascii="Arial" w:hAnsi="Arial" w:cs="Arial"/>
        </w:rPr>
      </w:pPr>
      <w:r>
        <w:rPr>
          <w:rFonts w:ascii="Arial" w:hAnsi="Arial" w:cs="Arial"/>
        </w:rPr>
        <w:t xml:space="preserve">Ejemplos típicos de este tipo de sistema  son el italiano (artículo 1376 de su </w:t>
      </w:r>
      <w:r w:rsidR="00864E2C">
        <w:rPr>
          <w:rFonts w:ascii="Arial" w:hAnsi="Arial" w:cs="Arial"/>
        </w:rPr>
        <w:t>C</w:t>
      </w:r>
      <w:r>
        <w:rPr>
          <w:rFonts w:ascii="Arial" w:hAnsi="Arial" w:cs="Arial"/>
        </w:rPr>
        <w:t>ódigo civil)</w:t>
      </w:r>
      <w:r w:rsidR="00864E2C">
        <w:rPr>
          <w:rFonts w:ascii="Arial" w:hAnsi="Arial" w:cs="Arial"/>
        </w:rPr>
        <w:t>, el sistema francés( artículo 1138 de su Código Civil), el sistema portugués ( artículo 408 de su Código Civil) , el sistema checo ( artículos 133 y 134 de su Código Civil), el sistema polaco (artículo 155 de Código Civil) , el sistema japonés ( artículo 176 de su Código Civil) y , en América , el sistema mexicano( artículo 2014 de su Código Civil) , el sistema paraguayo( artículo 2062 de su Código Civil) , el sistema boliviano( artículo 521 de su Código Civil) , el sistema venezolano( artículo 1161 de su Código Civil) , el sistema costarricense( artículo 480 de su Código Civil) y el sistema dominicano( artículo 1138 de su Código Civil)</w:t>
      </w:r>
      <w:r w:rsidR="00864E2C">
        <w:rPr>
          <w:rStyle w:val="Refdenotaalpie"/>
          <w:rFonts w:ascii="Arial" w:hAnsi="Arial" w:cs="Arial"/>
        </w:rPr>
        <w:footnoteReference w:id="38"/>
      </w:r>
      <w:r w:rsidR="00864E2C">
        <w:rPr>
          <w:rFonts w:ascii="Arial" w:hAnsi="Arial" w:cs="Arial"/>
        </w:rPr>
        <w:t xml:space="preserve">. </w:t>
      </w:r>
    </w:p>
    <w:p w:rsidR="00155557" w:rsidRDefault="00155557" w:rsidP="00E333F0">
      <w:pPr>
        <w:jc w:val="both"/>
        <w:rPr>
          <w:rFonts w:ascii="Arial" w:hAnsi="Arial" w:cs="Arial"/>
        </w:rPr>
      </w:pPr>
      <w:r>
        <w:rPr>
          <w:rFonts w:ascii="Arial" w:hAnsi="Arial" w:cs="Arial"/>
        </w:rPr>
        <w:t xml:space="preserve">La doctrina casi de forma unánime condena este sistema, puesto que no tiene en cuenta el carácter de derecho real de la propiedad. Es decir, todo derecho real es oponible </w:t>
      </w:r>
      <w:r w:rsidR="0088708F">
        <w:rPr>
          <w:rFonts w:ascii="Arial" w:hAnsi="Arial" w:cs="Arial"/>
        </w:rPr>
        <w:t>“</w:t>
      </w:r>
      <w:r>
        <w:rPr>
          <w:rFonts w:ascii="Arial" w:hAnsi="Arial" w:cs="Arial"/>
        </w:rPr>
        <w:t>erga omnes</w:t>
      </w:r>
      <w:r w:rsidR="0088708F">
        <w:rPr>
          <w:rFonts w:ascii="Arial" w:hAnsi="Arial" w:cs="Arial"/>
        </w:rPr>
        <w:t>”</w:t>
      </w:r>
      <w:r>
        <w:rPr>
          <w:rFonts w:ascii="Arial" w:hAnsi="Arial" w:cs="Arial"/>
        </w:rPr>
        <w:t>, sin embargo mediante un mero consentimiento entre las partes, no se puede cumplir su característica inherente</w:t>
      </w:r>
      <w:r>
        <w:rPr>
          <w:rStyle w:val="Refdenotaalpie"/>
          <w:rFonts w:ascii="Arial" w:hAnsi="Arial" w:cs="Arial"/>
        </w:rPr>
        <w:footnoteReference w:id="39"/>
      </w:r>
    </w:p>
    <w:p w:rsidR="00387C5D" w:rsidRDefault="00C51FD8" w:rsidP="00E333F0">
      <w:pPr>
        <w:jc w:val="both"/>
        <w:rPr>
          <w:rFonts w:ascii="Arial" w:hAnsi="Arial" w:cs="Arial"/>
        </w:rPr>
      </w:pPr>
      <w:r>
        <w:rPr>
          <w:rFonts w:ascii="Arial" w:hAnsi="Arial" w:cs="Arial"/>
        </w:rPr>
        <w:t>También se encuentra el s</w:t>
      </w:r>
      <w:r w:rsidR="00387C5D">
        <w:rPr>
          <w:rFonts w:ascii="Arial" w:hAnsi="Arial" w:cs="Arial"/>
        </w:rPr>
        <w:t>is</w:t>
      </w:r>
      <w:r>
        <w:rPr>
          <w:rFonts w:ascii="Arial" w:hAnsi="Arial" w:cs="Arial"/>
        </w:rPr>
        <w:t>tema Transmisivo de doble Causa, el cual  n</w:t>
      </w:r>
      <w:r w:rsidR="00387C5D">
        <w:rPr>
          <w:rFonts w:ascii="Arial" w:hAnsi="Arial" w:cs="Arial"/>
        </w:rPr>
        <w:t xml:space="preserve">os indica que el contrato no es suficiente para generar la transferencia de la propiedad y que necesariamente se </w:t>
      </w:r>
      <w:r w:rsidR="00387C5D" w:rsidRPr="0059712C">
        <w:rPr>
          <w:rFonts w:ascii="Arial" w:hAnsi="Arial" w:cs="Arial"/>
        </w:rPr>
        <w:t>requiere un signo de recognoscibilidad social cuya finalidad consista en publicitar a la colectividad de la adquisición del derecho de propiedad</w:t>
      </w:r>
      <w:r w:rsidR="00387C5D" w:rsidRPr="0059712C">
        <w:rPr>
          <w:rStyle w:val="Refdenotaalpie"/>
          <w:rFonts w:ascii="Arial" w:hAnsi="Arial" w:cs="Arial"/>
        </w:rPr>
        <w:footnoteReference w:id="40"/>
      </w:r>
      <w:r w:rsidR="00387C5D" w:rsidRPr="0059712C">
        <w:rPr>
          <w:rFonts w:ascii="Arial" w:hAnsi="Arial" w:cs="Arial"/>
        </w:rPr>
        <w:t>.</w:t>
      </w:r>
    </w:p>
    <w:p w:rsidR="00180A91" w:rsidRPr="0059712C" w:rsidRDefault="00180A91" w:rsidP="00E333F0">
      <w:pPr>
        <w:jc w:val="both"/>
        <w:rPr>
          <w:rFonts w:ascii="Arial" w:hAnsi="Arial" w:cs="Arial"/>
        </w:rPr>
      </w:pPr>
    </w:p>
    <w:p w:rsidR="00D9598B" w:rsidRPr="00180A91" w:rsidRDefault="008D4434" w:rsidP="00E333F0">
      <w:pPr>
        <w:jc w:val="both"/>
        <w:rPr>
          <w:rFonts w:ascii="Arial" w:hAnsi="Arial" w:cs="Arial"/>
          <w:u w:val="single"/>
        </w:rPr>
      </w:pPr>
      <w:r w:rsidRPr="00180A91">
        <w:rPr>
          <w:rFonts w:ascii="Arial" w:hAnsi="Arial" w:cs="Arial"/>
          <w:u w:val="single"/>
        </w:rPr>
        <w:t>1.3</w:t>
      </w:r>
      <w:r w:rsidR="00C51FD8" w:rsidRPr="00180A91">
        <w:rPr>
          <w:rFonts w:ascii="Arial" w:hAnsi="Arial" w:cs="Arial"/>
          <w:u w:val="single"/>
        </w:rPr>
        <w:t>.2</w:t>
      </w:r>
      <w:r w:rsidRPr="00180A91">
        <w:rPr>
          <w:rFonts w:ascii="Arial" w:hAnsi="Arial" w:cs="Arial"/>
          <w:u w:val="single"/>
        </w:rPr>
        <w:t>.2</w:t>
      </w:r>
      <w:r w:rsidR="000D43F9" w:rsidRPr="00180A91">
        <w:rPr>
          <w:rFonts w:ascii="Arial" w:hAnsi="Arial" w:cs="Arial"/>
          <w:u w:val="single"/>
        </w:rPr>
        <w:t>) Sistema</w:t>
      </w:r>
      <w:r w:rsidR="00387C5D" w:rsidRPr="00180A91">
        <w:rPr>
          <w:rFonts w:ascii="Arial" w:hAnsi="Arial" w:cs="Arial"/>
          <w:u w:val="single"/>
        </w:rPr>
        <w:t xml:space="preserve"> de Separación del Contrato:</w:t>
      </w:r>
      <w:r w:rsidR="0059712C" w:rsidRPr="00180A91">
        <w:rPr>
          <w:rFonts w:ascii="Arial" w:hAnsi="Arial" w:cs="Arial"/>
          <w:u w:val="single"/>
        </w:rPr>
        <w:t xml:space="preserve"> </w:t>
      </w:r>
    </w:p>
    <w:p w:rsidR="00780D84" w:rsidRPr="0059712C" w:rsidRDefault="0059712C" w:rsidP="00E333F0">
      <w:pPr>
        <w:jc w:val="both"/>
        <w:rPr>
          <w:rFonts w:ascii="Arial" w:hAnsi="Arial" w:cs="Arial"/>
        </w:rPr>
      </w:pPr>
      <w:r w:rsidRPr="0059712C">
        <w:rPr>
          <w:rFonts w:ascii="Arial" w:hAnsi="Arial" w:cs="Arial"/>
        </w:rPr>
        <w:t xml:space="preserve">El sistema de separación tuvo su origen en la revisión crítica a la que fue sometida en </w:t>
      </w:r>
      <w:r w:rsidRPr="0059712C">
        <w:rPr>
          <w:rFonts w:ascii="Arial" w:hAnsi="Arial" w:cs="Arial"/>
          <w:i/>
        </w:rPr>
        <w:t>Alemania del siglo XIX</w:t>
      </w:r>
      <w:r>
        <w:rPr>
          <w:rFonts w:ascii="Arial" w:hAnsi="Arial" w:cs="Arial"/>
          <w:i/>
        </w:rPr>
        <w:t>.</w:t>
      </w:r>
      <w:r>
        <w:rPr>
          <w:rFonts w:ascii="Arial" w:hAnsi="Arial" w:cs="Arial"/>
        </w:rPr>
        <w:t xml:space="preserve"> E</w:t>
      </w:r>
      <w:r w:rsidRPr="0059712C">
        <w:rPr>
          <w:rFonts w:ascii="Arial" w:hAnsi="Arial" w:cs="Arial"/>
        </w:rPr>
        <w:t xml:space="preserve">ste sistema postula de la separación de los contratos, es decir existen dos contratos o actos jurídicos, uno que produce los efectos obligatorios y otro que genera la transferencia de la propiedad. </w:t>
      </w:r>
      <w:r w:rsidR="000D43F9" w:rsidRPr="0059712C">
        <w:rPr>
          <w:rFonts w:ascii="Arial" w:hAnsi="Arial" w:cs="Arial"/>
        </w:rPr>
        <w:t>Dentro de este tipo encontramos al sistema constitutivo registral</w:t>
      </w:r>
      <w:r w:rsidR="000D43F9" w:rsidRPr="0059712C">
        <w:rPr>
          <w:rStyle w:val="Refdenotaalpie"/>
          <w:rFonts w:ascii="Arial" w:hAnsi="Arial" w:cs="Arial"/>
        </w:rPr>
        <w:footnoteReference w:id="41"/>
      </w:r>
      <w:r w:rsidR="000D43F9" w:rsidRPr="0059712C">
        <w:rPr>
          <w:rFonts w:ascii="Arial" w:hAnsi="Arial" w:cs="Arial"/>
        </w:rPr>
        <w:t xml:space="preserve">. </w:t>
      </w:r>
      <w:r w:rsidR="00780D84">
        <w:rPr>
          <w:rFonts w:ascii="Arial" w:hAnsi="Arial" w:cs="Arial"/>
        </w:rPr>
        <w:t xml:space="preserve">    Dentro de este grupo se encuentra el sistema alemán (artículo 873 de su código civil), el sistema suizo (artículo 971 de su Código Civil) y el sistema de Torrens australiano</w:t>
      </w:r>
      <w:r w:rsidR="00780D84">
        <w:rPr>
          <w:rStyle w:val="Refdenotaalpie"/>
          <w:rFonts w:ascii="Arial" w:hAnsi="Arial" w:cs="Arial"/>
        </w:rPr>
        <w:footnoteReference w:id="42"/>
      </w:r>
      <w:r w:rsidR="00780D84">
        <w:rPr>
          <w:rFonts w:ascii="Arial" w:hAnsi="Arial" w:cs="Arial"/>
        </w:rPr>
        <w:t xml:space="preserve">. </w:t>
      </w:r>
    </w:p>
    <w:p w:rsidR="00180A91" w:rsidRDefault="00180A91" w:rsidP="00E333F0">
      <w:pPr>
        <w:jc w:val="both"/>
        <w:rPr>
          <w:rFonts w:ascii="Arial" w:hAnsi="Arial" w:cs="Arial"/>
          <w:u w:val="single"/>
        </w:rPr>
      </w:pPr>
    </w:p>
    <w:p w:rsidR="00D7647E" w:rsidRPr="00180A91" w:rsidRDefault="008D4434" w:rsidP="00E333F0">
      <w:pPr>
        <w:jc w:val="both"/>
        <w:rPr>
          <w:rFonts w:ascii="Arial" w:hAnsi="Arial" w:cs="Arial"/>
          <w:u w:val="single"/>
        </w:rPr>
      </w:pPr>
      <w:r w:rsidRPr="00180A91">
        <w:rPr>
          <w:rFonts w:ascii="Arial" w:hAnsi="Arial" w:cs="Arial"/>
          <w:u w:val="single"/>
        </w:rPr>
        <w:t>1.4</w:t>
      </w:r>
      <w:r w:rsidR="00D7647E" w:rsidRPr="00180A91">
        <w:rPr>
          <w:rFonts w:ascii="Arial" w:hAnsi="Arial" w:cs="Arial"/>
          <w:u w:val="single"/>
        </w:rPr>
        <w:t xml:space="preserve">) </w:t>
      </w:r>
      <w:r w:rsidRPr="00180A91">
        <w:rPr>
          <w:rFonts w:ascii="Arial" w:hAnsi="Arial" w:cs="Arial"/>
          <w:u w:val="single"/>
        </w:rPr>
        <w:t>El Derecho de Propiedad y su Inscripción en Registros Públicos</w:t>
      </w:r>
      <w:r w:rsidR="00D7647E" w:rsidRPr="00180A91">
        <w:rPr>
          <w:rFonts w:ascii="Arial" w:hAnsi="Arial" w:cs="Arial"/>
          <w:u w:val="single"/>
        </w:rPr>
        <w:t>:</w:t>
      </w:r>
    </w:p>
    <w:p w:rsidR="00C9631D" w:rsidRDefault="00C9631D" w:rsidP="00E333F0">
      <w:pPr>
        <w:jc w:val="both"/>
        <w:rPr>
          <w:rFonts w:ascii="Arial" w:hAnsi="Arial" w:cs="Arial"/>
        </w:rPr>
      </w:pPr>
      <w:r>
        <w:rPr>
          <w:rFonts w:ascii="Arial" w:hAnsi="Arial" w:cs="Arial"/>
        </w:rPr>
        <w:t xml:space="preserve">La realidad registral ha mejorado muchísimo  desde mediados  de los años ochenta. En 1985 Registro Públicos funcionaba en el sótano del Palacio de Justicia; era la más detestable de las dependencias  públicas. Todos eran tomos y para sacar una </w:t>
      </w:r>
      <w:r>
        <w:rPr>
          <w:rFonts w:ascii="Arial" w:hAnsi="Arial" w:cs="Arial"/>
        </w:rPr>
        <w:lastRenderedPageBreak/>
        <w:t>fotocopia  había que manipularlos, por lo que a muchos  de ellos les faltaban no pocas hojas. A principios de 1986 recién empieza  a funcionar  el nuevo edificio de Lince</w:t>
      </w:r>
      <w:r>
        <w:rPr>
          <w:rStyle w:val="Refdenotaalpie"/>
          <w:rFonts w:ascii="Arial" w:hAnsi="Arial" w:cs="Arial"/>
        </w:rPr>
        <w:footnoteReference w:id="43"/>
      </w:r>
      <w:r>
        <w:rPr>
          <w:rFonts w:ascii="Arial" w:hAnsi="Arial" w:cs="Arial"/>
        </w:rPr>
        <w:t xml:space="preserve">. </w:t>
      </w:r>
    </w:p>
    <w:p w:rsidR="00D7647E" w:rsidRDefault="00C9631D" w:rsidP="00E333F0">
      <w:pPr>
        <w:jc w:val="both"/>
        <w:rPr>
          <w:rFonts w:ascii="Arial" w:hAnsi="Arial" w:cs="Arial"/>
        </w:rPr>
      </w:pPr>
      <w:r>
        <w:rPr>
          <w:rFonts w:ascii="Arial" w:hAnsi="Arial" w:cs="Arial"/>
        </w:rPr>
        <w:t xml:space="preserve">Con la creación de la Superintendencia  Nacional de los Registros </w:t>
      </w:r>
      <w:r w:rsidR="004F4A27">
        <w:rPr>
          <w:rFonts w:ascii="Arial" w:hAnsi="Arial" w:cs="Arial"/>
        </w:rPr>
        <w:t>Públicos (SUNARP</w:t>
      </w:r>
      <w:r>
        <w:rPr>
          <w:rFonts w:ascii="Arial" w:hAnsi="Arial" w:cs="Arial"/>
        </w:rPr>
        <w:t xml:space="preserve">)  y a </w:t>
      </w:r>
      <w:r w:rsidR="004F4A27">
        <w:rPr>
          <w:rFonts w:ascii="Arial" w:hAnsi="Arial" w:cs="Arial"/>
        </w:rPr>
        <w:t>óptimas</w:t>
      </w:r>
      <w:r>
        <w:rPr>
          <w:rFonts w:ascii="Arial" w:hAnsi="Arial" w:cs="Arial"/>
        </w:rPr>
        <w:t xml:space="preserve">  </w:t>
      </w:r>
      <w:r w:rsidR="004F4A27">
        <w:rPr>
          <w:rFonts w:ascii="Arial" w:hAnsi="Arial" w:cs="Arial"/>
        </w:rPr>
        <w:t>administraciones,</w:t>
      </w:r>
      <w:r>
        <w:rPr>
          <w:rFonts w:ascii="Arial" w:hAnsi="Arial" w:cs="Arial"/>
        </w:rPr>
        <w:t xml:space="preserve"> Registros Públicos  cambio y mejoró. Hoy, esta institución  es considerada, según encuestas, como una de las que genera mayor confianza entre los usuarios</w:t>
      </w:r>
      <w:r w:rsidR="004F4A27">
        <w:rPr>
          <w:rStyle w:val="Refdenotaalpie"/>
          <w:rFonts w:ascii="Arial" w:hAnsi="Arial" w:cs="Arial"/>
        </w:rPr>
        <w:footnoteReference w:id="44"/>
      </w:r>
      <w:r>
        <w:rPr>
          <w:rFonts w:ascii="Arial" w:hAnsi="Arial" w:cs="Arial"/>
        </w:rPr>
        <w:t xml:space="preserve">.      </w:t>
      </w:r>
      <w:r w:rsidR="00D7647E">
        <w:rPr>
          <w:rFonts w:ascii="Arial" w:hAnsi="Arial" w:cs="Arial"/>
        </w:rPr>
        <w:t xml:space="preserve"> </w:t>
      </w:r>
    </w:p>
    <w:p w:rsidR="004F4A27" w:rsidRDefault="004F4A27" w:rsidP="00E333F0">
      <w:pPr>
        <w:jc w:val="both"/>
        <w:rPr>
          <w:rFonts w:ascii="Arial" w:hAnsi="Arial" w:cs="Arial"/>
        </w:rPr>
      </w:pPr>
      <w:r>
        <w:rPr>
          <w:rFonts w:ascii="Arial" w:hAnsi="Arial" w:cs="Arial"/>
        </w:rPr>
        <w:t>Siguiendo ese proceso, que podemos  catalogar como natural, resulta evidente que en un tiempo,  este ente público  tendrá una infraestructura, no solo material sino de contenido, es decir contará con un catastro también bueno y completo</w:t>
      </w:r>
      <w:r>
        <w:rPr>
          <w:rStyle w:val="Refdenotaalpie"/>
          <w:rFonts w:ascii="Arial" w:hAnsi="Arial" w:cs="Arial"/>
        </w:rPr>
        <w:footnoteReference w:id="45"/>
      </w:r>
    </w:p>
    <w:p w:rsidR="004F4A27" w:rsidRDefault="004F4A27" w:rsidP="00E333F0">
      <w:pPr>
        <w:jc w:val="both"/>
        <w:rPr>
          <w:rFonts w:ascii="Arial" w:hAnsi="Arial" w:cs="Arial"/>
        </w:rPr>
      </w:pPr>
      <w:r>
        <w:rPr>
          <w:rFonts w:ascii="Arial" w:hAnsi="Arial" w:cs="Arial"/>
        </w:rPr>
        <w:t>En el Perú, gran parte del territorio nacional no está inscrito. En el  c</w:t>
      </w:r>
      <w:r w:rsidR="009D61AD">
        <w:rPr>
          <w:rFonts w:ascii="Arial" w:hAnsi="Arial" w:cs="Arial"/>
        </w:rPr>
        <w:t>aso de las propiedades inscritas</w:t>
      </w:r>
      <w:r>
        <w:rPr>
          <w:rFonts w:ascii="Arial" w:hAnsi="Arial" w:cs="Arial"/>
        </w:rPr>
        <w:t xml:space="preserve">, el Registro  muchas veces  no refleja  la realidad física o jurídica de los </w:t>
      </w:r>
      <w:r w:rsidR="009D61AD">
        <w:rPr>
          <w:rFonts w:ascii="Arial" w:hAnsi="Arial" w:cs="Arial"/>
        </w:rPr>
        <w:t xml:space="preserve">inmuebles. </w:t>
      </w:r>
      <w:r>
        <w:rPr>
          <w:rFonts w:ascii="Arial" w:hAnsi="Arial" w:cs="Arial"/>
        </w:rPr>
        <w:t>Esto  se debe en parte  a que no existe un verdadero catastro</w:t>
      </w:r>
      <w:r w:rsidR="009D61AD">
        <w:rPr>
          <w:rFonts w:ascii="Arial" w:hAnsi="Arial" w:cs="Arial"/>
        </w:rPr>
        <w:t>, un inventario físico de los predios</w:t>
      </w:r>
      <w:r w:rsidR="009D61AD">
        <w:rPr>
          <w:rStyle w:val="Refdenotaalpie"/>
          <w:rFonts w:ascii="Arial" w:hAnsi="Arial" w:cs="Arial"/>
        </w:rPr>
        <w:footnoteReference w:id="46"/>
      </w:r>
      <w:r w:rsidR="009D61AD">
        <w:rPr>
          <w:rFonts w:ascii="Arial" w:hAnsi="Arial" w:cs="Arial"/>
        </w:rPr>
        <w:t xml:space="preserve">. </w:t>
      </w:r>
      <w:r>
        <w:rPr>
          <w:rFonts w:ascii="Arial" w:hAnsi="Arial" w:cs="Arial"/>
        </w:rPr>
        <w:t xml:space="preserve">   </w:t>
      </w:r>
    </w:p>
    <w:p w:rsidR="009D61AD" w:rsidRDefault="009D61AD" w:rsidP="00E333F0">
      <w:pPr>
        <w:jc w:val="both"/>
        <w:rPr>
          <w:rFonts w:ascii="Arial" w:hAnsi="Arial" w:cs="Arial"/>
        </w:rPr>
      </w:pPr>
      <w:r>
        <w:rPr>
          <w:rFonts w:ascii="Arial" w:hAnsi="Arial" w:cs="Arial"/>
        </w:rPr>
        <w:t>Como consecuencia de la falta de catastro, es usual  que existan superposiciones  o duplicidad de partidas (dos partidas registrales  para un mismo inmueble) o que  la descripción registral de los inmuebles inscritos no coincida con la realidad</w:t>
      </w:r>
      <w:r>
        <w:rPr>
          <w:rStyle w:val="Refdenotaalpie"/>
          <w:rFonts w:ascii="Arial" w:hAnsi="Arial" w:cs="Arial"/>
        </w:rPr>
        <w:footnoteReference w:id="47"/>
      </w:r>
      <w:r>
        <w:rPr>
          <w:rFonts w:ascii="Arial" w:hAnsi="Arial" w:cs="Arial"/>
        </w:rPr>
        <w:t xml:space="preserve">.  </w:t>
      </w:r>
    </w:p>
    <w:p w:rsidR="00180A91" w:rsidRDefault="00180A91" w:rsidP="00E333F0">
      <w:pPr>
        <w:jc w:val="both"/>
        <w:rPr>
          <w:rFonts w:ascii="Arial" w:hAnsi="Arial" w:cs="Arial"/>
          <w:u w:val="single"/>
        </w:rPr>
      </w:pPr>
    </w:p>
    <w:p w:rsidR="00C01D9C" w:rsidRDefault="00180A91" w:rsidP="00E333F0">
      <w:pPr>
        <w:jc w:val="both"/>
        <w:rPr>
          <w:rFonts w:ascii="Arial" w:hAnsi="Arial" w:cs="Arial"/>
        </w:rPr>
      </w:pPr>
      <w:r w:rsidRPr="00180A91">
        <w:rPr>
          <w:rFonts w:ascii="Arial" w:hAnsi="Arial" w:cs="Arial"/>
          <w:u w:val="single"/>
        </w:rPr>
        <w:t>1.5</w:t>
      </w:r>
      <w:r w:rsidR="004D1A79" w:rsidRPr="00180A91">
        <w:rPr>
          <w:rFonts w:ascii="Arial" w:hAnsi="Arial" w:cs="Arial"/>
          <w:u w:val="single"/>
        </w:rPr>
        <w:t xml:space="preserve">) </w:t>
      </w:r>
      <w:r w:rsidRPr="00180A91">
        <w:rPr>
          <w:rFonts w:ascii="Arial" w:hAnsi="Arial" w:cs="Arial"/>
          <w:u w:val="single"/>
        </w:rPr>
        <w:t>El Derecho de Propiedad y su Diferencia con los Derechos Personales</w:t>
      </w:r>
      <w:r>
        <w:rPr>
          <w:rFonts w:ascii="Arial" w:hAnsi="Arial" w:cs="Arial"/>
        </w:rPr>
        <w:t>:</w:t>
      </w:r>
      <w:r w:rsidR="004D1A79">
        <w:rPr>
          <w:rFonts w:ascii="Arial" w:hAnsi="Arial" w:cs="Arial"/>
        </w:rPr>
        <w:t xml:space="preserve">  </w:t>
      </w:r>
    </w:p>
    <w:p w:rsidR="00C40CAC" w:rsidRDefault="00C40CAC" w:rsidP="00E333F0">
      <w:pPr>
        <w:jc w:val="both"/>
        <w:rPr>
          <w:rFonts w:ascii="Arial" w:hAnsi="Arial" w:cs="Arial"/>
        </w:rPr>
      </w:pPr>
      <w:r>
        <w:rPr>
          <w:rFonts w:ascii="Arial" w:hAnsi="Arial" w:cs="Arial"/>
        </w:rPr>
        <w:t>Básicamente esta distinción radica en  que los primeros se dan entre una persona y una cosa; y los segundos, entre personas</w:t>
      </w:r>
      <w:r>
        <w:rPr>
          <w:rStyle w:val="Refdenotaalpie"/>
          <w:rFonts w:ascii="Arial" w:hAnsi="Arial" w:cs="Arial"/>
        </w:rPr>
        <w:footnoteReference w:id="48"/>
      </w:r>
      <w:r>
        <w:rPr>
          <w:rFonts w:ascii="Arial" w:hAnsi="Arial" w:cs="Arial"/>
        </w:rPr>
        <w:t xml:space="preserve">. Pero es necesario hacer un recorrido histórico en relación a su origen para entender luego las teorías que se mantiene en la doctrina: </w:t>
      </w:r>
    </w:p>
    <w:p w:rsidR="007163A8" w:rsidRDefault="00A848DD" w:rsidP="00E333F0">
      <w:pPr>
        <w:jc w:val="both"/>
        <w:rPr>
          <w:rFonts w:ascii="Arial" w:hAnsi="Arial" w:cs="Arial"/>
        </w:rPr>
      </w:pPr>
      <w:r>
        <w:rPr>
          <w:rFonts w:ascii="Arial" w:hAnsi="Arial" w:cs="Arial"/>
        </w:rPr>
        <w:t xml:space="preserve"> Esta no fue conocida en la antigüedad</w:t>
      </w:r>
      <w:r w:rsidR="007163A8">
        <w:rPr>
          <w:rFonts w:ascii="Arial" w:hAnsi="Arial" w:cs="Arial"/>
        </w:rPr>
        <w:t>(Roma)</w:t>
      </w:r>
      <w:r>
        <w:rPr>
          <w:rFonts w:ascii="Arial" w:hAnsi="Arial" w:cs="Arial"/>
        </w:rPr>
        <w:t xml:space="preserve">  sino recién más o menos hacia finales del siglo V antes de Cristo, debido a que todas las relaciones jurídicas giraban en torno de la potestad absoluta  que tenía el jefe familiar, generando de ese modo un verdadero derecho real. </w:t>
      </w:r>
      <w:r w:rsidR="007163A8">
        <w:rPr>
          <w:rFonts w:ascii="Arial" w:hAnsi="Arial" w:cs="Arial"/>
        </w:rPr>
        <w:t>Recién</w:t>
      </w:r>
      <w:r>
        <w:rPr>
          <w:rFonts w:ascii="Arial" w:hAnsi="Arial" w:cs="Arial"/>
        </w:rPr>
        <w:t xml:space="preserve"> al aparecer las necesidades de </w:t>
      </w:r>
      <w:r w:rsidR="007163A8">
        <w:rPr>
          <w:rFonts w:ascii="Arial" w:hAnsi="Arial" w:cs="Arial"/>
        </w:rPr>
        <w:t>intercambio,</w:t>
      </w:r>
      <w:r>
        <w:rPr>
          <w:rFonts w:ascii="Arial" w:hAnsi="Arial" w:cs="Arial"/>
        </w:rPr>
        <w:t xml:space="preserve"> estos jefes familiares tuvieron  que relacionarse entre </w:t>
      </w:r>
      <w:r w:rsidR="007163A8">
        <w:rPr>
          <w:rFonts w:ascii="Arial" w:hAnsi="Arial" w:cs="Arial"/>
        </w:rPr>
        <w:t>sí, apareciendo de ese modo  las primeras relaciones obligatorias que tenias de particular el hecho que  la persona del deudor, así como sus bienes, garantizaba el cumplimiento de la obligación</w:t>
      </w:r>
      <w:r w:rsidR="007163A8">
        <w:rPr>
          <w:rStyle w:val="Refdenotaalpie"/>
          <w:rFonts w:ascii="Arial" w:hAnsi="Arial" w:cs="Arial"/>
        </w:rPr>
        <w:footnoteReference w:id="49"/>
      </w:r>
      <w:r w:rsidR="007163A8">
        <w:rPr>
          <w:rFonts w:ascii="Arial" w:hAnsi="Arial" w:cs="Arial"/>
        </w:rPr>
        <w:t>.</w:t>
      </w:r>
    </w:p>
    <w:p w:rsidR="00A848DD" w:rsidRDefault="007163A8" w:rsidP="00E333F0">
      <w:pPr>
        <w:jc w:val="both"/>
        <w:rPr>
          <w:rFonts w:ascii="Arial" w:hAnsi="Arial" w:cs="Arial"/>
        </w:rPr>
      </w:pPr>
      <w:r>
        <w:rPr>
          <w:rFonts w:ascii="Arial" w:hAnsi="Arial" w:cs="Arial"/>
        </w:rPr>
        <w:t xml:space="preserve">E inclusive la primera distinción no se baso en tornos estos derechos propiamente dichos, sino a la violación o vulneración de estos: las “actiones in rem” lo que se buscaba era la recuperación de un bien corporal  que nos pertenecía, o que se reconociera un derecho sobre la cosa ajena (por ejemplo el uso) o que se declarara  que otro no tenía derecho alguno sobre un bien de nuestra propiedad. Y en la </w:t>
      </w:r>
      <w:r>
        <w:rPr>
          <w:rFonts w:ascii="Arial" w:hAnsi="Arial" w:cs="Arial"/>
        </w:rPr>
        <w:lastRenderedPageBreak/>
        <w:t xml:space="preserve">“actiones in personam” </w:t>
      </w:r>
      <w:r w:rsidR="000F49A0">
        <w:rPr>
          <w:rFonts w:ascii="Arial" w:hAnsi="Arial" w:cs="Arial"/>
        </w:rPr>
        <w:t>se dirigía contra la persona que estaba obligada en virtud de un contrato o de un delito</w:t>
      </w:r>
      <w:r w:rsidR="000F49A0">
        <w:rPr>
          <w:rStyle w:val="Refdenotaalpie"/>
          <w:rFonts w:ascii="Arial" w:hAnsi="Arial" w:cs="Arial"/>
        </w:rPr>
        <w:footnoteReference w:id="50"/>
      </w:r>
      <w:r w:rsidR="000F49A0">
        <w:rPr>
          <w:rFonts w:ascii="Arial" w:hAnsi="Arial" w:cs="Arial"/>
        </w:rPr>
        <w:t>.</w:t>
      </w:r>
      <w:r>
        <w:rPr>
          <w:rFonts w:ascii="Arial" w:hAnsi="Arial" w:cs="Arial"/>
        </w:rPr>
        <w:t xml:space="preserve">  </w:t>
      </w:r>
      <w:r w:rsidR="00A848DD">
        <w:rPr>
          <w:rFonts w:ascii="Arial" w:hAnsi="Arial" w:cs="Arial"/>
        </w:rPr>
        <w:t xml:space="preserve">  </w:t>
      </w:r>
    </w:p>
    <w:p w:rsidR="000F49A0" w:rsidRDefault="000F49A0" w:rsidP="00E333F0">
      <w:pPr>
        <w:jc w:val="both"/>
        <w:rPr>
          <w:rFonts w:ascii="Arial" w:hAnsi="Arial" w:cs="Arial"/>
        </w:rPr>
      </w:pPr>
      <w:r>
        <w:rPr>
          <w:rFonts w:ascii="Arial" w:hAnsi="Arial" w:cs="Arial"/>
        </w:rPr>
        <w:t>Digamos que una primera distinción propiamente dicha, basada en aspectos sustantivos y no procesales, la debe</w:t>
      </w:r>
      <w:r w:rsidR="004F07C8">
        <w:rPr>
          <w:rFonts w:ascii="Arial" w:hAnsi="Arial" w:cs="Arial"/>
        </w:rPr>
        <w:t>mos encontrar en la edad media con los glosadores allá por el siglo XIII en el sumario del derecho Justiniano</w:t>
      </w:r>
      <w:r w:rsidR="004F07C8">
        <w:rPr>
          <w:rStyle w:val="Refdenotaalpie"/>
          <w:rFonts w:ascii="Arial" w:hAnsi="Arial" w:cs="Arial"/>
        </w:rPr>
        <w:footnoteReference w:id="51"/>
      </w:r>
      <w:r>
        <w:rPr>
          <w:rFonts w:ascii="Arial" w:hAnsi="Arial" w:cs="Arial"/>
        </w:rPr>
        <w:t xml:space="preserve"> </w:t>
      </w:r>
    </w:p>
    <w:p w:rsidR="007163A8" w:rsidRDefault="004F07C8" w:rsidP="00E333F0">
      <w:pPr>
        <w:jc w:val="both"/>
        <w:rPr>
          <w:rFonts w:ascii="Arial" w:hAnsi="Arial" w:cs="Arial"/>
        </w:rPr>
      </w:pPr>
      <w:r>
        <w:rPr>
          <w:rFonts w:ascii="Arial" w:hAnsi="Arial" w:cs="Arial"/>
        </w:rPr>
        <w:t xml:space="preserve">Por lo anterior, se entiende que la racionalidad de los glosadores fue diferente a la aplicada  en Roma, ya que estos no consideran la mediatez  física con la cosa. Sin </w:t>
      </w:r>
      <w:r w:rsidR="00A13ED6">
        <w:rPr>
          <w:rFonts w:ascii="Arial" w:hAnsi="Arial" w:cs="Arial"/>
        </w:rPr>
        <w:t>embargo,</w:t>
      </w:r>
      <w:r>
        <w:rPr>
          <w:rFonts w:ascii="Arial" w:hAnsi="Arial" w:cs="Arial"/>
        </w:rPr>
        <w:t xml:space="preserve"> la discusión propuesta llego al código civil </w:t>
      </w:r>
      <w:r w:rsidR="00A13ED6">
        <w:rPr>
          <w:rFonts w:ascii="Arial" w:hAnsi="Arial" w:cs="Arial"/>
        </w:rPr>
        <w:t>francés,</w:t>
      </w:r>
      <w:r>
        <w:rPr>
          <w:rFonts w:ascii="Arial" w:hAnsi="Arial" w:cs="Arial"/>
        </w:rPr>
        <w:t xml:space="preserve"> y de allí a los </w:t>
      </w:r>
      <w:r w:rsidR="004D1A79">
        <w:rPr>
          <w:rFonts w:ascii="Arial" w:hAnsi="Arial" w:cs="Arial"/>
        </w:rPr>
        <w:t>demás</w:t>
      </w:r>
      <w:r>
        <w:rPr>
          <w:rFonts w:ascii="Arial" w:hAnsi="Arial" w:cs="Arial"/>
        </w:rPr>
        <w:t xml:space="preserve"> códigos </w:t>
      </w:r>
      <w:r w:rsidR="00A13ED6">
        <w:rPr>
          <w:rFonts w:ascii="Arial" w:hAnsi="Arial" w:cs="Arial"/>
        </w:rPr>
        <w:t>modernos,</w:t>
      </w:r>
      <w:r>
        <w:rPr>
          <w:rFonts w:ascii="Arial" w:hAnsi="Arial" w:cs="Arial"/>
        </w:rPr>
        <w:t xml:space="preserve"> suscitándose  a partir de aquella  fecha ardorosas discusiones  en torno a los elementos diferenciadores</w:t>
      </w:r>
      <w:r>
        <w:rPr>
          <w:rStyle w:val="Refdenotaalpie"/>
          <w:rFonts w:ascii="Arial" w:hAnsi="Arial" w:cs="Arial"/>
        </w:rPr>
        <w:footnoteReference w:id="52"/>
      </w:r>
    </w:p>
    <w:p w:rsidR="004D1A79" w:rsidRDefault="004D1A79" w:rsidP="00E333F0">
      <w:pPr>
        <w:jc w:val="both"/>
        <w:rPr>
          <w:rFonts w:ascii="Arial" w:hAnsi="Arial" w:cs="Arial"/>
        </w:rPr>
      </w:pPr>
      <w:r>
        <w:rPr>
          <w:rFonts w:ascii="Arial" w:hAnsi="Arial" w:cs="Arial"/>
        </w:rPr>
        <w:t xml:space="preserve">Actualmente se tiene a la teoría clásica que tomo como base la división propuesta por los </w:t>
      </w:r>
      <w:r w:rsidR="00927C5A">
        <w:rPr>
          <w:rFonts w:ascii="Arial" w:hAnsi="Arial" w:cs="Arial"/>
        </w:rPr>
        <w:t>glosadores,</w:t>
      </w:r>
      <w:r>
        <w:rPr>
          <w:rFonts w:ascii="Arial" w:hAnsi="Arial" w:cs="Arial"/>
        </w:rPr>
        <w:t xml:space="preserve"> es decir tiene en cuenta la inmediatez con la </w:t>
      </w:r>
      <w:r w:rsidR="00927C5A">
        <w:rPr>
          <w:rFonts w:ascii="Arial" w:hAnsi="Arial" w:cs="Arial"/>
        </w:rPr>
        <w:t>cosa,</w:t>
      </w:r>
      <w:r>
        <w:rPr>
          <w:rFonts w:ascii="Arial" w:hAnsi="Arial" w:cs="Arial"/>
        </w:rPr>
        <w:t xml:space="preserve"> sin necesidad de la cooperación de </w:t>
      </w:r>
      <w:r w:rsidR="00927C5A">
        <w:rPr>
          <w:rFonts w:ascii="Arial" w:hAnsi="Arial" w:cs="Arial"/>
        </w:rPr>
        <w:t xml:space="preserve">terceros. </w:t>
      </w:r>
      <w:r>
        <w:rPr>
          <w:rFonts w:ascii="Arial" w:hAnsi="Arial" w:cs="Arial"/>
        </w:rPr>
        <w:t xml:space="preserve">Mientras que el derecho personal  es aquella relación entre dos personas en la que uno de ellos tiene el poder de exigir del otro el cumplimiento de una prestación  que ser de dar, hacer o no hacer. Aquí como se ve la </w:t>
      </w:r>
      <w:r w:rsidR="00927C5A">
        <w:rPr>
          <w:rFonts w:ascii="Arial" w:hAnsi="Arial" w:cs="Arial"/>
        </w:rPr>
        <w:t>satisfacción</w:t>
      </w:r>
      <w:r>
        <w:rPr>
          <w:rFonts w:ascii="Arial" w:hAnsi="Arial" w:cs="Arial"/>
        </w:rPr>
        <w:t xml:space="preserve"> de nuestros intereses se logra mediante  el concurso de terceros</w:t>
      </w:r>
      <w:r w:rsidR="00927C5A">
        <w:rPr>
          <w:rStyle w:val="Refdenotaalpie"/>
          <w:rFonts w:ascii="Arial" w:hAnsi="Arial" w:cs="Arial"/>
        </w:rPr>
        <w:footnoteReference w:id="53"/>
      </w:r>
      <w:r w:rsidR="00927C5A">
        <w:rPr>
          <w:rFonts w:ascii="Arial" w:hAnsi="Arial" w:cs="Arial"/>
        </w:rPr>
        <w:t>.</w:t>
      </w:r>
      <w:r>
        <w:rPr>
          <w:rFonts w:ascii="Arial" w:hAnsi="Arial" w:cs="Arial"/>
        </w:rPr>
        <w:t xml:space="preserve"> </w:t>
      </w:r>
    </w:p>
    <w:p w:rsidR="00927C5A" w:rsidRDefault="00927C5A" w:rsidP="00E333F0">
      <w:pPr>
        <w:jc w:val="both"/>
        <w:rPr>
          <w:rFonts w:ascii="Arial" w:hAnsi="Arial" w:cs="Arial"/>
        </w:rPr>
      </w:pPr>
      <w:r>
        <w:rPr>
          <w:rFonts w:ascii="Arial" w:hAnsi="Arial" w:cs="Arial"/>
        </w:rPr>
        <w:t>Este concepto de inmediatez tiene como base la falta de cooperación  de terceros en el ejercicio del derecho por parte de su titular. Se dirá, que en la hipoteca  se encuentra presente  el poder inmediato a favor del acreedor, en la medida  que este podrá ejercer su derecho sobre la cosa sin necesidad de la cooperación del deudor</w:t>
      </w:r>
      <w:r>
        <w:rPr>
          <w:rStyle w:val="Refdenotaalpie"/>
          <w:rFonts w:ascii="Arial" w:hAnsi="Arial" w:cs="Arial"/>
        </w:rPr>
        <w:footnoteReference w:id="54"/>
      </w:r>
      <w:r>
        <w:rPr>
          <w:rFonts w:ascii="Arial" w:hAnsi="Arial" w:cs="Arial"/>
        </w:rPr>
        <w:t xml:space="preserve"> Entonces se demuestra que es falso considerar a la inmediatez como el elemento característico y diferenciador de los derechos reales. </w:t>
      </w:r>
    </w:p>
    <w:p w:rsidR="00927C5A" w:rsidRDefault="00927C5A" w:rsidP="00E333F0">
      <w:pPr>
        <w:jc w:val="both"/>
        <w:rPr>
          <w:rFonts w:ascii="Arial" w:hAnsi="Arial" w:cs="Arial"/>
        </w:rPr>
      </w:pPr>
      <w:r>
        <w:rPr>
          <w:rFonts w:ascii="Arial" w:hAnsi="Arial" w:cs="Arial"/>
        </w:rPr>
        <w:t xml:space="preserve">También se tiene </w:t>
      </w:r>
      <w:r w:rsidR="00FA7CD5">
        <w:rPr>
          <w:rFonts w:ascii="Arial" w:hAnsi="Arial" w:cs="Arial"/>
        </w:rPr>
        <w:t>las teorías monistas que postulan que no existe tal distinción, sino que por un lado ambas son derecho personales o ambas están dentro de los derechos reales. La conclusión que llega Fernando Cantuarias es que estas doctrinas  no tratan de buscar  la razón de la distinción, sino que simplemente dan por cierta la clasificación y, a partir  d este hecho ubican a los diferentes  derechos que los componen, tratando de encontrar  sus particularidades. Ello desde todo punto de vista crítico le quita merito a estas posiciones, ya que lo que establecen son elementos secundarios de diferenciación</w:t>
      </w:r>
      <w:r w:rsidR="00FA7CD5">
        <w:rPr>
          <w:rStyle w:val="Refdenotaalpie"/>
          <w:rFonts w:ascii="Arial" w:hAnsi="Arial" w:cs="Arial"/>
        </w:rPr>
        <w:footnoteReference w:id="55"/>
      </w:r>
      <w:r w:rsidR="00FA7CD5">
        <w:rPr>
          <w:rFonts w:ascii="Arial" w:hAnsi="Arial" w:cs="Arial"/>
        </w:rPr>
        <w:t xml:space="preserve">.  </w:t>
      </w:r>
    </w:p>
    <w:p w:rsidR="00FA7CD5" w:rsidRDefault="00155557" w:rsidP="00E333F0">
      <w:pPr>
        <w:jc w:val="both"/>
        <w:rPr>
          <w:rFonts w:ascii="Arial" w:hAnsi="Arial" w:cs="Arial"/>
        </w:rPr>
      </w:pPr>
      <w:r>
        <w:rPr>
          <w:rFonts w:ascii="Arial" w:hAnsi="Arial" w:cs="Arial"/>
        </w:rPr>
        <w:t xml:space="preserve">Entonces siguiendo al autor se  concluye  </w:t>
      </w:r>
      <w:r w:rsidR="00FA7CD5">
        <w:rPr>
          <w:rFonts w:ascii="Arial" w:hAnsi="Arial" w:cs="Arial"/>
        </w:rPr>
        <w:t xml:space="preserve"> que los derechos reales por se</w:t>
      </w:r>
      <w:r w:rsidR="00494E16">
        <w:rPr>
          <w:rFonts w:ascii="Arial" w:hAnsi="Arial" w:cs="Arial"/>
        </w:rPr>
        <w:t>r</w:t>
      </w:r>
      <w:r w:rsidR="00FA7CD5">
        <w:rPr>
          <w:rFonts w:ascii="Arial" w:hAnsi="Arial" w:cs="Arial"/>
        </w:rPr>
        <w:t xml:space="preserve"> absolutos son oponibles a </w:t>
      </w:r>
      <w:r w:rsidR="00494E16">
        <w:rPr>
          <w:rFonts w:ascii="Arial" w:hAnsi="Arial" w:cs="Arial"/>
        </w:rPr>
        <w:t>todos,</w:t>
      </w:r>
      <w:r w:rsidR="00FA7CD5">
        <w:rPr>
          <w:rFonts w:ascii="Arial" w:hAnsi="Arial" w:cs="Arial"/>
        </w:rPr>
        <w:t xml:space="preserve"> mientras que las relaciones jurídicas</w:t>
      </w:r>
      <w:r w:rsidR="00494E16">
        <w:rPr>
          <w:rFonts w:ascii="Arial" w:hAnsi="Arial" w:cs="Arial"/>
        </w:rPr>
        <w:t xml:space="preserve"> personales</w:t>
      </w:r>
      <w:r w:rsidR="00FA7CD5">
        <w:rPr>
          <w:rFonts w:ascii="Arial" w:hAnsi="Arial" w:cs="Arial"/>
        </w:rPr>
        <w:t xml:space="preserve">  </w:t>
      </w:r>
      <w:r w:rsidR="00494E16">
        <w:rPr>
          <w:rFonts w:ascii="Arial" w:hAnsi="Arial" w:cs="Arial"/>
        </w:rPr>
        <w:t>son de carácter relativo</w:t>
      </w:r>
      <w:r w:rsidR="00494E16">
        <w:rPr>
          <w:rStyle w:val="Refdenotaalpie"/>
          <w:rFonts w:ascii="Arial" w:hAnsi="Arial" w:cs="Arial"/>
        </w:rPr>
        <w:footnoteReference w:id="56"/>
      </w:r>
      <w:r w:rsidR="00494E16">
        <w:rPr>
          <w:rFonts w:ascii="Arial" w:hAnsi="Arial" w:cs="Arial"/>
        </w:rPr>
        <w:t>.</w:t>
      </w:r>
      <w:r>
        <w:rPr>
          <w:rFonts w:ascii="Arial" w:hAnsi="Arial" w:cs="Arial"/>
        </w:rPr>
        <w:t xml:space="preserve"> </w:t>
      </w:r>
      <w:r w:rsidR="00494E16">
        <w:rPr>
          <w:rFonts w:ascii="Arial" w:hAnsi="Arial" w:cs="Arial"/>
        </w:rPr>
        <w:t xml:space="preserve"> </w:t>
      </w:r>
    </w:p>
    <w:p w:rsidR="00D94824" w:rsidRDefault="00D94824" w:rsidP="00E333F0">
      <w:pPr>
        <w:jc w:val="both"/>
        <w:rPr>
          <w:rFonts w:ascii="Arial" w:hAnsi="Arial" w:cs="Arial"/>
        </w:rPr>
      </w:pPr>
    </w:p>
    <w:p w:rsidR="00CB14F7" w:rsidRDefault="00CB14F7" w:rsidP="00E333F0">
      <w:pPr>
        <w:jc w:val="both"/>
        <w:rPr>
          <w:rFonts w:ascii="Arial" w:hAnsi="Arial" w:cs="Arial"/>
        </w:rPr>
      </w:pPr>
    </w:p>
    <w:p w:rsidR="00E6620E" w:rsidRPr="00CB14F7" w:rsidRDefault="000D43F9" w:rsidP="00E333F0">
      <w:pPr>
        <w:jc w:val="both"/>
        <w:rPr>
          <w:rFonts w:ascii="Arial" w:hAnsi="Arial" w:cs="Arial"/>
        </w:rPr>
      </w:pPr>
      <w:r>
        <w:rPr>
          <w:rFonts w:ascii="Arial" w:hAnsi="Arial" w:cs="Arial"/>
        </w:rPr>
        <w:lastRenderedPageBreak/>
        <w:t xml:space="preserve"> </w:t>
      </w:r>
      <w:r w:rsidR="00FB5D70" w:rsidRPr="00FB5D70">
        <w:rPr>
          <w:rFonts w:ascii="Arial" w:hAnsi="Arial" w:cs="Arial"/>
          <w:u w:val="single"/>
        </w:rPr>
        <w:t>REFERENCIAS:</w:t>
      </w:r>
    </w:p>
    <w:p w:rsidR="00FB5D70" w:rsidRPr="00FB5D70" w:rsidRDefault="00FB5D70" w:rsidP="00FB5D70">
      <w:pPr>
        <w:spacing w:line="360" w:lineRule="auto"/>
        <w:jc w:val="both"/>
        <w:rPr>
          <w:rFonts w:ascii="Arial" w:eastAsia="Calibri" w:hAnsi="Arial" w:cs="Arial"/>
        </w:rPr>
      </w:pPr>
      <w:r w:rsidRPr="00FB5D70">
        <w:rPr>
          <w:rFonts w:ascii="Arial" w:eastAsia="Calibri" w:hAnsi="Arial" w:cs="Arial"/>
        </w:rPr>
        <w:t xml:space="preserve">1) ANCAJIMA, Javier. </w:t>
      </w:r>
    </w:p>
    <w:p w:rsidR="00FB5D70" w:rsidRDefault="00FB5D70" w:rsidP="00FB5D70">
      <w:pPr>
        <w:jc w:val="both"/>
        <w:rPr>
          <w:rFonts w:ascii="Arial" w:eastAsia="Calibri" w:hAnsi="Arial" w:cs="Arial"/>
        </w:rPr>
      </w:pPr>
      <w:r w:rsidRPr="00FB5D70">
        <w:rPr>
          <w:rFonts w:ascii="Arial" w:eastAsia="Calibri" w:hAnsi="Arial" w:cs="Arial"/>
        </w:rPr>
        <w:t xml:space="preserve">                     </w:t>
      </w:r>
      <w:r w:rsidRPr="00FB5D70">
        <w:rPr>
          <w:rFonts w:ascii="Arial" w:eastAsia="Calibri" w:hAnsi="Arial" w:cs="Arial"/>
          <w:i/>
        </w:rPr>
        <w:t xml:space="preserve">Informe: Ventajas de tener un Registro Constitutivo para la Transferencia de Propiedad. </w:t>
      </w:r>
      <w:r w:rsidRPr="00FB5D70">
        <w:rPr>
          <w:rFonts w:ascii="Arial" w:eastAsia="Calibri" w:hAnsi="Arial" w:cs="Arial"/>
        </w:rPr>
        <w:t>Lima.</w:t>
      </w:r>
    </w:p>
    <w:p w:rsidR="00FB5D70" w:rsidRPr="00FB5D70" w:rsidRDefault="00FB5D70" w:rsidP="00FB5D70">
      <w:pPr>
        <w:spacing w:line="360" w:lineRule="auto"/>
        <w:jc w:val="both"/>
        <w:rPr>
          <w:rFonts w:ascii="Arial" w:eastAsia="Calibri" w:hAnsi="Arial" w:cs="Arial"/>
        </w:rPr>
      </w:pPr>
      <w:r w:rsidRPr="00FB5D70">
        <w:rPr>
          <w:rFonts w:ascii="Arial" w:eastAsia="Calibri" w:hAnsi="Arial" w:cs="Arial"/>
        </w:rPr>
        <w:t xml:space="preserve">2) AVENDAÑO, Francisco. </w:t>
      </w:r>
    </w:p>
    <w:p w:rsidR="00FB5D70" w:rsidRDefault="00FB5D70" w:rsidP="00FB5D70">
      <w:pPr>
        <w:jc w:val="both"/>
        <w:rPr>
          <w:rFonts w:ascii="Arial" w:eastAsia="Calibri" w:hAnsi="Arial" w:cs="Arial"/>
        </w:rPr>
      </w:pPr>
      <w:r w:rsidRPr="00FB5D70">
        <w:rPr>
          <w:rFonts w:ascii="Arial" w:eastAsia="Calibri" w:hAnsi="Arial" w:cs="Arial"/>
        </w:rPr>
        <w:t xml:space="preserve">2008             “Los Defectos de un Sistema Registral Eficiente en el Sistema de Transferencia de Propiedad”. En CASTILLO, Mario. </w:t>
      </w:r>
      <w:r w:rsidRPr="00FB5D70">
        <w:rPr>
          <w:rFonts w:ascii="Arial" w:eastAsia="Calibri" w:hAnsi="Arial" w:cs="Arial"/>
          <w:i/>
        </w:rPr>
        <w:t xml:space="preserve">Libro Homenaje a Felipe Osterling Parodi. </w:t>
      </w:r>
      <w:r w:rsidRPr="00FB5D70">
        <w:rPr>
          <w:rFonts w:ascii="Arial" w:eastAsia="Calibri" w:hAnsi="Arial" w:cs="Arial"/>
        </w:rPr>
        <w:t>Lima: Palestra, pp. 1121-1134.</w:t>
      </w:r>
    </w:p>
    <w:p w:rsidR="00FB5D70" w:rsidRPr="00FB5D70" w:rsidRDefault="00FB5D70" w:rsidP="00FB5D70">
      <w:pPr>
        <w:rPr>
          <w:rFonts w:ascii="Arial" w:hAnsi="Arial" w:cs="Arial"/>
        </w:rPr>
      </w:pPr>
      <w:r w:rsidRPr="00FB5D70">
        <w:rPr>
          <w:rFonts w:ascii="Arial" w:hAnsi="Arial" w:cs="Arial"/>
        </w:rPr>
        <w:t xml:space="preserve">3) BULLARD, Alfredo </w:t>
      </w:r>
    </w:p>
    <w:p w:rsidR="00FB5D70" w:rsidRPr="00FB5D70" w:rsidRDefault="00FB5D70" w:rsidP="00FB5D70">
      <w:pPr>
        <w:rPr>
          <w:rFonts w:ascii="Arial" w:hAnsi="Arial" w:cs="Arial"/>
        </w:rPr>
      </w:pPr>
      <w:r w:rsidRPr="00FB5D70">
        <w:rPr>
          <w:rFonts w:ascii="Arial" w:hAnsi="Arial" w:cs="Arial"/>
        </w:rPr>
        <w:t xml:space="preserve">               “Un Mundo sin Propiedad: Análisis del Sistema  de Transferencia  de la Propiedad”  </w:t>
      </w:r>
      <w:r w:rsidRPr="00FB5D70">
        <w:rPr>
          <w:rFonts w:ascii="Arial" w:hAnsi="Arial" w:cs="Arial"/>
          <w:i/>
        </w:rPr>
        <w:t>Derecho</w:t>
      </w:r>
      <w:r w:rsidRPr="00FB5D70">
        <w:rPr>
          <w:rFonts w:ascii="Arial" w:hAnsi="Arial" w:cs="Arial"/>
        </w:rPr>
        <w:t>. Lima, 1991, nº45, pp. 131-157.</w:t>
      </w:r>
    </w:p>
    <w:p w:rsidR="00FB5D70" w:rsidRPr="00FB5D70" w:rsidRDefault="00FB5D70" w:rsidP="00FB5D70">
      <w:pPr>
        <w:spacing w:line="360" w:lineRule="auto"/>
        <w:jc w:val="both"/>
        <w:rPr>
          <w:rFonts w:ascii="Arial" w:eastAsia="Calibri" w:hAnsi="Arial" w:cs="Arial"/>
        </w:rPr>
      </w:pPr>
      <w:r>
        <w:rPr>
          <w:rFonts w:ascii="Arial" w:eastAsia="Calibri" w:hAnsi="Arial" w:cs="Arial"/>
        </w:rPr>
        <w:t>4</w:t>
      </w:r>
      <w:r w:rsidRPr="00FB5D70">
        <w:rPr>
          <w:rFonts w:ascii="Arial" w:eastAsia="Calibri" w:hAnsi="Arial" w:cs="Arial"/>
        </w:rPr>
        <w:t>) CASTILLO, Mario.</w:t>
      </w:r>
    </w:p>
    <w:p w:rsidR="00FB5D70" w:rsidRDefault="00FB5D70" w:rsidP="00FB5D70">
      <w:pPr>
        <w:jc w:val="both"/>
        <w:rPr>
          <w:rFonts w:ascii="Arial" w:eastAsia="Calibri" w:hAnsi="Arial" w:cs="Arial"/>
        </w:rPr>
      </w:pPr>
      <w:r w:rsidRPr="00FB5D70">
        <w:rPr>
          <w:rFonts w:ascii="Arial" w:eastAsia="Calibri" w:hAnsi="Arial" w:cs="Arial"/>
        </w:rPr>
        <w:t>2007               “La Transferencia de la propiedad inmueble en el Perú y la Seguridad Jurídica”. Lima: Palestra.</w:t>
      </w:r>
    </w:p>
    <w:p w:rsidR="00143C49" w:rsidRPr="00143C49" w:rsidRDefault="00143C49" w:rsidP="00143C49">
      <w:pPr>
        <w:rPr>
          <w:rFonts w:ascii="Arial" w:hAnsi="Arial" w:cs="Arial"/>
        </w:rPr>
      </w:pPr>
      <w:r>
        <w:rPr>
          <w:rFonts w:ascii="Arial" w:hAnsi="Arial" w:cs="Arial"/>
        </w:rPr>
        <w:t>5)</w:t>
      </w:r>
      <w:r w:rsidRPr="00143C49">
        <w:rPr>
          <w:rFonts w:ascii="Arial" w:hAnsi="Arial" w:cs="Arial"/>
        </w:rPr>
        <w:t xml:space="preserve"> CANTURIAS,  Fernando</w:t>
      </w:r>
      <w:r>
        <w:rPr>
          <w:rFonts w:ascii="Arial" w:hAnsi="Arial" w:cs="Arial"/>
        </w:rPr>
        <w:t>.</w:t>
      </w:r>
    </w:p>
    <w:p w:rsidR="00143C49" w:rsidRPr="00143C49" w:rsidRDefault="00143C49" w:rsidP="00143C49">
      <w:pPr>
        <w:rPr>
          <w:rFonts w:ascii="Arial" w:hAnsi="Arial" w:cs="Arial"/>
        </w:rPr>
      </w:pPr>
      <w:r w:rsidRPr="00143C49">
        <w:rPr>
          <w:rFonts w:ascii="Arial" w:hAnsi="Arial" w:cs="Arial"/>
        </w:rPr>
        <w:t xml:space="preserve">1989            </w:t>
      </w:r>
      <w:r w:rsidRPr="00143C49">
        <w:rPr>
          <w:rFonts w:ascii="Arial" w:hAnsi="Arial" w:cs="Arial"/>
          <w:i/>
        </w:rPr>
        <w:t>Critica al Sistema de Transferencia  de  la Propiedad  de los Bienes Inmuebles  registrados  en el Código Civil Peruano de 1984</w:t>
      </w:r>
      <w:r w:rsidRPr="00143C49">
        <w:rPr>
          <w:rFonts w:ascii="Arial" w:hAnsi="Arial" w:cs="Arial"/>
        </w:rPr>
        <w:t xml:space="preserve">. Tesis/Lima: </w:t>
      </w:r>
      <w:r>
        <w:rPr>
          <w:rFonts w:ascii="Arial" w:hAnsi="Arial" w:cs="Arial"/>
        </w:rPr>
        <w:t>Pontificia Universidad Católica.</w:t>
      </w:r>
    </w:p>
    <w:p w:rsidR="00CA0A2E" w:rsidRDefault="00143C49" w:rsidP="00FB5D70">
      <w:pPr>
        <w:jc w:val="both"/>
        <w:rPr>
          <w:rFonts w:ascii="Arial" w:hAnsi="Arial" w:cs="Arial"/>
        </w:rPr>
      </w:pPr>
      <w:r>
        <w:rPr>
          <w:rFonts w:ascii="Arial" w:hAnsi="Arial" w:cs="Arial"/>
        </w:rPr>
        <w:t>6) FERNÁ</w:t>
      </w:r>
      <w:r w:rsidR="00CA0A2E">
        <w:rPr>
          <w:rFonts w:ascii="Arial" w:hAnsi="Arial" w:cs="Arial"/>
        </w:rPr>
        <w:t>NDEZ, Gastón.</w:t>
      </w:r>
    </w:p>
    <w:p w:rsidR="00143C49" w:rsidRDefault="00CA0A2E" w:rsidP="00FB5D70">
      <w:pPr>
        <w:jc w:val="both"/>
        <w:rPr>
          <w:rFonts w:ascii="Arial" w:hAnsi="Arial" w:cs="Arial"/>
        </w:rPr>
      </w:pPr>
      <w:r w:rsidRPr="00143C49">
        <w:rPr>
          <w:rFonts w:ascii="Arial" w:hAnsi="Arial" w:cs="Arial"/>
        </w:rPr>
        <w:t xml:space="preserve">       “La obligación de enajenar y el sistema de transferencia de la propiedad inmueble en el Perú” </w:t>
      </w:r>
      <w:r w:rsidR="00143C49" w:rsidRPr="00143C49">
        <w:rPr>
          <w:rFonts w:ascii="Arial" w:hAnsi="Arial" w:cs="Arial"/>
        </w:rPr>
        <w:t xml:space="preserve"> </w:t>
      </w:r>
      <w:r w:rsidR="00143C49" w:rsidRPr="00143C49">
        <w:rPr>
          <w:rFonts w:ascii="Arial" w:hAnsi="Arial" w:cs="Arial"/>
          <w:i/>
        </w:rPr>
        <w:t>THEMIS</w:t>
      </w:r>
      <w:r w:rsidR="00143C49" w:rsidRPr="00143C49">
        <w:rPr>
          <w:rFonts w:ascii="Arial" w:hAnsi="Arial" w:cs="Arial"/>
        </w:rPr>
        <w:t>. Lima, 1994, nº30, pp. 149-173.</w:t>
      </w:r>
    </w:p>
    <w:p w:rsidR="00CB14F7" w:rsidRDefault="00CB14F7" w:rsidP="00FB5D70">
      <w:pPr>
        <w:jc w:val="both"/>
        <w:rPr>
          <w:rFonts w:ascii="Arial" w:hAnsi="Arial" w:cs="Arial"/>
        </w:rPr>
      </w:pPr>
      <w:r>
        <w:rPr>
          <w:rFonts w:ascii="Arial" w:hAnsi="Arial" w:cs="Arial"/>
        </w:rPr>
        <w:t>7) MEJORADA, Martin.</w:t>
      </w:r>
    </w:p>
    <w:p w:rsidR="00CB14F7" w:rsidRPr="00143C49" w:rsidRDefault="00CB14F7" w:rsidP="00FB5D70">
      <w:pPr>
        <w:jc w:val="both"/>
        <w:rPr>
          <w:rFonts w:ascii="Arial" w:hAnsi="Arial" w:cs="Arial"/>
        </w:rPr>
      </w:pPr>
      <w:r>
        <w:rPr>
          <w:rFonts w:ascii="Arial" w:hAnsi="Arial" w:cs="Arial"/>
        </w:rPr>
        <w:t xml:space="preserve">       “Entre  la comunidad  romana y la comunidad  germánica: la sociedad de gananciales  a la luz de la interpretación  jurisprudencial” </w:t>
      </w:r>
      <w:r w:rsidRPr="00CB14F7">
        <w:rPr>
          <w:rFonts w:ascii="Arial" w:hAnsi="Arial" w:cs="Arial"/>
          <w:i/>
        </w:rPr>
        <w:t>Advocatus.</w:t>
      </w:r>
      <w:r>
        <w:rPr>
          <w:rFonts w:ascii="Arial" w:hAnsi="Arial" w:cs="Arial"/>
        </w:rPr>
        <w:t xml:space="preserve"> Lima, 2002, nº7, pp. 115-121. </w:t>
      </w:r>
    </w:p>
    <w:p w:rsidR="00CB14F7" w:rsidRDefault="00CB14F7" w:rsidP="00143C49">
      <w:pPr>
        <w:spacing w:line="360" w:lineRule="auto"/>
        <w:jc w:val="both"/>
        <w:rPr>
          <w:rFonts w:ascii="Arial" w:eastAsia="Calibri" w:hAnsi="Arial" w:cs="Arial"/>
        </w:rPr>
      </w:pPr>
      <w:r>
        <w:rPr>
          <w:rFonts w:ascii="Arial" w:eastAsia="Calibri" w:hAnsi="Arial" w:cs="Arial"/>
        </w:rPr>
        <w:t xml:space="preserve">8) MEJORADA, Martin. </w:t>
      </w:r>
    </w:p>
    <w:p w:rsidR="00CB14F7" w:rsidRDefault="00CB14F7" w:rsidP="00143C49">
      <w:pPr>
        <w:spacing w:line="360" w:lineRule="auto"/>
        <w:jc w:val="both"/>
        <w:rPr>
          <w:rFonts w:ascii="Arial" w:eastAsia="Calibri" w:hAnsi="Arial" w:cs="Arial"/>
        </w:rPr>
      </w:pPr>
      <w:r>
        <w:rPr>
          <w:rFonts w:ascii="Arial" w:eastAsia="Calibri" w:hAnsi="Arial" w:cs="Arial"/>
        </w:rPr>
        <w:t xml:space="preserve">       “La propiedad y el bien Común” </w:t>
      </w:r>
      <w:r w:rsidRPr="00CB14F7">
        <w:rPr>
          <w:rFonts w:ascii="Arial" w:eastAsia="Calibri" w:hAnsi="Arial" w:cs="Arial"/>
          <w:i/>
        </w:rPr>
        <w:t>Foro Jurídico</w:t>
      </w:r>
      <w:r>
        <w:rPr>
          <w:rFonts w:ascii="Arial" w:eastAsia="Calibri" w:hAnsi="Arial" w:cs="Arial"/>
        </w:rPr>
        <w:t>. Lima, 2004, nº3, 128-131.</w:t>
      </w:r>
    </w:p>
    <w:p w:rsidR="00143C49" w:rsidRPr="00143C49" w:rsidRDefault="00CB14F7" w:rsidP="00143C49">
      <w:pPr>
        <w:spacing w:line="360" w:lineRule="auto"/>
        <w:jc w:val="both"/>
        <w:rPr>
          <w:rFonts w:ascii="Arial" w:eastAsia="Calibri" w:hAnsi="Arial" w:cs="Arial"/>
        </w:rPr>
      </w:pPr>
      <w:r>
        <w:rPr>
          <w:rFonts w:ascii="Arial" w:eastAsia="Calibri" w:hAnsi="Arial" w:cs="Arial"/>
        </w:rPr>
        <w:t>9</w:t>
      </w:r>
      <w:r w:rsidR="00143C49" w:rsidRPr="00143C49">
        <w:rPr>
          <w:rFonts w:ascii="Arial" w:eastAsia="Calibri" w:hAnsi="Arial" w:cs="Arial"/>
        </w:rPr>
        <w:t>) RAMÍREZ, Eugenio.</w:t>
      </w:r>
    </w:p>
    <w:p w:rsidR="00143C49" w:rsidRDefault="00143C49" w:rsidP="00143C49">
      <w:pPr>
        <w:jc w:val="both"/>
        <w:rPr>
          <w:rFonts w:ascii="Arial" w:eastAsia="Calibri" w:hAnsi="Arial" w:cs="Arial"/>
        </w:rPr>
      </w:pPr>
      <w:r w:rsidRPr="00143C49">
        <w:rPr>
          <w:rFonts w:ascii="Arial" w:eastAsia="Calibri" w:hAnsi="Arial" w:cs="Arial"/>
        </w:rPr>
        <w:t>2004                “Tratado de derechos Reales” Lima: RHODAS.</w:t>
      </w:r>
    </w:p>
    <w:p w:rsidR="00CB14F7" w:rsidRDefault="00CB14F7" w:rsidP="00143C49">
      <w:pPr>
        <w:jc w:val="both"/>
        <w:rPr>
          <w:rFonts w:ascii="Arial" w:eastAsia="Calibri" w:hAnsi="Arial" w:cs="Arial"/>
        </w:rPr>
      </w:pPr>
    </w:p>
    <w:p w:rsidR="00CB14F7" w:rsidRDefault="00CB14F7" w:rsidP="00143C49">
      <w:pPr>
        <w:jc w:val="both"/>
        <w:rPr>
          <w:rFonts w:ascii="Arial" w:eastAsia="Calibri" w:hAnsi="Arial" w:cs="Arial"/>
        </w:rPr>
      </w:pPr>
    </w:p>
    <w:p w:rsidR="00CB14F7" w:rsidRPr="00143C49" w:rsidRDefault="00CB14F7" w:rsidP="00143C49">
      <w:pPr>
        <w:jc w:val="both"/>
        <w:rPr>
          <w:rFonts w:ascii="Arial" w:eastAsia="Calibri" w:hAnsi="Arial" w:cs="Arial"/>
        </w:rPr>
      </w:pPr>
    </w:p>
    <w:p w:rsidR="00143C49" w:rsidRPr="00143C49" w:rsidRDefault="00CB14F7" w:rsidP="00143C49">
      <w:pPr>
        <w:spacing w:line="360" w:lineRule="auto"/>
        <w:jc w:val="both"/>
        <w:rPr>
          <w:rFonts w:ascii="Arial" w:eastAsia="Calibri" w:hAnsi="Arial" w:cs="Arial"/>
        </w:rPr>
      </w:pPr>
      <w:r>
        <w:rPr>
          <w:rFonts w:ascii="Arial" w:eastAsia="Calibri" w:hAnsi="Arial" w:cs="Arial"/>
        </w:rPr>
        <w:lastRenderedPageBreak/>
        <w:t>10</w:t>
      </w:r>
      <w:r w:rsidR="00143C49" w:rsidRPr="00143C49">
        <w:rPr>
          <w:rFonts w:ascii="Arial" w:eastAsia="Calibri" w:hAnsi="Arial" w:cs="Arial"/>
        </w:rPr>
        <w:t xml:space="preserve">) VÁZQUEZ, Alberto. </w:t>
      </w:r>
    </w:p>
    <w:p w:rsidR="00143C49" w:rsidRDefault="00143C49" w:rsidP="00143C49">
      <w:pPr>
        <w:jc w:val="both"/>
        <w:rPr>
          <w:rFonts w:ascii="Arial" w:eastAsia="Calibri" w:hAnsi="Arial" w:cs="Arial"/>
        </w:rPr>
      </w:pPr>
      <w:r w:rsidRPr="00143C49">
        <w:rPr>
          <w:rFonts w:ascii="Arial" w:eastAsia="Calibri" w:hAnsi="Arial" w:cs="Arial"/>
        </w:rPr>
        <w:t>2011                 “Derechos Reales”  Lima: San Marcos.</w:t>
      </w:r>
    </w:p>
    <w:p w:rsidR="00143C49" w:rsidRDefault="00CB14F7" w:rsidP="00143C49">
      <w:pPr>
        <w:jc w:val="both"/>
        <w:rPr>
          <w:rFonts w:ascii="Arial" w:eastAsia="Calibri" w:hAnsi="Arial" w:cs="Arial"/>
        </w:rPr>
      </w:pPr>
      <w:r>
        <w:rPr>
          <w:rFonts w:ascii="Arial" w:eastAsia="Calibri" w:hAnsi="Arial" w:cs="Arial"/>
        </w:rPr>
        <w:t>11</w:t>
      </w:r>
      <w:r w:rsidR="00143C49">
        <w:rPr>
          <w:rFonts w:ascii="Arial" w:eastAsia="Calibri" w:hAnsi="Arial" w:cs="Arial"/>
        </w:rPr>
        <w:t>) VIDAL, Ramos.</w:t>
      </w:r>
    </w:p>
    <w:p w:rsidR="00143C49" w:rsidRPr="00143C49" w:rsidRDefault="00183C12" w:rsidP="00143C49">
      <w:pPr>
        <w:jc w:val="both"/>
        <w:rPr>
          <w:rFonts w:ascii="Arial" w:hAnsi="Arial" w:cs="Arial"/>
        </w:rPr>
      </w:pPr>
      <w:r>
        <w:rPr>
          <w:rFonts w:ascii="Arial" w:hAnsi="Arial" w:cs="Arial"/>
        </w:rPr>
        <w:t xml:space="preserve">      “El Sistema de transferencia de la propiedad inmueble en el derecho civil peruano” </w:t>
      </w:r>
      <w:r w:rsidRPr="00183C12">
        <w:rPr>
          <w:rFonts w:ascii="Arial" w:hAnsi="Arial" w:cs="Arial"/>
          <w:i/>
        </w:rPr>
        <w:t>Revista Jurídica SSIAS</w:t>
      </w:r>
      <w:r>
        <w:rPr>
          <w:rFonts w:ascii="Arial" w:hAnsi="Arial" w:cs="Arial"/>
        </w:rPr>
        <w:t>. Pimentel, 2011, nº4, pp. 1-38.</w:t>
      </w:r>
    </w:p>
    <w:p w:rsidR="00CA0A2E" w:rsidRPr="00CA0A2E" w:rsidRDefault="00143C49" w:rsidP="00FB5D70">
      <w:pPr>
        <w:jc w:val="both"/>
        <w:rPr>
          <w:rFonts w:ascii="Arial" w:hAnsi="Arial" w:cs="Arial"/>
        </w:rPr>
      </w:pPr>
      <w:r>
        <w:rPr>
          <w:rFonts w:ascii="Arial" w:hAnsi="Arial" w:cs="Arial"/>
        </w:rPr>
        <w:t xml:space="preserve"> </w:t>
      </w:r>
    </w:p>
    <w:sectPr w:rsidR="00CA0A2E" w:rsidRPr="00CA0A2E" w:rsidSect="00E42DD2">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657" w:rsidRDefault="00DC2657" w:rsidP="00DA1023">
      <w:pPr>
        <w:spacing w:after="0" w:line="240" w:lineRule="auto"/>
      </w:pPr>
      <w:r>
        <w:separator/>
      </w:r>
    </w:p>
  </w:endnote>
  <w:endnote w:type="continuationSeparator" w:id="1">
    <w:p w:rsidR="00DC2657" w:rsidRDefault="00DC2657" w:rsidP="00DA1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023" w:rsidRDefault="00DA10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657" w:rsidRDefault="00DC2657" w:rsidP="00DA1023">
      <w:pPr>
        <w:spacing w:after="0" w:line="240" w:lineRule="auto"/>
      </w:pPr>
      <w:r>
        <w:separator/>
      </w:r>
    </w:p>
  </w:footnote>
  <w:footnote w:type="continuationSeparator" w:id="1">
    <w:p w:rsidR="00DC2657" w:rsidRDefault="00DC2657" w:rsidP="00DA1023">
      <w:pPr>
        <w:spacing w:after="0" w:line="240" w:lineRule="auto"/>
      </w:pPr>
      <w:r>
        <w:continuationSeparator/>
      </w:r>
    </w:p>
  </w:footnote>
  <w:footnote w:id="2">
    <w:p w:rsidR="00D2373A" w:rsidRDefault="00D2373A">
      <w:pPr>
        <w:pStyle w:val="Textonotapie"/>
      </w:pPr>
      <w:r>
        <w:rPr>
          <w:rStyle w:val="Refdenotaalpie"/>
        </w:rPr>
        <w:footnoteRef/>
      </w:r>
      <w:r w:rsidR="000D2B26">
        <w:t xml:space="preserve"> MEJORADA, Martin (“8”</w:t>
      </w:r>
      <w:r w:rsidR="00CB14F7">
        <w:t>: 129</w:t>
      </w:r>
      <w:r>
        <w:t xml:space="preserve">). </w:t>
      </w:r>
    </w:p>
  </w:footnote>
  <w:footnote w:id="3">
    <w:p w:rsidR="00D2373A" w:rsidRDefault="00D2373A">
      <w:pPr>
        <w:pStyle w:val="Textonotapie"/>
      </w:pPr>
      <w:r>
        <w:rPr>
          <w:rStyle w:val="Refdenotaalpie"/>
        </w:rPr>
        <w:footnoteRef/>
      </w:r>
      <w:r w:rsidR="000D2B26">
        <w:t xml:space="preserve"> Ídem (“8”</w:t>
      </w:r>
      <w:r w:rsidR="00CB14F7">
        <w:t>: 130</w:t>
      </w:r>
      <w:r>
        <w:t xml:space="preserve">). </w:t>
      </w:r>
    </w:p>
  </w:footnote>
  <w:footnote w:id="4">
    <w:p w:rsidR="003D4D7F" w:rsidRDefault="003D4D7F" w:rsidP="003D4D7F">
      <w:pPr>
        <w:pStyle w:val="Textonotapie"/>
      </w:pPr>
      <w:r>
        <w:rPr>
          <w:rStyle w:val="Refdenotaalpie"/>
        </w:rPr>
        <w:footnoteRef/>
      </w:r>
      <w:r>
        <w:t xml:space="preserve"> Código Civil, artículo 923.</w:t>
      </w:r>
    </w:p>
  </w:footnote>
  <w:footnote w:id="5">
    <w:p w:rsidR="00DA1023" w:rsidRDefault="00DA1023">
      <w:pPr>
        <w:pStyle w:val="Textonotapie"/>
      </w:pPr>
      <w:r>
        <w:rPr>
          <w:rStyle w:val="Refdenotaalpie"/>
        </w:rPr>
        <w:footnoteRef/>
      </w:r>
      <w:r>
        <w:t xml:space="preserve"> </w:t>
      </w:r>
      <w:r w:rsidR="000D2B26">
        <w:t>VÁZQUEZ, Alberto (“10”</w:t>
      </w:r>
      <w:r w:rsidR="00A44BEA">
        <w:t xml:space="preserve">: 269). </w:t>
      </w:r>
    </w:p>
  </w:footnote>
  <w:footnote w:id="6">
    <w:p w:rsidR="006F5389" w:rsidRDefault="006F5389">
      <w:pPr>
        <w:pStyle w:val="Textonotapie"/>
      </w:pPr>
      <w:r>
        <w:rPr>
          <w:rStyle w:val="Refdenotaalpie"/>
        </w:rPr>
        <w:footnoteRef/>
      </w:r>
      <w:r>
        <w:t xml:space="preserve"> </w:t>
      </w:r>
      <w:r w:rsidR="00A44BEA">
        <w:t xml:space="preserve">BULLARD, </w:t>
      </w:r>
      <w:r w:rsidR="000D2B26">
        <w:t>Alfredo (“3”</w:t>
      </w:r>
      <w:r w:rsidR="00A44BEA">
        <w:t>: 137).</w:t>
      </w:r>
    </w:p>
  </w:footnote>
  <w:footnote w:id="7">
    <w:p w:rsidR="00895732" w:rsidRDefault="00895732">
      <w:pPr>
        <w:pStyle w:val="Textonotapie"/>
      </w:pPr>
      <w:r>
        <w:rPr>
          <w:rStyle w:val="Refdenotaalpie"/>
        </w:rPr>
        <w:footnoteRef/>
      </w:r>
      <w:r>
        <w:t xml:space="preserve"> </w:t>
      </w:r>
      <w:r w:rsidR="000D2B26">
        <w:t>MEJORADA, (“7”</w:t>
      </w:r>
      <w:r w:rsidR="00CB14F7">
        <w:t>:115</w:t>
      </w:r>
      <w:r>
        <w:t>)</w:t>
      </w:r>
    </w:p>
  </w:footnote>
  <w:footnote w:id="8">
    <w:p w:rsidR="000D6A95" w:rsidRDefault="000D6A95">
      <w:pPr>
        <w:pStyle w:val="Textonotapie"/>
      </w:pPr>
      <w:r>
        <w:rPr>
          <w:rStyle w:val="Refdenotaalpie"/>
        </w:rPr>
        <w:footnoteRef/>
      </w:r>
      <w:r w:rsidR="000D2B26">
        <w:t xml:space="preserve"> CASTILLO, </w:t>
      </w:r>
      <w:r w:rsidR="00303090">
        <w:t>Mario (</w:t>
      </w:r>
      <w:r w:rsidR="000D2B26">
        <w:t>“4”</w:t>
      </w:r>
      <w:r w:rsidR="00A44BEA">
        <w:t>: 12).</w:t>
      </w:r>
    </w:p>
  </w:footnote>
  <w:footnote w:id="9">
    <w:p w:rsidR="00FA4822" w:rsidRDefault="00FA4822">
      <w:pPr>
        <w:pStyle w:val="Textonotapie"/>
      </w:pPr>
      <w:r>
        <w:rPr>
          <w:rStyle w:val="Refdenotaalpie"/>
        </w:rPr>
        <w:footnoteRef/>
      </w:r>
      <w:r w:rsidR="000D2B26">
        <w:t xml:space="preserve"> RAMIREZ, </w:t>
      </w:r>
      <w:r w:rsidR="00303090">
        <w:t>Eugenio (</w:t>
      </w:r>
      <w:r w:rsidR="000D2B26">
        <w:t>“9”</w:t>
      </w:r>
      <w:r w:rsidR="00A44BEA">
        <w:t>: 108)</w:t>
      </w:r>
      <w:r>
        <w:t>.</w:t>
      </w:r>
    </w:p>
  </w:footnote>
  <w:footnote w:id="10">
    <w:p w:rsidR="00FA4822" w:rsidRDefault="00FA4822">
      <w:pPr>
        <w:pStyle w:val="Textonotapie"/>
      </w:pPr>
      <w:r>
        <w:rPr>
          <w:rStyle w:val="Refdenotaalpie"/>
        </w:rPr>
        <w:footnoteRef/>
      </w:r>
      <w:r w:rsidR="000D2B26">
        <w:t xml:space="preserve"> </w:t>
      </w:r>
      <w:r w:rsidR="00303090">
        <w:t>Ídem (</w:t>
      </w:r>
      <w:r w:rsidR="000D2B26">
        <w:t>“9”</w:t>
      </w:r>
      <w:r w:rsidR="00A44BEA">
        <w:t>: 109)</w:t>
      </w:r>
      <w:r>
        <w:t>.</w:t>
      </w:r>
    </w:p>
  </w:footnote>
  <w:footnote w:id="11">
    <w:p w:rsidR="00FA4822" w:rsidRDefault="00FA4822">
      <w:pPr>
        <w:pStyle w:val="Textonotapie"/>
      </w:pPr>
      <w:r>
        <w:rPr>
          <w:rStyle w:val="Refdenotaalpie"/>
        </w:rPr>
        <w:footnoteRef/>
      </w:r>
      <w:r w:rsidR="000D2B26">
        <w:t xml:space="preserve"> </w:t>
      </w:r>
      <w:r w:rsidR="00303090">
        <w:t>Ídem (</w:t>
      </w:r>
      <w:r w:rsidR="000D2B26">
        <w:t>“9”</w:t>
      </w:r>
      <w:r w:rsidR="00A44BEA">
        <w:t>:</w:t>
      </w:r>
      <w:r>
        <w:t xml:space="preserve"> 111</w:t>
      </w:r>
      <w:r w:rsidR="00A44BEA">
        <w:t>)</w:t>
      </w:r>
      <w:r>
        <w:t>.</w:t>
      </w:r>
    </w:p>
  </w:footnote>
  <w:footnote w:id="12">
    <w:p w:rsidR="004D15CE" w:rsidRDefault="004D15CE">
      <w:pPr>
        <w:pStyle w:val="Textonotapie"/>
      </w:pPr>
      <w:r>
        <w:rPr>
          <w:rStyle w:val="Refdenotaalpie"/>
        </w:rPr>
        <w:footnoteRef/>
      </w:r>
      <w:r w:rsidR="000D2B26">
        <w:t xml:space="preserve"> AVENDAÑO, </w:t>
      </w:r>
      <w:r w:rsidR="00303090">
        <w:t>Francisco (</w:t>
      </w:r>
      <w:r w:rsidR="000D2B26">
        <w:t>“2”</w:t>
      </w:r>
      <w:r w:rsidR="00A44BEA">
        <w:t>:</w:t>
      </w:r>
      <w:r>
        <w:t xml:space="preserve"> 1123</w:t>
      </w:r>
      <w:r w:rsidR="00A44BEA">
        <w:t>)</w:t>
      </w:r>
      <w:r>
        <w:t>.</w:t>
      </w:r>
    </w:p>
  </w:footnote>
  <w:footnote w:id="13">
    <w:p w:rsidR="00C973C9" w:rsidRDefault="00C973C9">
      <w:pPr>
        <w:pStyle w:val="Textonotapie"/>
      </w:pPr>
      <w:r>
        <w:rPr>
          <w:rStyle w:val="Refdenotaalpie"/>
        </w:rPr>
        <w:footnoteRef/>
      </w:r>
      <w:r>
        <w:t xml:space="preserve"> </w:t>
      </w:r>
      <w:r w:rsidR="000D2B26">
        <w:t>Óp. cit. (“3”</w:t>
      </w:r>
      <w:r w:rsidR="00DD5C6D">
        <w:t>:</w:t>
      </w:r>
      <w:r w:rsidR="00513BBE">
        <w:t xml:space="preserve"> 138</w:t>
      </w:r>
      <w:r w:rsidR="00DD5C6D">
        <w:t>)</w:t>
      </w:r>
      <w:r w:rsidR="00513BBE">
        <w:t>.</w:t>
      </w:r>
    </w:p>
  </w:footnote>
  <w:footnote w:id="14">
    <w:p w:rsidR="00B85D52" w:rsidRDefault="00B85D52">
      <w:pPr>
        <w:pStyle w:val="Textonotapie"/>
      </w:pPr>
      <w:r>
        <w:rPr>
          <w:rStyle w:val="Refdenotaalpie"/>
        </w:rPr>
        <w:footnoteRef/>
      </w:r>
      <w:r w:rsidR="00303090">
        <w:t xml:space="preserve"> Óp. cit. (“9”</w:t>
      </w:r>
      <w:r w:rsidR="00DD5C6D">
        <w:t>:</w:t>
      </w:r>
      <w:r>
        <w:t xml:space="preserve"> 112</w:t>
      </w:r>
      <w:r w:rsidR="00DD5C6D">
        <w:t>)</w:t>
      </w:r>
      <w:r>
        <w:t>.</w:t>
      </w:r>
    </w:p>
  </w:footnote>
  <w:footnote w:id="15">
    <w:p w:rsidR="00E63AB9" w:rsidRDefault="00E63AB9">
      <w:pPr>
        <w:pStyle w:val="Textonotapie"/>
      </w:pPr>
      <w:r>
        <w:rPr>
          <w:rStyle w:val="Refdenotaalpie"/>
        </w:rPr>
        <w:footnoteRef/>
      </w:r>
      <w:r w:rsidR="00303090">
        <w:t xml:space="preserve"> Óp. cit. (“4”</w:t>
      </w:r>
      <w:r w:rsidR="00DD5C6D">
        <w:t xml:space="preserve">: </w:t>
      </w:r>
      <w:r>
        <w:t>27</w:t>
      </w:r>
      <w:r w:rsidR="00DD5C6D">
        <w:t>)</w:t>
      </w:r>
      <w:r>
        <w:t xml:space="preserve">. </w:t>
      </w:r>
    </w:p>
  </w:footnote>
  <w:footnote w:id="16">
    <w:p w:rsidR="00E333F0" w:rsidRDefault="00E333F0">
      <w:pPr>
        <w:pStyle w:val="Textonotapie"/>
      </w:pPr>
      <w:r>
        <w:rPr>
          <w:rStyle w:val="Refdenotaalpie"/>
        </w:rPr>
        <w:footnoteRef/>
      </w:r>
      <w:r w:rsidR="00303090">
        <w:t xml:space="preserve"> Óp. cit. (“4”</w:t>
      </w:r>
      <w:r w:rsidR="00DD5C6D">
        <w:t>:</w:t>
      </w:r>
      <w:r>
        <w:t xml:space="preserve"> 28</w:t>
      </w:r>
      <w:r w:rsidR="00DD5C6D">
        <w:t>)</w:t>
      </w:r>
      <w:r>
        <w:t xml:space="preserve">. </w:t>
      </w:r>
    </w:p>
  </w:footnote>
  <w:footnote w:id="17">
    <w:p w:rsidR="00E333F0" w:rsidRDefault="00E333F0">
      <w:pPr>
        <w:pStyle w:val="Textonotapie"/>
      </w:pPr>
      <w:r>
        <w:rPr>
          <w:rStyle w:val="Refdenotaalpie"/>
        </w:rPr>
        <w:footnoteRef/>
      </w:r>
      <w:r w:rsidR="00303090">
        <w:t xml:space="preserve"> Óp. cit. (“4”</w:t>
      </w:r>
      <w:r w:rsidR="00DD5C6D">
        <w:t>:</w:t>
      </w:r>
      <w:r>
        <w:t xml:space="preserve"> 31</w:t>
      </w:r>
      <w:r w:rsidR="00DD5C6D">
        <w:t>)</w:t>
      </w:r>
      <w:r>
        <w:t>.</w:t>
      </w:r>
    </w:p>
  </w:footnote>
  <w:footnote w:id="18">
    <w:p w:rsidR="009B63F5" w:rsidRDefault="009B63F5">
      <w:pPr>
        <w:pStyle w:val="Textonotapie"/>
      </w:pPr>
      <w:r>
        <w:rPr>
          <w:rStyle w:val="Refdenotaalpie"/>
        </w:rPr>
        <w:footnoteRef/>
      </w:r>
      <w:r>
        <w:t xml:space="preserve"> Art. 886 del código civil</w:t>
      </w:r>
      <w:r w:rsidR="00A23663">
        <w:t>.</w:t>
      </w:r>
      <w:r>
        <w:t xml:space="preserve"> </w:t>
      </w:r>
    </w:p>
  </w:footnote>
  <w:footnote w:id="19">
    <w:p w:rsidR="009B63F5" w:rsidRDefault="009B63F5">
      <w:pPr>
        <w:pStyle w:val="Textonotapie"/>
      </w:pPr>
      <w:r>
        <w:rPr>
          <w:rStyle w:val="Refdenotaalpie"/>
        </w:rPr>
        <w:footnoteRef/>
      </w:r>
      <w:r>
        <w:t xml:space="preserve"> Art. 885 del código civil. </w:t>
      </w:r>
    </w:p>
  </w:footnote>
  <w:footnote w:id="20">
    <w:p w:rsidR="00B70B9C" w:rsidRDefault="00B70B9C">
      <w:pPr>
        <w:pStyle w:val="Textonotapie"/>
      </w:pPr>
      <w:r>
        <w:rPr>
          <w:rStyle w:val="Refdenotaalpie"/>
        </w:rPr>
        <w:footnoteRef/>
      </w:r>
      <w:r w:rsidR="000A73A1">
        <w:t xml:space="preserve"> Óp. cit. </w:t>
      </w:r>
      <w:r w:rsidR="00303090">
        <w:t>(“3”</w:t>
      </w:r>
      <w:r w:rsidR="00DD5C6D">
        <w:t>:</w:t>
      </w:r>
      <w:r>
        <w:t xml:space="preserve"> 146</w:t>
      </w:r>
      <w:r w:rsidR="00DD5C6D">
        <w:t>)</w:t>
      </w:r>
      <w:r>
        <w:t xml:space="preserve">. </w:t>
      </w:r>
    </w:p>
  </w:footnote>
  <w:footnote w:id="21">
    <w:p w:rsidR="00A23663" w:rsidRDefault="00A23663">
      <w:pPr>
        <w:pStyle w:val="Textonotapie"/>
      </w:pPr>
      <w:r>
        <w:rPr>
          <w:rStyle w:val="Refdenotaalpie"/>
        </w:rPr>
        <w:footnoteRef/>
      </w:r>
      <w:r>
        <w:t xml:space="preserve"> Art. 949 del código civil.</w:t>
      </w:r>
    </w:p>
  </w:footnote>
  <w:footnote w:id="22">
    <w:p w:rsidR="00BD6610" w:rsidRDefault="00BD6610">
      <w:pPr>
        <w:pStyle w:val="Textonotapie"/>
      </w:pPr>
      <w:r>
        <w:rPr>
          <w:rStyle w:val="Refdenotaalpie"/>
        </w:rPr>
        <w:footnoteRef/>
      </w:r>
      <w:r w:rsidR="000A73A1">
        <w:t xml:space="preserve"> Óp. cit. </w:t>
      </w:r>
      <w:r w:rsidR="00303090">
        <w:t>(“3”</w:t>
      </w:r>
      <w:r w:rsidR="00DD5C6D">
        <w:t>:</w:t>
      </w:r>
      <w:r>
        <w:t xml:space="preserve"> 140</w:t>
      </w:r>
      <w:r w:rsidR="00DD5C6D">
        <w:t>)</w:t>
      </w:r>
      <w:r>
        <w:t xml:space="preserve">. </w:t>
      </w:r>
    </w:p>
  </w:footnote>
  <w:footnote w:id="23">
    <w:p w:rsidR="00C2768F" w:rsidRDefault="00C2768F">
      <w:pPr>
        <w:pStyle w:val="Textonotapie"/>
      </w:pPr>
      <w:r>
        <w:rPr>
          <w:rStyle w:val="Refdenotaalpie"/>
        </w:rPr>
        <w:footnoteRef/>
      </w:r>
      <w:r w:rsidR="00303090">
        <w:t xml:space="preserve"> FERNANDEZ, </w:t>
      </w:r>
      <w:r w:rsidR="000A73A1">
        <w:t>Gastón (</w:t>
      </w:r>
      <w:r w:rsidR="00303090">
        <w:t>“6”</w:t>
      </w:r>
      <w:r w:rsidR="00DD5C6D">
        <w:t>:</w:t>
      </w:r>
      <w:r>
        <w:t xml:space="preserve"> 153</w:t>
      </w:r>
      <w:r w:rsidR="00DD5C6D">
        <w:t>)</w:t>
      </w:r>
      <w:r>
        <w:t xml:space="preserve">. </w:t>
      </w:r>
    </w:p>
  </w:footnote>
  <w:footnote w:id="24">
    <w:p w:rsidR="00C51FD8" w:rsidRDefault="00C51FD8">
      <w:pPr>
        <w:pStyle w:val="Textonotapie"/>
      </w:pPr>
      <w:r>
        <w:rPr>
          <w:rStyle w:val="Refdenotaalpie"/>
        </w:rPr>
        <w:footnoteRef/>
      </w:r>
      <w:r>
        <w:t xml:space="preserve"> </w:t>
      </w:r>
      <w:r w:rsidR="000A73A1">
        <w:t xml:space="preserve">Ibídem </w:t>
      </w:r>
      <w:r w:rsidR="00303090">
        <w:t>(“6”</w:t>
      </w:r>
      <w:r w:rsidR="00DD5C6D">
        <w:t>: 153)</w:t>
      </w:r>
      <w:r>
        <w:t xml:space="preserve">. </w:t>
      </w:r>
    </w:p>
  </w:footnote>
  <w:footnote w:id="25">
    <w:p w:rsidR="00E50D86" w:rsidRDefault="00E50D86">
      <w:pPr>
        <w:pStyle w:val="Textonotapie"/>
      </w:pPr>
      <w:r>
        <w:rPr>
          <w:rStyle w:val="Refdenotaalpie"/>
        </w:rPr>
        <w:footnoteRef/>
      </w:r>
      <w:r w:rsidR="000C7B5E">
        <w:t xml:space="preserve"> ANCAJIMA</w:t>
      </w:r>
      <w:r>
        <w:t>,</w:t>
      </w:r>
      <w:r w:rsidR="00303090">
        <w:t xml:space="preserve"> Javier (“1”: s/p)</w:t>
      </w:r>
      <w:r w:rsidR="000C7B5E">
        <w:t>.</w:t>
      </w:r>
    </w:p>
  </w:footnote>
  <w:footnote w:id="26">
    <w:p w:rsidR="002B6C4B" w:rsidRDefault="002B6C4B">
      <w:pPr>
        <w:pStyle w:val="Textonotapie"/>
      </w:pPr>
      <w:r>
        <w:rPr>
          <w:rStyle w:val="Refdenotaalpie"/>
        </w:rPr>
        <w:footnoteRef/>
      </w:r>
      <w:r w:rsidR="000A73A1">
        <w:t xml:space="preserve"> Óp. cit. </w:t>
      </w:r>
      <w:r w:rsidR="00303090">
        <w:t>(“2”</w:t>
      </w:r>
      <w:r w:rsidR="000C7B5E">
        <w:t>: 1125).</w:t>
      </w:r>
    </w:p>
  </w:footnote>
  <w:footnote w:id="27">
    <w:p w:rsidR="00454A95" w:rsidRDefault="00454A95" w:rsidP="00454A95">
      <w:pPr>
        <w:pStyle w:val="Textonotapie"/>
      </w:pPr>
      <w:r>
        <w:rPr>
          <w:rStyle w:val="Refdenotaalpie"/>
        </w:rPr>
        <w:footnoteRef/>
      </w:r>
      <w:r w:rsidR="000A73A1">
        <w:t xml:space="preserve"> Óp. cit. </w:t>
      </w:r>
      <w:r w:rsidR="00303090">
        <w:t>(“3”</w:t>
      </w:r>
      <w:r>
        <w:t xml:space="preserve">: 141). </w:t>
      </w:r>
    </w:p>
  </w:footnote>
  <w:footnote w:id="28">
    <w:p w:rsidR="00454A95" w:rsidRDefault="00454A95" w:rsidP="00454A95">
      <w:pPr>
        <w:pStyle w:val="Textonotapie"/>
      </w:pPr>
      <w:r>
        <w:rPr>
          <w:rStyle w:val="Refdenotaalpie"/>
        </w:rPr>
        <w:footnoteRef/>
      </w:r>
      <w:r w:rsidR="000A73A1">
        <w:t xml:space="preserve"> Óp. cit. </w:t>
      </w:r>
      <w:r w:rsidR="00303090">
        <w:t>(“3”</w:t>
      </w:r>
      <w:r>
        <w:t xml:space="preserve">: 150). </w:t>
      </w:r>
    </w:p>
  </w:footnote>
  <w:footnote w:id="29">
    <w:p w:rsidR="00CA5E9C" w:rsidRDefault="00CA5E9C">
      <w:pPr>
        <w:pStyle w:val="Textonotapie"/>
      </w:pPr>
      <w:r>
        <w:rPr>
          <w:rStyle w:val="Refdenotaalpie"/>
        </w:rPr>
        <w:footnoteRef/>
      </w:r>
      <w:r>
        <w:t xml:space="preserve"> </w:t>
      </w:r>
      <w:r w:rsidR="00BA7E94">
        <w:t xml:space="preserve">Art. 1135 del código civil. </w:t>
      </w:r>
    </w:p>
  </w:footnote>
  <w:footnote w:id="30">
    <w:p w:rsidR="00E97810" w:rsidRDefault="00E97810">
      <w:pPr>
        <w:pStyle w:val="Textonotapie"/>
      </w:pPr>
      <w:r>
        <w:rPr>
          <w:rStyle w:val="Refdenotaalpie"/>
        </w:rPr>
        <w:footnoteRef/>
      </w:r>
      <w:r w:rsidR="00303090">
        <w:t xml:space="preserve"> CANTUARIAS, </w:t>
      </w:r>
      <w:r w:rsidR="000A73A1">
        <w:t>Fernando (</w:t>
      </w:r>
      <w:r w:rsidR="00303090">
        <w:t>“5”</w:t>
      </w:r>
      <w:r w:rsidR="000C7B5E">
        <w:t>: 117)</w:t>
      </w:r>
      <w:r>
        <w:t xml:space="preserve">. </w:t>
      </w:r>
    </w:p>
  </w:footnote>
  <w:footnote w:id="31">
    <w:p w:rsidR="007E6A4D" w:rsidRDefault="007E6A4D">
      <w:pPr>
        <w:pStyle w:val="Textonotapie"/>
      </w:pPr>
      <w:r>
        <w:rPr>
          <w:rStyle w:val="Refdenotaalpie"/>
        </w:rPr>
        <w:footnoteRef/>
      </w:r>
      <w:r w:rsidR="000A73A1">
        <w:t xml:space="preserve"> Óp. cit.</w:t>
      </w:r>
      <w:r w:rsidR="00303090">
        <w:t>(“3”</w:t>
      </w:r>
      <w:r w:rsidR="000C7B5E">
        <w:t>:</w:t>
      </w:r>
      <w:r>
        <w:t xml:space="preserve"> 148</w:t>
      </w:r>
      <w:r w:rsidR="000C7B5E">
        <w:t>)</w:t>
      </w:r>
      <w:r>
        <w:t xml:space="preserve">. </w:t>
      </w:r>
    </w:p>
  </w:footnote>
  <w:footnote w:id="32">
    <w:p w:rsidR="003A1476" w:rsidRDefault="003A1476">
      <w:pPr>
        <w:pStyle w:val="Textonotapie"/>
      </w:pPr>
      <w:r>
        <w:rPr>
          <w:rStyle w:val="Refdenotaalpie"/>
        </w:rPr>
        <w:footnoteRef/>
      </w:r>
      <w:r w:rsidR="000A73A1">
        <w:t xml:space="preserve"> Óp. cit. </w:t>
      </w:r>
      <w:r w:rsidR="00303090">
        <w:t>(“1”</w:t>
      </w:r>
      <w:r w:rsidR="00F6568A">
        <w:t>:</w:t>
      </w:r>
      <w:r w:rsidR="00303090">
        <w:t xml:space="preserve"> s/p</w:t>
      </w:r>
      <w:r w:rsidR="00F6568A">
        <w:t xml:space="preserve">) </w:t>
      </w:r>
    </w:p>
  </w:footnote>
  <w:footnote w:id="33">
    <w:p w:rsidR="003A1476" w:rsidRDefault="003A1476">
      <w:pPr>
        <w:pStyle w:val="Textonotapie"/>
      </w:pPr>
      <w:r>
        <w:rPr>
          <w:rStyle w:val="Refdenotaalpie"/>
        </w:rPr>
        <w:footnoteRef/>
      </w:r>
      <w:r w:rsidR="000A73A1">
        <w:t xml:space="preserve"> Óp. cit.</w:t>
      </w:r>
      <w:r w:rsidR="00303090">
        <w:t xml:space="preserve"> (“1”: s/p</w:t>
      </w:r>
      <w:r w:rsidR="00F6568A">
        <w:t xml:space="preserve"> )</w:t>
      </w:r>
    </w:p>
  </w:footnote>
  <w:footnote w:id="34">
    <w:p w:rsidR="00AE120A" w:rsidRDefault="00AE120A">
      <w:pPr>
        <w:pStyle w:val="Textonotapie"/>
      </w:pPr>
      <w:r>
        <w:rPr>
          <w:rStyle w:val="Refdenotaalpie"/>
        </w:rPr>
        <w:footnoteRef/>
      </w:r>
      <w:r w:rsidR="000A73A1">
        <w:t xml:space="preserve"> Óp. cit. </w:t>
      </w:r>
      <w:r w:rsidR="00303090">
        <w:t>(“3”</w:t>
      </w:r>
      <w:r w:rsidR="00F6568A">
        <w:t>:</w:t>
      </w:r>
      <w:r>
        <w:t xml:space="preserve"> 155</w:t>
      </w:r>
      <w:r w:rsidR="00F6568A">
        <w:t>)</w:t>
      </w:r>
    </w:p>
  </w:footnote>
  <w:footnote w:id="35">
    <w:p w:rsidR="00CD2BED" w:rsidRDefault="00CD2BED">
      <w:pPr>
        <w:pStyle w:val="Textonotapie"/>
      </w:pPr>
      <w:r>
        <w:rPr>
          <w:rStyle w:val="Refdenotaalpie"/>
        </w:rPr>
        <w:footnoteRef/>
      </w:r>
      <w:r w:rsidR="00303090">
        <w:t xml:space="preserve"> VIDAL, </w:t>
      </w:r>
      <w:r w:rsidR="000A73A1">
        <w:t>Roger (</w:t>
      </w:r>
      <w:r w:rsidR="00303090">
        <w:t>“11”</w:t>
      </w:r>
      <w:r w:rsidR="00F6568A">
        <w:t>:</w:t>
      </w:r>
      <w:r>
        <w:t xml:space="preserve"> 8</w:t>
      </w:r>
      <w:r w:rsidR="00F6568A">
        <w:t>)</w:t>
      </w:r>
      <w:r>
        <w:t xml:space="preserve">. </w:t>
      </w:r>
    </w:p>
  </w:footnote>
  <w:footnote w:id="36">
    <w:p w:rsidR="00387C5D" w:rsidRDefault="00387C5D">
      <w:pPr>
        <w:pStyle w:val="Textonotapie"/>
      </w:pPr>
      <w:r>
        <w:rPr>
          <w:rStyle w:val="Refdenotaalpie"/>
        </w:rPr>
        <w:footnoteRef/>
      </w:r>
      <w:r w:rsidR="0021394A">
        <w:t xml:space="preserve"> Ibídem (</w:t>
      </w:r>
      <w:r w:rsidR="00303090">
        <w:t>“11”</w:t>
      </w:r>
      <w:r w:rsidR="00F6568A">
        <w:t>: 8).</w:t>
      </w:r>
    </w:p>
  </w:footnote>
  <w:footnote w:id="37">
    <w:p w:rsidR="00815500" w:rsidRDefault="00815500" w:rsidP="00815500">
      <w:pPr>
        <w:pStyle w:val="Textonotapie"/>
      </w:pPr>
      <w:r>
        <w:rPr>
          <w:rStyle w:val="Refdenotaalpie"/>
        </w:rPr>
        <w:footnoteRef/>
      </w:r>
      <w:r w:rsidR="0021394A">
        <w:t xml:space="preserve">  Óp. Cit.</w:t>
      </w:r>
      <w:r w:rsidR="00303090">
        <w:t>(“1”</w:t>
      </w:r>
      <w:r>
        <w:t>:</w:t>
      </w:r>
      <w:r w:rsidR="00303090">
        <w:t>s/p</w:t>
      </w:r>
      <w:r>
        <w:t xml:space="preserve"> ) </w:t>
      </w:r>
    </w:p>
  </w:footnote>
  <w:footnote w:id="38">
    <w:p w:rsidR="00864E2C" w:rsidRDefault="00864E2C">
      <w:pPr>
        <w:pStyle w:val="Textonotapie"/>
      </w:pPr>
      <w:r>
        <w:rPr>
          <w:rStyle w:val="Refdenotaalpie"/>
        </w:rPr>
        <w:footnoteRef/>
      </w:r>
      <w:r>
        <w:t xml:space="preserve"> </w:t>
      </w:r>
      <w:r w:rsidR="0021394A">
        <w:t xml:space="preserve">Óp.cit. </w:t>
      </w:r>
      <w:r w:rsidR="00303090">
        <w:t>(“6”</w:t>
      </w:r>
      <w:r w:rsidR="00F6568A">
        <w:t>: 159)</w:t>
      </w:r>
      <w:r w:rsidR="00780D84">
        <w:t xml:space="preserve">. </w:t>
      </w:r>
    </w:p>
  </w:footnote>
  <w:footnote w:id="39">
    <w:p w:rsidR="00155557" w:rsidRDefault="00155557">
      <w:pPr>
        <w:pStyle w:val="Textonotapie"/>
      </w:pPr>
      <w:r>
        <w:rPr>
          <w:rStyle w:val="Refdenotaalpie"/>
        </w:rPr>
        <w:footnoteRef/>
      </w:r>
      <w:r w:rsidR="0021394A">
        <w:t xml:space="preserve"> Óp. cit.</w:t>
      </w:r>
      <w:r w:rsidR="00303090">
        <w:t xml:space="preserve"> (“5”</w:t>
      </w:r>
      <w:r w:rsidR="00F6568A">
        <w:t>: 127).</w:t>
      </w:r>
    </w:p>
  </w:footnote>
  <w:footnote w:id="40">
    <w:p w:rsidR="00387C5D" w:rsidRDefault="00387C5D">
      <w:pPr>
        <w:pStyle w:val="Textonotapie"/>
      </w:pPr>
      <w:r>
        <w:rPr>
          <w:rStyle w:val="Refdenotaalpie"/>
        </w:rPr>
        <w:footnoteRef/>
      </w:r>
      <w:r>
        <w:t xml:space="preserve"> </w:t>
      </w:r>
      <w:r w:rsidR="0021394A">
        <w:t>Óp. cit.</w:t>
      </w:r>
      <w:r w:rsidR="00303090">
        <w:t>(“11”</w:t>
      </w:r>
      <w:r w:rsidR="00F6568A">
        <w:t>:</w:t>
      </w:r>
      <w:r w:rsidR="00BD6610">
        <w:t xml:space="preserve"> </w:t>
      </w:r>
      <w:r>
        <w:t>9</w:t>
      </w:r>
      <w:r w:rsidR="00F6568A">
        <w:t>)</w:t>
      </w:r>
    </w:p>
  </w:footnote>
  <w:footnote w:id="41">
    <w:p w:rsidR="000D43F9" w:rsidRDefault="000D43F9">
      <w:pPr>
        <w:pStyle w:val="Textonotapie"/>
      </w:pPr>
      <w:r>
        <w:rPr>
          <w:rStyle w:val="Refdenotaalpie"/>
        </w:rPr>
        <w:footnoteRef/>
      </w:r>
      <w:r>
        <w:t xml:space="preserve"> </w:t>
      </w:r>
      <w:r w:rsidR="0021394A">
        <w:t>Óp. cit.</w:t>
      </w:r>
      <w:r w:rsidR="00303090">
        <w:t>(“11”</w:t>
      </w:r>
      <w:r w:rsidR="00F6568A">
        <w:t>:</w:t>
      </w:r>
      <w:r w:rsidR="00BD6610">
        <w:t xml:space="preserve"> </w:t>
      </w:r>
      <w:r>
        <w:t>10</w:t>
      </w:r>
      <w:r w:rsidR="00F6568A">
        <w:t>)</w:t>
      </w:r>
    </w:p>
  </w:footnote>
  <w:footnote w:id="42">
    <w:p w:rsidR="00780D84" w:rsidRDefault="00780D84">
      <w:pPr>
        <w:pStyle w:val="Textonotapie"/>
      </w:pPr>
      <w:r>
        <w:rPr>
          <w:rStyle w:val="Refdenotaalpie"/>
        </w:rPr>
        <w:footnoteRef/>
      </w:r>
      <w:r w:rsidR="00F6568A">
        <w:t xml:space="preserve"> </w:t>
      </w:r>
      <w:r>
        <w:t xml:space="preserve"> </w:t>
      </w:r>
      <w:r w:rsidR="0021394A">
        <w:t xml:space="preserve">Óp. cit. </w:t>
      </w:r>
      <w:r w:rsidR="00303090">
        <w:t>(“6”</w:t>
      </w:r>
      <w:r w:rsidR="00F6568A">
        <w:t>: 160)</w:t>
      </w:r>
      <w:r>
        <w:t>.</w:t>
      </w:r>
    </w:p>
  </w:footnote>
  <w:footnote w:id="43">
    <w:p w:rsidR="00C9631D" w:rsidRDefault="00C9631D">
      <w:pPr>
        <w:pStyle w:val="Textonotapie"/>
      </w:pPr>
      <w:r>
        <w:rPr>
          <w:rStyle w:val="Refdenotaalpie"/>
        </w:rPr>
        <w:footnoteRef/>
      </w:r>
      <w:r>
        <w:t xml:space="preserve"> </w:t>
      </w:r>
      <w:r w:rsidR="0021394A">
        <w:t xml:space="preserve">Óp. cit. </w:t>
      </w:r>
      <w:r w:rsidR="00303090">
        <w:t>(“4”</w:t>
      </w:r>
      <w:r w:rsidR="00F6568A">
        <w:t>:</w:t>
      </w:r>
      <w:r>
        <w:t xml:space="preserve"> 63</w:t>
      </w:r>
      <w:r w:rsidR="00F6568A">
        <w:t>)</w:t>
      </w:r>
      <w:r>
        <w:t xml:space="preserve">. </w:t>
      </w:r>
    </w:p>
  </w:footnote>
  <w:footnote w:id="44">
    <w:p w:rsidR="004F4A27" w:rsidRDefault="004F4A27">
      <w:pPr>
        <w:pStyle w:val="Textonotapie"/>
      </w:pPr>
      <w:r>
        <w:rPr>
          <w:rStyle w:val="Refdenotaalpie"/>
        </w:rPr>
        <w:footnoteRef/>
      </w:r>
      <w:r w:rsidR="0021394A">
        <w:t xml:space="preserve"> Óp. cit. (</w:t>
      </w:r>
      <w:r w:rsidR="00303090">
        <w:t>“4”</w:t>
      </w:r>
      <w:r w:rsidR="00F6568A">
        <w:t>:</w:t>
      </w:r>
      <w:r>
        <w:t xml:space="preserve"> 63</w:t>
      </w:r>
      <w:r w:rsidR="00F6568A">
        <w:t>)</w:t>
      </w:r>
      <w:r>
        <w:t>.</w:t>
      </w:r>
    </w:p>
  </w:footnote>
  <w:footnote w:id="45">
    <w:p w:rsidR="004F4A27" w:rsidRDefault="004F4A27">
      <w:pPr>
        <w:pStyle w:val="Textonotapie"/>
      </w:pPr>
      <w:r>
        <w:rPr>
          <w:rStyle w:val="Refdenotaalpie"/>
        </w:rPr>
        <w:footnoteRef/>
      </w:r>
      <w:r w:rsidR="0021394A">
        <w:t xml:space="preserve"> Óp. cit. </w:t>
      </w:r>
      <w:r w:rsidR="00303090">
        <w:t>(“4”</w:t>
      </w:r>
      <w:r w:rsidR="00F6568A">
        <w:t>:</w:t>
      </w:r>
      <w:r>
        <w:t xml:space="preserve"> 64</w:t>
      </w:r>
      <w:r w:rsidR="00F6568A">
        <w:t>)</w:t>
      </w:r>
      <w:r>
        <w:t xml:space="preserve">. </w:t>
      </w:r>
    </w:p>
  </w:footnote>
  <w:footnote w:id="46">
    <w:p w:rsidR="009D61AD" w:rsidRDefault="009D61AD">
      <w:pPr>
        <w:pStyle w:val="Textonotapie"/>
      </w:pPr>
      <w:r>
        <w:rPr>
          <w:rStyle w:val="Refdenotaalpie"/>
        </w:rPr>
        <w:footnoteRef/>
      </w:r>
      <w:r w:rsidR="0021394A">
        <w:t xml:space="preserve"> Óp. cit. </w:t>
      </w:r>
      <w:r w:rsidR="00303090">
        <w:t>(“2”</w:t>
      </w:r>
      <w:r w:rsidR="00F6568A">
        <w:t>: 1132)</w:t>
      </w:r>
      <w:r>
        <w:t>.</w:t>
      </w:r>
    </w:p>
  </w:footnote>
  <w:footnote w:id="47">
    <w:p w:rsidR="009D61AD" w:rsidRDefault="009D61AD">
      <w:pPr>
        <w:pStyle w:val="Textonotapie"/>
      </w:pPr>
      <w:r>
        <w:rPr>
          <w:rStyle w:val="Refdenotaalpie"/>
        </w:rPr>
        <w:footnoteRef/>
      </w:r>
      <w:r>
        <w:t xml:space="preserve"> </w:t>
      </w:r>
      <w:r w:rsidR="0021394A">
        <w:t>Óp. cit. (</w:t>
      </w:r>
      <w:r w:rsidR="00303090">
        <w:t>“2”</w:t>
      </w:r>
      <w:r w:rsidR="00F6568A">
        <w:t>:</w:t>
      </w:r>
      <w:r>
        <w:t xml:space="preserve"> 1133</w:t>
      </w:r>
      <w:r w:rsidR="00F6568A">
        <w:t>)</w:t>
      </w:r>
      <w:r>
        <w:t>.</w:t>
      </w:r>
    </w:p>
  </w:footnote>
  <w:footnote w:id="48">
    <w:p w:rsidR="00C40CAC" w:rsidRDefault="00C40CAC">
      <w:pPr>
        <w:pStyle w:val="Textonotapie"/>
      </w:pPr>
      <w:r>
        <w:rPr>
          <w:rStyle w:val="Refdenotaalpie"/>
        </w:rPr>
        <w:footnoteRef/>
      </w:r>
      <w:r w:rsidR="0021394A">
        <w:t xml:space="preserve"> Óp. cit. (</w:t>
      </w:r>
      <w:r w:rsidR="00303090">
        <w:t>“5”</w:t>
      </w:r>
      <w:r w:rsidR="00F6568A">
        <w:t>:</w:t>
      </w:r>
      <w:r>
        <w:t xml:space="preserve"> 2</w:t>
      </w:r>
      <w:r w:rsidR="00F6568A">
        <w:t>).</w:t>
      </w:r>
    </w:p>
  </w:footnote>
  <w:footnote w:id="49">
    <w:p w:rsidR="007163A8" w:rsidRDefault="007163A8">
      <w:pPr>
        <w:pStyle w:val="Textonotapie"/>
      </w:pPr>
      <w:r>
        <w:rPr>
          <w:rStyle w:val="Refdenotaalpie"/>
        </w:rPr>
        <w:footnoteRef/>
      </w:r>
      <w:r w:rsidR="0021394A">
        <w:t xml:space="preserve"> Óp. cit. (</w:t>
      </w:r>
      <w:r w:rsidR="00303090">
        <w:t>“5”</w:t>
      </w:r>
      <w:r w:rsidR="00F6568A">
        <w:t>:</w:t>
      </w:r>
      <w:r>
        <w:t xml:space="preserve"> 4</w:t>
      </w:r>
      <w:r w:rsidR="00F6568A">
        <w:t>)</w:t>
      </w:r>
      <w:r>
        <w:t xml:space="preserve">. </w:t>
      </w:r>
    </w:p>
  </w:footnote>
  <w:footnote w:id="50">
    <w:p w:rsidR="000F49A0" w:rsidRDefault="000F49A0">
      <w:pPr>
        <w:pStyle w:val="Textonotapie"/>
      </w:pPr>
      <w:r>
        <w:rPr>
          <w:rStyle w:val="Refdenotaalpie"/>
        </w:rPr>
        <w:footnoteRef/>
      </w:r>
      <w:r w:rsidR="0021394A">
        <w:t xml:space="preserve"> Óp. cit. (</w:t>
      </w:r>
      <w:r w:rsidR="00303090">
        <w:t>“5”</w:t>
      </w:r>
      <w:r w:rsidR="00F6568A">
        <w:t>:</w:t>
      </w:r>
      <w:r>
        <w:t xml:space="preserve"> 6</w:t>
      </w:r>
      <w:r w:rsidR="00F6568A">
        <w:t>)</w:t>
      </w:r>
      <w:r>
        <w:t>.</w:t>
      </w:r>
    </w:p>
  </w:footnote>
  <w:footnote w:id="51">
    <w:p w:rsidR="004F07C8" w:rsidRDefault="004F07C8">
      <w:pPr>
        <w:pStyle w:val="Textonotapie"/>
      </w:pPr>
      <w:r>
        <w:rPr>
          <w:rStyle w:val="Refdenotaalpie"/>
        </w:rPr>
        <w:footnoteRef/>
      </w:r>
      <w:r w:rsidR="0021394A">
        <w:t xml:space="preserve"> Óp. cit. </w:t>
      </w:r>
      <w:r w:rsidR="00303090">
        <w:t>(“5”</w:t>
      </w:r>
      <w:r w:rsidR="00F6568A">
        <w:t>:</w:t>
      </w:r>
      <w:r>
        <w:t xml:space="preserve"> 7</w:t>
      </w:r>
      <w:r w:rsidR="00F6568A">
        <w:t>).</w:t>
      </w:r>
    </w:p>
  </w:footnote>
  <w:footnote w:id="52">
    <w:p w:rsidR="004F07C8" w:rsidRDefault="004F07C8">
      <w:pPr>
        <w:pStyle w:val="Textonotapie"/>
      </w:pPr>
      <w:r>
        <w:rPr>
          <w:rStyle w:val="Refdenotaalpie"/>
        </w:rPr>
        <w:footnoteRef/>
      </w:r>
      <w:r w:rsidR="0021394A">
        <w:t xml:space="preserve"> Óp. cit. </w:t>
      </w:r>
      <w:r w:rsidR="00303090">
        <w:t>(“5”</w:t>
      </w:r>
      <w:r w:rsidR="00F6568A">
        <w:t>:</w:t>
      </w:r>
      <w:r>
        <w:t xml:space="preserve"> 10</w:t>
      </w:r>
      <w:r w:rsidR="00F6568A">
        <w:t>).</w:t>
      </w:r>
    </w:p>
  </w:footnote>
  <w:footnote w:id="53">
    <w:p w:rsidR="00927C5A" w:rsidRDefault="00927C5A">
      <w:pPr>
        <w:pStyle w:val="Textonotapie"/>
      </w:pPr>
      <w:r>
        <w:rPr>
          <w:rStyle w:val="Refdenotaalpie"/>
        </w:rPr>
        <w:footnoteRef/>
      </w:r>
      <w:r w:rsidR="0021394A">
        <w:t xml:space="preserve"> Óp. cit. </w:t>
      </w:r>
      <w:r w:rsidR="00303090">
        <w:t>(“5”</w:t>
      </w:r>
      <w:r w:rsidR="00F6568A">
        <w:t>:</w:t>
      </w:r>
      <w:r>
        <w:t xml:space="preserve"> 11</w:t>
      </w:r>
      <w:r w:rsidR="00F6568A">
        <w:t>).</w:t>
      </w:r>
    </w:p>
  </w:footnote>
  <w:footnote w:id="54">
    <w:p w:rsidR="00927C5A" w:rsidRDefault="00927C5A">
      <w:pPr>
        <w:pStyle w:val="Textonotapie"/>
      </w:pPr>
      <w:r>
        <w:rPr>
          <w:rStyle w:val="Refdenotaalpie"/>
        </w:rPr>
        <w:footnoteRef/>
      </w:r>
      <w:r w:rsidR="0021394A">
        <w:t xml:space="preserve"> Óp. cit. </w:t>
      </w:r>
      <w:r w:rsidR="00303090">
        <w:t>(“5”</w:t>
      </w:r>
      <w:r w:rsidR="00FB5D70">
        <w:t>:</w:t>
      </w:r>
      <w:r>
        <w:t xml:space="preserve"> 12</w:t>
      </w:r>
      <w:r w:rsidR="00FB5D70">
        <w:t>).</w:t>
      </w:r>
    </w:p>
  </w:footnote>
  <w:footnote w:id="55">
    <w:p w:rsidR="00FA7CD5" w:rsidRDefault="00FA7CD5">
      <w:pPr>
        <w:pStyle w:val="Textonotapie"/>
      </w:pPr>
      <w:r>
        <w:rPr>
          <w:rStyle w:val="Refdenotaalpie"/>
        </w:rPr>
        <w:footnoteRef/>
      </w:r>
      <w:r w:rsidR="0021394A">
        <w:t xml:space="preserve"> Óp. cit. </w:t>
      </w:r>
      <w:r w:rsidR="00303090">
        <w:t>(“5”</w:t>
      </w:r>
      <w:r w:rsidR="00FB5D70">
        <w:t>:</w:t>
      </w:r>
      <w:r>
        <w:t xml:space="preserve"> 62</w:t>
      </w:r>
      <w:r w:rsidR="00FB5D70">
        <w:t>).</w:t>
      </w:r>
    </w:p>
  </w:footnote>
  <w:footnote w:id="56">
    <w:p w:rsidR="00494E16" w:rsidRDefault="00494E16">
      <w:pPr>
        <w:pStyle w:val="Textonotapie"/>
      </w:pPr>
      <w:r>
        <w:rPr>
          <w:rStyle w:val="Refdenotaalpie"/>
        </w:rPr>
        <w:footnoteRef/>
      </w:r>
      <w:r w:rsidR="0021394A">
        <w:t xml:space="preserve"> Óp. cit. </w:t>
      </w:r>
      <w:r w:rsidR="00303090">
        <w:t>(“5”</w:t>
      </w:r>
      <w:r w:rsidR="00FB5D70">
        <w:t>:</w:t>
      </w:r>
      <w:r>
        <w:t xml:space="preserve"> 65</w:t>
      </w:r>
      <w:r w:rsidR="00FB5D70">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43D"/>
    <w:multiLevelType w:val="multilevel"/>
    <w:tmpl w:val="CF64E42E"/>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DB1E78"/>
    <w:multiLevelType w:val="multilevel"/>
    <w:tmpl w:val="4F5AB134"/>
    <w:lvl w:ilvl="0">
      <w:start w:val="1"/>
      <w:numFmt w:val="decimal"/>
      <w:lvlText w:val="%1."/>
      <w:lvlJc w:val="left"/>
      <w:pPr>
        <w:ind w:left="615" w:hanging="61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736295F"/>
    <w:multiLevelType w:val="hybridMultilevel"/>
    <w:tmpl w:val="29E6BE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8065DD"/>
    <w:multiLevelType w:val="multilevel"/>
    <w:tmpl w:val="37DAFEB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A1023"/>
    <w:rsid w:val="000A73A1"/>
    <w:rsid w:val="000C7B5E"/>
    <w:rsid w:val="000D2B26"/>
    <w:rsid w:val="000D3A9C"/>
    <w:rsid w:val="000D43F9"/>
    <w:rsid w:val="000D6A95"/>
    <w:rsid w:val="000F49A0"/>
    <w:rsid w:val="00143C49"/>
    <w:rsid w:val="00155557"/>
    <w:rsid w:val="00180A91"/>
    <w:rsid w:val="00183C12"/>
    <w:rsid w:val="001956BF"/>
    <w:rsid w:val="001B627C"/>
    <w:rsid w:val="001C2138"/>
    <w:rsid w:val="0021394A"/>
    <w:rsid w:val="00220C61"/>
    <w:rsid w:val="00235F65"/>
    <w:rsid w:val="002862CF"/>
    <w:rsid w:val="00297BF9"/>
    <w:rsid w:val="002B6C4B"/>
    <w:rsid w:val="002E5218"/>
    <w:rsid w:val="00303090"/>
    <w:rsid w:val="00387C5D"/>
    <w:rsid w:val="003A1476"/>
    <w:rsid w:val="003D4D7F"/>
    <w:rsid w:val="0044421D"/>
    <w:rsid w:val="00454A95"/>
    <w:rsid w:val="00456FD5"/>
    <w:rsid w:val="00483B61"/>
    <w:rsid w:val="00494E16"/>
    <w:rsid w:val="004A4B2D"/>
    <w:rsid w:val="004B6F61"/>
    <w:rsid w:val="004C1EE7"/>
    <w:rsid w:val="004D15CE"/>
    <w:rsid w:val="004D1A79"/>
    <w:rsid w:val="004F07C8"/>
    <w:rsid w:val="004F4A27"/>
    <w:rsid w:val="00513BBE"/>
    <w:rsid w:val="0059712C"/>
    <w:rsid w:val="006029F9"/>
    <w:rsid w:val="006F51EB"/>
    <w:rsid w:val="006F5389"/>
    <w:rsid w:val="007163A8"/>
    <w:rsid w:val="00716C46"/>
    <w:rsid w:val="00780D84"/>
    <w:rsid w:val="007921BB"/>
    <w:rsid w:val="007E6A4D"/>
    <w:rsid w:val="00815500"/>
    <w:rsid w:val="00863ABA"/>
    <w:rsid w:val="00864E2C"/>
    <w:rsid w:val="0088708F"/>
    <w:rsid w:val="00895732"/>
    <w:rsid w:val="008D4434"/>
    <w:rsid w:val="00927C5A"/>
    <w:rsid w:val="009B63F5"/>
    <w:rsid w:val="009D61AD"/>
    <w:rsid w:val="00A13ED6"/>
    <w:rsid w:val="00A23663"/>
    <w:rsid w:val="00A44BEA"/>
    <w:rsid w:val="00A5381D"/>
    <w:rsid w:val="00A77168"/>
    <w:rsid w:val="00A848DD"/>
    <w:rsid w:val="00AC6CA6"/>
    <w:rsid w:val="00AE120A"/>
    <w:rsid w:val="00B3379B"/>
    <w:rsid w:val="00B70B9C"/>
    <w:rsid w:val="00B821FF"/>
    <w:rsid w:val="00B85D52"/>
    <w:rsid w:val="00BA7E94"/>
    <w:rsid w:val="00BD6610"/>
    <w:rsid w:val="00C01D9C"/>
    <w:rsid w:val="00C2768F"/>
    <w:rsid w:val="00C3709A"/>
    <w:rsid w:val="00C40CAC"/>
    <w:rsid w:val="00C51FD8"/>
    <w:rsid w:val="00C621BF"/>
    <w:rsid w:val="00C9631D"/>
    <w:rsid w:val="00C973C9"/>
    <w:rsid w:val="00CA0A2E"/>
    <w:rsid w:val="00CA5E9C"/>
    <w:rsid w:val="00CB14F7"/>
    <w:rsid w:val="00CD2BED"/>
    <w:rsid w:val="00D2373A"/>
    <w:rsid w:val="00D47919"/>
    <w:rsid w:val="00D72FB3"/>
    <w:rsid w:val="00D7647E"/>
    <w:rsid w:val="00D94824"/>
    <w:rsid w:val="00D9598B"/>
    <w:rsid w:val="00DA1023"/>
    <w:rsid w:val="00DB1BF7"/>
    <w:rsid w:val="00DC2657"/>
    <w:rsid w:val="00DD5C6D"/>
    <w:rsid w:val="00DE00D6"/>
    <w:rsid w:val="00E314E1"/>
    <w:rsid w:val="00E333F0"/>
    <w:rsid w:val="00E42DD2"/>
    <w:rsid w:val="00E50D86"/>
    <w:rsid w:val="00E63AB9"/>
    <w:rsid w:val="00E6620E"/>
    <w:rsid w:val="00E97810"/>
    <w:rsid w:val="00EA7725"/>
    <w:rsid w:val="00F6568A"/>
    <w:rsid w:val="00FA4822"/>
    <w:rsid w:val="00FA7CD5"/>
    <w:rsid w:val="00FB5D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023"/>
    <w:pPr>
      <w:ind w:left="720"/>
      <w:contextualSpacing/>
    </w:pPr>
  </w:style>
  <w:style w:type="paragraph" w:styleId="Encabezado">
    <w:name w:val="header"/>
    <w:basedOn w:val="Normal"/>
    <w:link w:val="EncabezadoCar"/>
    <w:uiPriority w:val="99"/>
    <w:semiHidden/>
    <w:unhideWhenUsed/>
    <w:rsid w:val="00DA10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A1023"/>
  </w:style>
  <w:style w:type="paragraph" w:styleId="Piedepgina">
    <w:name w:val="footer"/>
    <w:basedOn w:val="Normal"/>
    <w:link w:val="PiedepginaCar"/>
    <w:uiPriority w:val="99"/>
    <w:unhideWhenUsed/>
    <w:rsid w:val="00DA10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1023"/>
  </w:style>
  <w:style w:type="paragraph" w:styleId="Textodeglobo">
    <w:name w:val="Balloon Text"/>
    <w:basedOn w:val="Normal"/>
    <w:link w:val="TextodegloboCar"/>
    <w:uiPriority w:val="99"/>
    <w:semiHidden/>
    <w:unhideWhenUsed/>
    <w:rsid w:val="00DA10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1023"/>
    <w:rPr>
      <w:rFonts w:ascii="Tahoma" w:hAnsi="Tahoma" w:cs="Tahoma"/>
      <w:sz w:val="16"/>
      <w:szCs w:val="16"/>
    </w:rPr>
  </w:style>
  <w:style w:type="paragraph" w:styleId="Textonotapie">
    <w:name w:val="footnote text"/>
    <w:basedOn w:val="Normal"/>
    <w:link w:val="TextonotapieCar"/>
    <w:semiHidden/>
    <w:unhideWhenUsed/>
    <w:rsid w:val="00DA1023"/>
    <w:pPr>
      <w:spacing w:after="0" w:line="240" w:lineRule="auto"/>
    </w:pPr>
    <w:rPr>
      <w:sz w:val="20"/>
      <w:szCs w:val="20"/>
    </w:rPr>
  </w:style>
  <w:style w:type="character" w:customStyle="1" w:styleId="TextonotapieCar">
    <w:name w:val="Texto nota pie Car"/>
    <w:basedOn w:val="Fuentedeprrafopredeter"/>
    <w:link w:val="Textonotapie"/>
    <w:semiHidden/>
    <w:rsid w:val="00DA1023"/>
    <w:rPr>
      <w:sz w:val="20"/>
      <w:szCs w:val="20"/>
    </w:rPr>
  </w:style>
  <w:style w:type="character" w:styleId="Refdenotaalpie">
    <w:name w:val="footnote reference"/>
    <w:basedOn w:val="Fuentedeprrafopredeter"/>
    <w:semiHidden/>
    <w:unhideWhenUsed/>
    <w:rsid w:val="00DA1023"/>
    <w:rPr>
      <w:vertAlign w:val="superscript"/>
    </w:rPr>
  </w:style>
  <w:style w:type="paragraph" w:styleId="Sinespaciado">
    <w:name w:val="No Spacing"/>
    <w:link w:val="SinespaciadoCar"/>
    <w:uiPriority w:val="1"/>
    <w:qFormat/>
    <w:rsid w:val="00456FD5"/>
    <w:pPr>
      <w:spacing w:after="0" w:line="240" w:lineRule="auto"/>
    </w:pPr>
    <w:rPr>
      <w:rFonts w:eastAsiaTheme="minorEastAsia"/>
      <w:lang w:val="es-PE" w:eastAsia="es-PE"/>
    </w:rPr>
  </w:style>
  <w:style w:type="character" w:customStyle="1" w:styleId="SinespaciadoCar">
    <w:name w:val="Sin espaciado Car"/>
    <w:basedOn w:val="Fuentedeprrafopredeter"/>
    <w:link w:val="Sinespaciado"/>
    <w:uiPriority w:val="1"/>
    <w:rsid w:val="00456FD5"/>
    <w:rPr>
      <w:rFonts w:eastAsiaTheme="minorEastAsia"/>
      <w:lang w:val="es-PE" w:eastAsia="es-P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06EE-81F0-49C4-B527-C1DE7B67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11</Pages>
  <Words>3315</Words>
  <Characters>18237</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dcterms:created xsi:type="dcterms:W3CDTF">2012-10-27T03:16:00Z</dcterms:created>
  <dcterms:modified xsi:type="dcterms:W3CDTF">2012-10-31T15:35:00Z</dcterms:modified>
</cp:coreProperties>
</file>