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F6" w:rsidRPr="009E2F7F" w:rsidRDefault="00090BF6" w:rsidP="00090BF6">
      <w:pPr>
        <w:spacing w:after="120" w:line="240" w:lineRule="auto"/>
        <w:jc w:val="center"/>
        <w:rPr>
          <w:rFonts w:ascii="Century Gothic" w:hAnsi="Century Gothic"/>
          <w:b/>
          <w:sz w:val="40"/>
          <w:szCs w:val="40"/>
          <w:lang w:val="es-ES_tradnl"/>
        </w:rPr>
      </w:pPr>
      <w:r w:rsidRPr="009E2F7F">
        <w:rPr>
          <w:rFonts w:ascii="Century Gothic" w:hAnsi="Century Gothic"/>
          <w:b/>
          <w:sz w:val="40"/>
          <w:szCs w:val="40"/>
          <w:lang w:val="es-ES_tradnl"/>
        </w:rPr>
        <w:t>INAPLICABILIDAD DE LOS ARTS. 377, 378, 379, 380, 381, 382, 383, 384 Y 385 DEL CÓDIGO DE PROCEDIMIENTOS CIVILES</w:t>
      </w:r>
    </w:p>
    <w:p w:rsidR="00090BF6" w:rsidRPr="00982D18" w:rsidRDefault="00090BF6" w:rsidP="00090BF6">
      <w:pPr>
        <w:spacing w:after="120" w:line="240" w:lineRule="auto"/>
        <w:jc w:val="both"/>
        <w:rPr>
          <w:rFonts w:ascii="Cambria" w:hAnsi="Cambria"/>
          <w:b/>
          <w:lang w:val="es-ES_tradnl"/>
        </w:rPr>
      </w:pPr>
    </w:p>
    <w:p w:rsidR="00090BF6" w:rsidRPr="00982D18" w:rsidRDefault="00090BF6" w:rsidP="00090BF6">
      <w:pPr>
        <w:spacing w:after="120" w:line="240" w:lineRule="auto"/>
        <w:jc w:val="both"/>
        <w:rPr>
          <w:rFonts w:ascii="Cambria" w:hAnsi="Cambria"/>
          <w:b/>
          <w:lang w:val="es-ES_tradnl"/>
        </w:rPr>
      </w:pPr>
      <w:r w:rsidRPr="00982D18">
        <w:rPr>
          <w:rFonts w:ascii="Cambria" w:hAnsi="Cambria"/>
          <w:b/>
          <w:lang w:val="es-ES_tradnl"/>
        </w:rPr>
        <w:t>5-2010</w:t>
      </w:r>
    </w:p>
    <w:p w:rsidR="00090BF6" w:rsidRPr="00982D18" w:rsidRDefault="00090BF6" w:rsidP="00090BF6">
      <w:pPr>
        <w:spacing w:after="120" w:line="240" w:lineRule="auto"/>
        <w:jc w:val="both"/>
        <w:rPr>
          <w:rFonts w:ascii="Cambria" w:hAnsi="Cambria"/>
          <w:b/>
          <w:lang w:val="es-ES_tradnl"/>
        </w:rPr>
      </w:pPr>
      <w:r w:rsidRPr="00982D18">
        <w:rPr>
          <w:rFonts w:ascii="Cambria" w:hAnsi="Cambria"/>
          <w:b/>
          <w:lang w:val="es-ES_tradnl"/>
        </w:rPr>
        <w:t>Inconstitucionalidad</w:t>
      </w:r>
    </w:p>
    <w:p w:rsidR="00090BF6" w:rsidRPr="00982D18" w:rsidRDefault="00090BF6" w:rsidP="00090BF6">
      <w:pPr>
        <w:spacing w:after="120" w:line="240" w:lineRule="auto"/>
        <w:jc w:val="both"/>
        <w:rPr>
          <w:rFonts w:ascii="Cambria" w:hAnsi="Cambria"/>
          <w:lang w:val="es-ES_tradnl"/>
        </w:rPr>
      </w:pPr>
      <w:r w:rsidRPr="00982D18">
        <w:rPr>
          <w:rFonts w:ascii="Cambria" w:hAnsi="Cambria"/>
          <w:b/>
          <w:lang w:val="es-ES_tradnl"/>
        </w:rPr>
        <w:t>Sala de lo Constitucional de la Corte Suprema de Justicia</w:t>
      </w:r>
      <w:r w:rsidRPr="00982D18">
        <w:rPr>
          <w:rFonts w:ascii="Cambria" w:hAnsi="Cambria"/>
          <w:lang w:val="es-ES_tradnl"/>
        </w:rPr>
        <w:t>. San Salvador, a las catorce horas con veintitrés minutos del día veintiséis de enero de dos mil once.</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Por recibido el Oficio n° 54/01, de fecha 13-I-2010, suscrito por la Juez Cuarto de Tránsito, mediante el cual remite certificación de la resolución pronunciada por dicho tribunal el 13-I-2010, en la que se </w:t>
      </w:r>
      <w:r w:rsidRPr="00F47B01">
        <w:rPr>
          <w:rFonts w:ascii="Cambria" w:hAnsi="Cambria"/>
          <w:highlight w:val="yellow"/>
          <w:lang w:val="es-ES_tradnl"/>
        </w:rPr>
        <w:t>declaró la inaplicabilidad de los arts. 377, 378, 379, 380, 381, 382, 383, 384 y 385 del Código de Procedimientos Civiles,</w:t>
      </w:r>
      <w:r w:rsidRPr="00982D18">
        <w:rPr>
          <w:rFonts w:ascii="Cambria" w:hAnsi="Cambria"/>
          <w:lang w:val="es-ES_tradnl"/>
        </w:rPr>
        <w:t xml:space="preserve"> emitido mediante Decreto Legislativo sin número de 22-III-1888, mediante el cual se reformó el Código de Procedimientos Civiles –hecho ley en virtud de publicación del Decreto Ejecutivo de fecha 31-XII-1881, en el D.O. correspondiente al 1-I-1882-.</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b/>
          <w:lang w:val="es-ES_tradnl"/>
        </w:rPr>
        <w:t>I.</w:t>
      </w:r>
      <w:r w:rsidRPr="00982D18">
        <w:rPr>
          <w:rFonts w:ascii="Cambria" w:hAnsi="Cambria"/>
          <w:lang w:val="es-ES_tradnl"/>
        </w:rPr>
        <w:t xml:space="preserve"> </w:t>
      </w:r>
      <w:r w:rsidRPr="00982D18">
        <w:rPr>
          <w:rFonts w:ascii="Cambria" w:hAnsi="Cambria"/>
          <w:i/>
          <w:lang w:val="es-ES_tradnl"/>
        </w:rPr>
        <w:t>1.</w:t>
      </w:r>
      <w:r w:rsidRPr="00982D18">
        <w:rPr>
          <w:rFonts w:ascii="Cambria" w:hAnsi="Cambria"/>
          <w:lang w:val="es-ES_tradnl"/>
        </w:rPr>
        <w:t xml:space="preserve"> Por Decreto Legislativo n° 45, de fecha 6-VII-2006, publicado en el Diario Oficial n° 143, Tomo n° 372, de fecha 7-VIII-2006, la Ley de Procedimientos Constitucionales fue reformada, mediante la adición de un tipo especial de inconstitucionalidad: cuando ésta haya sido advertida por algún tribunal de justicia. En dicha regulación, el Legislador dejó indeterminado el trámite a seguir para alcanzar una sentencia de fondo; sin embargo, y atendiendo a una </w:t>
      </w:r>
      <w:r w:rsidRPr="00F47B01">
        <w:rPr>
          <w:rFonts w:ascii="Cambria" w:hAnsi="Cambria"/>
          <w:highlight w:val="yellow"/>
          <w:lang w:val="es-ES_tradnl"/>
        </w:rPr>
        <w:t>interpretación integrada de las disposiciones de la Ley de Procedimientos Constitucionales</w:t>
      </w:r>
      <w:r w:rsidRPr="00982D18">
        <w:rPr>
          <w:rFonts w:ascii="Cambria" w:hAnsi="Cambria"/>
          <w:lang w:val="es-ES_tradnl"/>
        </w:rPr>
        <w:t xml:space="preserve"> pertinentes, y que guarde congruencia con la Constitución, esta clase de procesos deberá desarrollarse en concordancia con el contexto normativo -en materia de plazos, informes, traslados y demás- que aporta el Título II de la L.Pr.Cn., y </w:t>
      </w:r>
      <w:r w:rsidRPr="00F47B01">
        <w:rPr>
          <w:rFonts w:ascii="Cambria" w:hAnsi="Cambria"/>
          <w:highlight w:val="yellow"/>
          <w:lang w:val="es-ES_tradnl"/>
        </w:rPr>
        <w:t>más específicamente</w:t>
      </w:r>
      <w:r w:rsidRPr="00982D18">
        <w:rPr>
          <w:rFonts w:ascii="Cambria" w:hAnsi="Cambria"/>
          <w:lang w:val="es-ES_tradnl"/>
        </w:rPr>
        <w:t xml:space="preserve"> con el trámite </w:t>
      </w:r>
      <w:r w:rsidRPr="00F47B01">
        <w:rPr>
          <w:rFonts w:ascii="Cambria" w:hAnsi="Cambria"/>
          <w:highlight w:val="yellow"/>
          <w:lang w:val="es-ES_tradnl"/>
        </w:rPr>
        <w:t>previsto por los arts. 7, 8 y 9 de la referida ley</w:t>
      </w:r>
      <w:r w:rsidRPr="00982D18">
        <w:rPr>
          <w:rFonts w:ascii="Cambria" w:hAnsi="Cambria"/>
          <w:lang w:val="es-ES_tradnl"/>
        </w:rPr>
        <w:t>.</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Lo anterior, debido a que una de las finalidades determinantes para la reforma de las disposiciones que regulan el control difuso de constitucionalidad de las leyes -</w:t>
      </w:r>
      <w:r w:rsidRPr="00F47B01">
        <w:rPr>
          <w:rFonts w:ascii="Cambria" w:hAnsi="Cambria"/>
          <w:highlight w:val="yellow"/>
          <w:lang w:val="es-ES_tradnl"/>
        </w:rPr>
        <w:t>art. 185 Cn</w:t>
      </w:r>
      <w:r w:rsidRPr="00982D18">
        <w:rPr>
          <w:rFonts w:ascii="Cambria" w:hAnsi="Cambria"/>
          <w:lang w:val="es-ES_tradnl"/>
        </w:rPr>
        <w:t xml:space="preserve">.- , consiste en la </w:t>
      </w:r>
      <w:r w:rsidRPr="00F47B01">
        <w:rPr>
          <w:rFonts w:ascii="Cambria" w:hAnsi="Cambria"/>
          <w:u w:val="single"/>
          <w:lang w:val="es-ES_tradnl"/>
        </w:rPr>
        <w:t>unificación de criterios</w:t>
      </w:r>
      <w:r w:rsidRPr="00982D18">
        <w:rPr>
          <w:rFonts w:ascii="Cambria" w:hAnsi="Cambria"/>
          <w:lang w:val="es-ES_tradnl"/>
        </w:rPr>
        <w:t>, por parte de esta Sala, respecto de las normas constitucionales aplicadas por los tribunales de la República.</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Para una mejor comprensión de lo apuntado, es necesario afirmar que el proceso de inconstitucionalidad tiene como finalidad verificar la confrontación normativa entre las disposiciones impugnadas y las disposiciones constitucionales propuestas como parámetro de control y, emitir un pronunciamiento de carácter general y obligatorio con efectos </w:t>
      </w:r>
      <w:r w:rsidRPr="00982D18">
        <w:rPr>
          <w:rFonts w:ascii="Cambria" w:hAnsi="Cambria"/>
          <w:i/>
          <w:lang w:val="es-ES_tradnl"/>
        </w:rPr>
        <w:t>erga omnes</w:t>
      </w:r>
      <w:r w:rsidRPr="00982D18">
        <w:rPr>
          <w:rFonts w:ascii="Cambria" w:hAnsi="Cambria"/>
          <w:lang w:val="es-ES_tradnl"/>
        </w:rPr>
        <w:t>, en caso de que las primeras efectivamente vulneren derechos, principios o garantías consignados en las segundas (art. 183 Cn). Por su parte, la declaratoria de inaplicabilidad genera efectos sobre la aplicación de una disposición o cuerpo legal con respecto a un caso específico juzgado por un tribunal ordinario -</w:t>
      </w:r>
      <w:r w:rsidRPr="00982D18">
        <w:rPr>
          <w:rFonts w:ascii="Cambria" w:hAnsi="Cambria"/>
          <w:i/>
          <w:lang w:val="es-ES_tradnl"/>
        </w:rPr>
        <w:t>efectos interpartes, art. 185 Cn</w:t>
      </w:r>
      <w:r w:rsidRPr="00982D18">
        <w:rPr>
          <w:rFonts w:ascii="Cambria" w:hAnsi="Cambria"/>
          <w:lang w:val="es-ES_tradnl"/>
        </w:rPr>
        <w:t xml:space="preserve">.- </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Ambos controles de constitucionalidad no son excluyentes entre sí, lo que implica que su interrelación se desarrolla en torno al control abstracto de las disposiciones inaplicadas en un determinado proceso -control concentrado-, con independencia de los efectos que la inaplicación de las disposiciones consideradas inconstitucionales por el juez en ese proceso -control difuso- puedan haber producido sobre las partes.</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lastRenderedPageBreak/>
        <w:tab/>
        <w:t>Por las razones expuestas, resultaría inadecuado crear un procedimiento especial o particular para el proceso de inconstitucionalidad iniciado vía remisión de inaplicabilidades que declaran los tribunales de la República. El control difuso mantiene su independencia en relación con las particularidades de cada caso, pero para declarar de forma general y abstracta la constitucionalidad de las disposiciones aplicadas, se debe seguir el procedimiento establecido en los arts. 7, 8 y 9 de la Ley de Procedimientos Constitucionales.</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2. A.</w:t>
      </w:r>
      <w:r w:rsidRPr="00982D18">
        <w:rPr>
          <w:rFonts w:ascii="Cambria" w:hAnsi="Cambria"/>
          <w:lang w:val="es-ES_tradnl"/>
        </w:rPr>
        <w:t xml:space="preserve"> Ahora bien, esta Sala ha acotado que para que la declaratoria de inaplicabilidad pueda originar la tramitación y posterior decisión de un proceso de inconstitucionalidad deben </w:t>
      </w:r>
      <w:r w:rsidRPr="00F47B01">
        <w:rPr>
          <w:rFonts w:ascii="Cambria" w:hAnsi="Cambria"/>
          <w:highlight w:val="yellow"/>
          <w:lang w:val="es-ES_tradnl"/>
        </w:rPr>
        <w:t>reunirse los presupuestos</w:t>
      </w:r>
      <w:r w:rsidRPr="00982D18">
        <w:rPr>
          <w:rFonts w:ascii="Cambria" w:hAnsi="Cambria"/>
          <w:lang w:val="es-ES_tradnl"/>
        </w:rPr>
        <w:t xml:space="preserve"> mínimos, derivables de los </w:t>
      </w:r>
      <w:r w:rsidRPr="00F47B01">
        <w:rPr>
          <w:rFonts w:ascii="Cambria" w:hAnsi="Cambria"/>
          <w:highlight w:val="yellow"/>
          <w:lang w:val="es-ES_tradnl"/>
        </w:rPr>
        <w:t>arts. 77-A y 77-</w:t>
      </w:r>
      <w:r w:rsidRPr="00982D18">
        <w:rPr>
          <w:rFonts w:ascii="Cambria" w:hAnsi="Cambria"/>
          <w:lang w:val="es-ES_tradnl"/>
        </w:rPr>
        <w:t xml:space="preserve">C de la L.Pr.Cn., entendiendo por tales requisitos: </w:t>
      </w:r>
      <w:r w:rsidRPr="00982D18">
        <w:rPr>
          <w:rFonts w:ascii="Cambria" w:hAnsi="Cambria"/>
          <w:i/>
          <w:lang w:val="es-ES_tradnl"/>
        </w:rPr>
        <w:t xml:space="preserve">(i) </w:t>
      </w:r>
      <w:r w:rsidRPr="00982D18">
        <w:rPr>
          <w:rFonts w:ascii="Cambria" w:hAnsi="Cambria"/>
          <w:lang w:val="es-ES_tradnl"/>
        </w:rPr>
        <w:t xml:space="preserve">la relación directa y principal que debe tener la disposición inaplicada con la resolución del caso o de la que dependa su tramitación; </w:t>
      </w:r>
      <w:r w:rsidRPr="00982D18">
        <w:rPr>
          <w:rFonts w:ascii="Cambria" w:hAnsi="Cambria"/>
          <w:i/>
          <w:lang w:val="es-ES_tradnl"/>
        </w:rPr>
        <w:t>(ii)</w:t>
      </w:r>
      <w:r w:rsidRPr="00982D18">
        <w:rPr>
          <w:rFonts w:ascii="Cambria" w:hAnsi="Cambria"/>
          <w:lang w:val="es-ES_tradnl"/>
        </w:rPr>
        <w:t xml:space="preserve"> la inexistencia de pronunciamiento, por parte de esta Sala, respecto de las disposiciones inaplicadas; </w:t>
      </w:r>
      <w:r w:rsidRPr="00982D18">
        <w:rPr>
          <w:rFonts w:ascii="Cambria" w:hAnsi="Cambria"/>
          <w:i/>
          <w:lang w:val="es-ES_tradnl"/>
        </w:rPr>
        <w:t>(iii)</w:t>
      </w:r>
      <w:r w:rsidRPr="00982D18">
        <w:rPr>
          <w:rFonts w:ascii="Cambria" w:hAnsi="Cambria"/>
          <w:lang w:val="es-ES_tradnl"/>
        </w:rPr>
        <w:t xml:space="preserve"> el esfuerzo del juzgador, previo a la inaplicación, de interpretar la disposición conforme a la Constitución; y, finalmente, </w:t>
      </w:r>
      <w:r w:rsidRPr="00982D18">
        <w:rPr>
          <w:rFonts w:ascii="Cambria" w:hAnsi="Cambria"/>
          <w:i/>
          <w:lang w:val="es-ES_tradnl"/>
        </w:rPr>
        <w:t>(iv)</w:t>
      </w:r>
      <w:r w:rsidRPr="00982D18">
        <w:rPr>
          <w:rFonts w:ascii="Cambria" w:hAnsi="Cambria"/>
          <w:lang w:val="es-ES_tradnl"/>
        </w:rPr>
        <w:t xml:space="preserve"> la relación de la disposición inaplicada, la norma o principios constitucionales supuestamente vulnerados y las razones que sirven de fundamento a la inaplicación.</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 xml:space="preserve">B. </w:t>
      </w:r>
      <w:r w:rsidRPr="00982D18">
        <w:rPr>
          <w:rFonts w:ascii="Cambria" w:hAnsi="Cambria"/>
          <w:lang w:val="es-ES_tradnl"/>
        </w:rPr>
        <w:t xml:space="preserve">En el presente caso, la juez requirente afirma </w:t>
      </w:r>
      <w:r w:rsidRPr="00F47B01">
        <w:rPr>
          <w:rFonts w:ascii="Cambria" w:hAnsi="Cambria"/>
          <w:u w:val="single"/>
          <w:lang w:val="es-ES_tradnl"/>
        </w:rPr>
        <w:t>que inaplica los arts. 377, 378, 379, 380, 381, 382, 383, 384 y 385 del Código de Procedimientos Civiles</w:t>
      </w:r>
      <w:r w:rsidRPr="00982D18">
        <w:rPr>
          <w:rFonts w:ascii="Cambria" w:hAnsi="Cambria"/>
          <w:lang w:val="es-ES_tradnl"/>
        </w:rPr>
        <w:t xml:space="preserve"> que regulan la posibilidad del actor de pedir la absolución de posiciones al demandado.</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Al respecto, expone que el pliego de posiciones es un i</w:t>
      </w:r>
      <w:r w:rsidRPr="00F47B01">
        <w:rPr>
          <w:rFonts w:ascii="Cambria" w:hAnsi="Cambria"/>
          <w:highlight w:val="yellow"/>
          <w:lang w:val="es-ES_tradnl"/>
        </w:rPr>
        <w:t>nterrogatori</w:t>
      </w:r>
      <w:r w:rsidRPr="00982D18">
        <w:rPr>
          <w:rFonts w:ascii="Cambria" w:hAnsi="Cambria"/>
          <w:lang w:val="es-ES_tradnl"/>
        </w:rPr>
        <w:t xml:space="preserve">o de carácter directo que trae aparejada la confesión del demandado. </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Sin embargo, considera que este medio de prueba </w:t>
      </w:r>
      <w:r w:rsidRPr="00F47B01">
        <w:rPr>
          <w:rFonts w:ascii="Cambria" w:hAnsi="Cambria"/>
          <w:highlight w:val="yellow"/>
          <w:lang w:val="es-ES_tradnl"/>
        </w:rPr>
        <w:t>vulnera la presunción de inocencia</w:t>
      </w:r>
      <w:r w:rsidRPr="00982D18">
        <w:rPr>
          <w:rFonts w:ascii="Cambria" w:hAnsi="Cambria"/>
          <w:lang w:val="es-ES_tradnl"/>
        </w:rPr>
        <w:t xml:space="preserve">, </w:t>
      </w:r>
      <w:r w:rsidRPr="00F47B01">
        <w:rPr>
          <w:rFonts w:ascii="Cambria" w:hAnsi="Cambria"/>
          <w:highlight w:val="yellow"/>
          <w:lang w:val="es-ES_tradnl"/>
        </w:rPr>
        <w:t>defensa y debido proceso</w:t>
      </w:r>
      <w:r w:rsidRPr="00982D18">
        <w:rPr>
          <w:rFonts w:ascii="Cambria" w:hAnsi="Cambria"/>
          <w:lang w:val="es-ES_tradnl"/>
        </w:rPr>
        <w:t xml:space="preserve"> por provocar la confesión aún en contra de la voluntad de la persona al contestar, pues si éste evade las preguntas o no comparece a su absolución se debe declarar confeso del hecho cuestionado -</w:t>
      </w:r>
      <w:r w:rsidRPr="00F47B01">
        <w:rPr>
          <w:rFonts w:ascii="Cambria" w:hAnsi="Cambria"/>
          <w:b/>
          <w:lang w:val="es-ES_tradnl"/>
        </w:rPr>
        <w:t>art. 385 CPrC</w:t>
      </w:r>
      <w:r w:rsidRPr="00982D18">
        <w:rPr>
          <w:rFonts w:ascii="Cambria" w:hAnsi="Cambria"/>
          <w:lang w:val="es-ES_tradnl"/>
        </w:rPr>
        <w:t>- y se le considera culpable de lo que se le atribuye.</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Asimismo, considera la juzgadora que se vulneran los referidos derechos porque en dicha diligencia, no se le permite al absolvente ser asistido por su defensor o abogado.</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b/>
          <w:lang w:val="es-ES_tradnl"/>
        </w:rPr>
        <w:t>II.</w:t>
      </w:r>
      <w:r w:rsidRPr="00982D18">
        <w:rPr>
          <w:rFonts w:ascii="Cambria" w:hAnsi="Cambria"/>
          <w:lang w:val="es-ES_tradnl"/>
        </w:rPr>
        <w:t xml:space="preserve"> Expuestos los argumentos de la Juez Cuarto de Tránsito, este Tribunal realiza las siguientes aclaraciones:</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 xml:space="preserve">1. </w:t>
      </w:r>
      <w:r w:rsidRPr="00982D18">
        <w:rPr>
          <w:rFonts w:ascii="Cambria" w:hAnsi="Cambria"/>
          <w:lang w:val="es-ES_tradnl"/>
        </w:rPr>
        <w:t xml:space="preserve">Por sentencia de 18-XII-2009, pronunciada en el proceso de Inconstitucionalidad 23-2003, este Tribunal declaró la </w:t>
      </w:r>
      <w:r w:rsidRPr="00F47B01">
        <w:rPr>
          <w:rFonts w:ascii="Cambria" w:hAnsi="Cambria"/>
          <w:highlight w:val="yellow"/>
          <w:lang w:val="es-ES_tradnl"/>
        </w:rPr>
        <w:t>inconstitucionalidad del art. 381 CPrC</w:t>
      </w:r>
      <w:r w:rsidRPr="00982D18">
        <w:rPr>
          <w:rFonts w:ascii="Cambria" w:hAnsi="Cambria"/>
          <w:lang w:val="es-ES_tradnl"/>
        </w:rPr>
        <w:t>, en lo relativo a la violación del derecho de defensa, pues no permitía que el abogado de la parte que absolvería posiciones estuviera presente en la práctica de dicha diligencia probatoria.</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Así, evidenciándose la existencia de una resolución de este Tribunal, atinente al art. 381 CPrC, y de conformidad con lo sostenido por la jurisprudencia de esta Sala, no se reúne uno de los presupuestos para originar la tramitación y posterior decisión del proceso de inconstitucionalidad cual es la inexistencia de pronunciamiento, por parte de esta Sala, respecto de la referida disposición inaplicada.</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2.</w:t>
      </w:r>
      <w:r w:rsidRPr="00982D18">
        <w:rPr>
          <w:rFonts w:ascii="Cambria" w:hAnsi="Cambria"/>
          <w:lang w:val="es-ES_tradnl"/>
        </w:rPr>
        <w:t xml:space="preserve"> Expone la Juez Cuarto de Tránsito que inaplica los arts. 377, 378, 379, 380, 382, 383, 384 CPrC, porque se </w:t>
      </w:r>
      <w:r w:rsidRPr="00F47B01">
        <w:rPr>
          <w:rFonts w:ascii="Cambria" w:hAnsi="Cambria"/>
          <w:u w:val="single"/>
          <w:lang w:val="es-ES_tradnl"/>
        </w:rPr>
        <w:t>vulneran los derechos de presunción de inocencia, defensa y debido proceso</w:t>
      </w:r>
      <w:r w:rsidRPr="00982D18">
        <w:rPr>
          <w:rFonts w:ascii="Cambria" w:hAnsi="Cambria"/>
          <w:lang w:val="es-ES_tradnl"/>
        </w:rPr>
        <w:t>, sin embargo no establece por qué las referidas disposiciones los contrarían, por lo que al no establecer las razones que motivaron su inaplicación, no reúne uno de los presupuestos para la tramitación y posterior decisión del presente proceso.</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3.</w:t>
      </w:r>
      <w:r w:rsidRPr="00982D18">
        <w:rPr>
          <w:rFonts w:ascii="Cambria" w:hAnsi="Cambria"/>
          <w:lang w:val="es-ES_tradnl"/>
        </w:rPr>
        <w:t xml:space="preserve"> Por otro lado, la juzgadora inaplicó -además- el art. </w:t>
      </w:r>
      <w:r w:rsidRPr="00F47B01">
        <w:rPr>
          <w:rFonts w:ascii="Cambria" w:hAnsi="Cambria"/>
          <w:highlight w:val="yellow"/>
          <w:lang w:val="es-ES_tradnl"/>
        </w:rPr>
        <w:t>385 CPrC</w:t>
      </w:r>
      <w:r w:rsidRPr="00982D18">
        <w:rPr>
          <w:rFonts w:ascii="Cambria" w:hAnsi="Cambria"/>
          <w:lang w:val="es-ES_tradnl"/>
        </w:rPr>
        <w:t xml:space="preserve"> en virtud del cual:</w:t>
      </w:r>
    </w:p>
    <w:p w:rsidR="00090BF6" w:rsidRPr="00982D18" w:rsidRDefault="00090BF6" w:rsidP="00090BF6">
      <w:pPr>
        <w:spacing w:after="120" w:line="240" w:lineRule="auto"/>
        <w:jc w:val="both"/>
        <w:rPr>
          <w:rFonts w:ascii="Cambria" w:hAnsi="Cambria"/>
          <w:i/>
          <w:lang w:val="es-ES_tradnl"/>
        </w:rPr>
      </w:pPr>
      <w:r w:rsidRPr="00982D18">
        <w:rPr>
          <w:rFonts w:ascii="Cambria" w:hAnsi="Cambria"/>
          <w:lang w:val="es-ES_tradnl"/>
        </w:rPr>
        <w:lastRenderedPageBreak/>
        <w:tab/>
        <w:t>“</w:t>
      </w:r>
      <w:r w:rsidRPr="00982D18">
        <w:rPr>
          <w:rFonts w:ascii="Cambria" w:hAnsi="Cambria"/>
          <w:i/>
          <w:lang w:val="es-ES_tradnl"/>
        </w:rPr>
        <w:t>El que debe absolver posiciones será declarado confeso:</w:t>
      </w:r>
    </w:p>
    <w:p w:rsidR="00090BF6" w:rsidRPr="00982D18" w:rsidRDefault="00090BF6" w:rsidP="00090BF6">
      <w:pPr>
        <w:spacing w:after="120" w:line="240" w:lineRule="auto"/>
        <w:jc w:val="both"/>
        <w:rPr>
          <w:rFonts w:ascii="Cambria" w:hAnsi="Cambria"/>
          <w:i/>
          <w:lang w:val="es-ES_tradnl"/>
        </w:rPr>
      </w:pPr>
      <w:r w:rsidRPr="00982D18">
        <w:rPr>
          <w:rFonts w:ascii="Cambria" w:hAnsi="Cambria"/>
          <w:i/>
          <w:lang w:val="es-ES_tradnl"/>
        </w:rPr>
        <w:tab/>
        <w:t>1º Cuando sin justa causa no comparece a la segunda citación;</w:t>
      </w:r>
    </w:p>
    <w:p w:rsidR="00090BF6" w:rsidRPr="00982D18" w:rsidRDefault="00090BF6" w:rsidP="00090BF6">
      <w:pPr>
        <w:spacing w:after="120" w:line="240" w:lineRule="auto"/>
        <w:jc w:val="both"/>
        <w:rPr>
          <w:rFonts w:ascii="Cambria" w:hAnsi="Cambria"/>
          <w:i/>
          <w:lang w:val="es-ES_tradnl"/>
        </w:rPr>
      </w:pPr>
      <w:r w:rsidRPr="00982D18">
        <w:rPr>
          <w:rFonts w:ascii="Cambria" w:hAnsi="Cambria"/>
          <w:i/>
          <w:lang w:val="es-ES_tradnl"/>
        </w:rPr>
        <w:tab/>
        <w:t>2º Cuando se niegue a declarar o a prestar juramento;</w:t>
      </w:r>
    </w:p>
    <w:p w:rsidR="00090BF6" w:rsidRPr="00982D18" w:rsidRDefault="00090BF6" w:rsidP="00090BF6">
      <w:pPr>
        <w:spacing w:after="120" w:line="240" w:lineRule="auto"/>
        <w:jc w:val="both"/>
        <w:rPr>
          <w:rFonts w:ascii="Cambria" w:hAnsi="Cambria"/>
          <w:i/>
          <w:lang w:val="es-ES_tradnl"/>
        </w:rPr>
      </w:pPr>
      <w:r w:rsidRPr="00982D18">
        <w:rPr>
          <w:rFonts w:ascii="Cambria" w:hAnsi="Cambria"/>
          <w:i/>
          <w:lang w:val="es-ES_tradnl"/>
        </w:rPr>
        <w:tab/>
        <w:t>3º Cuando sus respuestas fueren evasivas y no categóricas y terminantes.”</w:t>
      </w:r>
    </w:p>
    <w:p w:rsidR="00090BF6" w:rsidRPr="00982D18" w:rsidRDefault="00090BF6" w:rsidP="00090BF6">
      <w:pPr>
        <w:spacing w:after="120" w:line="240" w:lineRule="auto"/>
        <w:jc w:val="both"/>
        <w:rPr>
          <w:rFonts w:ascii="Cambria" w:hAnsi="Cambria"/>
          <w:i/>
          <w:lang w:val="es-ES_tradnl"/>
        </w:rPr>
      </w:pPr>
      <w:r w:rsidRPr="00982D18">
        <w:rPr>
          <w:rFonts w:ascii="Cambria" w:hAnsi="Cambria"/>
          <w:lang w:val="es-ES_tradnl"/>
        </w:rPr>
        <w:tab/>
        <w:t xml:space="preserve">Disposición que –a su juicio- </w:t>
      </w:r>
      <w:r w:rsidRPr="00F47B01">
        <w:rPr>
          <w:rFonts w:ascii="Cambria" w:hAnsi="Cambria"/>
          <w:highlight w:val="yellow"/>
          <w:lang w:val="es-ES_tradnl"/>
        </w:rPr>
        <w:t>vulnera la presunción de inocencia, el derecho de defensa y el debido proceso</w:t>
      </w:r>
      <w:r w:rsidRPr="00982D18">
        <w:rPr>
          <w:rFonts w:ascii="Cambria" w:hAnsi="Cambria"/>
          <w:lang w:val="es-ES_tradnl"/>
        </w:rPr>
        <w:t xml:space="preserve"> por provocar la confesión aún en contra de la voluntad de la persona que ha de absolver el pliego de posiciones, pues si éste evade las preguntas o no comparece a su absolución se debe declarar confeso del hecho cuestionado declarándose culpable de lo que se le atribuye.</w:t>
      </w:r>
    </w:p>
    <w:p w:rsidR="00090BF6" w:rsidRPr="00982D18" w:rsidRDefault="00090BF6" w:rsidP="00090BF6">
      <w:pPr>
        <w:spacing w:after="120" w:line="240" w:lineRule="auto"/>
        <w:jc w:val="both"/>
        <w:rPr>
          <w:rFonts w:ascii="Cambria" w:hAnsi="Cambria"/>
          <w:lang w:val="es-ES_tradnl"/>
        </w:rPr>
      </w:pPr>
      <w:r w:rsidRPr="00982D18">
        <w:rPr>
          <w:rFonts w:ascii="Cambria" w:hAnsi="Cambria"/>
          <w:b/>
          <w:lang w:val="es-ES_tradnl"/>
        </w:rPr>
        <w:tab/>
        <w:t>III.</w:t>
      </w:r>
      <w:r w:rsidRPr="00982D18">
        <w:rPr>
          <w:rFonts w:ascii="Cambria" w:hAnsi="Cambria"/>
          <w:lang w:val="es-ES_tradnl"/>
        </w:rPr>
        <w:t xml:space="preserve"> Finalmente, resulta pertinente hacer algunas consideraciones sobre las modificaciones al objeto de control, en la medida en que pueden alterarse las premisas argumentativas en que descansa la inaplicación del art. 385 Código de Procedimientos Civiles.</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Así, con fecha 14-IX-2008, la Asamblea Legislativa emitió el Decreto Legislativo nº 712, publicado en el Diario Oficial nº 224, Tomo nº 381, de fecha 27-XI-2008, a través del cual se decretó un nuevo Código Procesal Civil y Mercantil (CPrCyM) que entró en vigencia el 1-VII-2010 y derogó el Código de Procedimientos Civiles (CPrC).</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Ante ello, esta Sala debe analizar, en primer lugar, si dicha circunstancia constituye motivo de terminación anormal del proceso, dada la inexistencia –por derogación- del objeto de control o si, por el contrario, conforme a la similitud de contenidos normativos con el actual Decreto, tener por configurado el traslado del juicio de constitucionalidad hacia éste y –segundo- ante esta posibilidad determinar también si la nueva regulación mantiene el vicio de inconstitucionalidad alegado.</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 xml:space="preserve">1. A. </w:t>
      </w:r>
      <w:r w:rsidRPr="00982D18">
        <w:rPr>
          <w:rFonts w:ascii="Cambria" w:hAnsi="Cambria"/>
          <w:lang w:val="es-ES_tradnl"/>
        </w:rPr>
        <w:t>En una primera acotación, debe tenerse en cuenta que el proceso de inconstitucionalidad persigue, como todo proceso, un resultado eficaz que se traduzca en una modificación de la realidad material: la invalidación de la disposición que, como consecuencia del examen del contraste, resulte disconforme con la Constitución por vicio de forma o contenido.</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Ahora bien, tal como se acotó en el auto de improcedencia de 31-VII-2009, pronunciado en la Inconstitucionalidad 94-2007, cuando se verifica un cambio o derogación en la legislación impugnada en el transcurso de un proceso de inconstitucionalidad, generalmente, se altera la tramitación de éste. Ello porque la resolución del proceso no es ajena a las eventuales modificaciones operadas por el legislador sobre la norma sometida a control de constitucionalidad. De hecho, en todo proceso de inconstitucionalidad se entabla una vinculación entre la situación legislativa y la pretensión que se configura a partir de ella.</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Pero ello no significa que el proceso de inconstitucionalidad congele las facultades legislativas, y la definición o alcance del litigio no puede entenderse perpetuado al momento de su planteamiento, ajeno a las vicisitudes posteriores que resulten del ejercicio de las potestades legislativas.</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De este modo, la pretensión constitucional, su tramitación y el pronunciamiento que la decide, guarda una estrecha vinculación con la disposición o acto impugnado y su pertenencia al ordenamiento jurídico; pues, en efecto, </w:t>
      </w:r>
      <w:r w:rsidRPr="00F21E44">
        <w:rPr>
          <w:rFonts w:ascii="Cambria" w:hAnsi="Cambria"/>
          <w:highlight w:val="yellow"/>
          <w:lang w:val="es-ES_tradnl"/>
        </w:rPr>
        <w:t>si la pretensión carece de objeto al desaparecer tal norma o acto normativo impugnado</w:t>
      </w:r>
      <w:r w:rsidRPr="00982D18">
        <w:rPr>
          <w:rFonts w:ascii="Cambria" w:hAnsi="Cambria"/>
          <w:lang w:val="es-ES_tradnl"/>
        </w:rPr>
        <w:t>, la eficacia de la eventual sentencia de inconstitucionalidad estaría siendo también alterada por no existir los elementos normativos sobre los cuales se emite el fallo.</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lastRenderedPageBreak/>
        <w:tab/>
      </w:r>
      <w:r w:rsidRPr="00982D18">
        <w:rPr>
          <w:rFonts w:ascii="Cambria" w:hAnsi="Cambria"/>
          <w:i/>
          <w:lang w:val="es-ES_tradnl"/>
        </w:rPr>
        <w:t>B.</w:t>
      </w:r>
      <w:r w:rsidRPr="00982D18">
        <w:rPr>
          <w:rFonts w:ascii="Cambria" w:hAnsi="Cambria"/>
          <w:lang w:val="es-ES_tradnl"/>
        </w:rPr>
        <w:t xml:space="preserve"> Ante tal situación, esta </w:t>
      </w:r>
      <w:r w:rsidRPr="00F21E44">
        <w:rPr>
          <w:rFonts w:ascii="Cambria" w:hAnsi="Cambria"/>
          <w:u w:val="single"/>
          <w:lang w:val="es-ES_tradnl"/>
        </w:rPr>
        <w:t>Sala optaba por sobreseer el proceso de inconstitucionalidad</w:t>
      </w:r>
      <w:r w:rsidRPr="00982D18">
        <w:rPr>
          <w:rFonts w:ascii="Cambria" w:hAnsi="Cambria"/>
          <w:lang w:val="es-ES_tradnl"/>
        </w:rPr>
        <w:t xml:space="preserve">, </w:t>
      </w:r>
      <w:r w:rsidRPr="00F21E44">
        <w:rPr>
          <w:rFonts w:ascii="Cambria" w:hAnsi="Cambria"/>
          <w:u w:val="single"/>
          <w:lang w:val="es-ES_tradnl"/>
        </w:rPr>
        <w:t>pues sostenía que la eficacia del pronunciamiento de fondo sólo puede ocurrir cuando la disposición impugnada se encuentra vigente</w:t>
      </w:r>
      <w:r w:rsidRPr="00982D18">
        <w:rPr>
          <w:rFonts w:ascii="Cambria" w:hAnsi="Cambria"/>
          <w:lang w:val="es-ES_tradnl"/>
        </w:rPr>
        <w:t xml:space="preserve">, vale decir, mantiene su capacidad de producir los efectos imperativos propios de las disposiciones jurídicas. </w:t>
      </w:r>
      <w:r w:rsidRPr="00F21E44">
        <w:rPr>
          <w:rFonts w:ascii="Cambria" w:hAnsi="Cambria"/>
          <w:highlight w:val="yellow"/>
          <w:lang w:val="es-ES_tradnl"/>
        </w:rPr>
        <w:t>Bajo esta idea</w:t>
      </w:r>
      <w:r w:rsidRPr="00982D18">
        <w:rPr>
          <w:rFonts w:ascii="Cambria" w:hAnsi="Cambria"/>
          <w:lang w:val="es-ES_tradnl"/>
        </w:rPr>
        <w:t>, se determinaba el desplazamiento del objeto de control, y sobreseía el respectivo proceso de inconstitucionalidad, pues los motivos de impugnación resultaban alterados, aun cuando el cambio era solamente formal o en menor medida.</w:t>
      </w:r>
    </w:p>
    <w:p w:rsidR="00090BF6" w:rsidRPr="00982D18" w:rsidRDefault="00090BF6" w:rsidP="00090BF6">
      <w:pPr>
        <w:spacing w:after="120" w:line="240" w:lineRule="auto"/>
        <w:jc w:val="both"/>
        <w:rPr>
          <w:rFonts w:ascii="Cambria" w:hAnsi="Cambria"/>
          <w:i/>
          <w:lang w:val="es-ES_tradnl"/>
        </w:rPr>
      </w:pPr>
      <w:r w:rsidRPr="00982D18">
        <w:rPr>
          <w:rFonts w:ascii="Cambria" w:hAnsi="Cambria"/>
          <w:lang w:val="es-ES_tradnl"/>
        </w:rPr>
        <w:tab/>
      </w:r>
      <w:r w:rsidRPr="00982D18">
        <w:rPr>
          <w:rFonts w:ascii="Cambria" w:hAnsi="Cambria"/>
          <w:i/>
          <w:lang w:val="es-ES_tradnl"/>
        </w:rPr>
        <w:t>C.</w:t>
      </w:r>
      <w:r w:rsidRPr="00982D18">
        <w:rPr>
          <w:rFonts w:ascii="Cambria" w:hAnsi="Cambria"/>
          <w:lang w:val="es-ES_tradnl"/>
        </w:rPr>
        <w:t xml:space="preserve"> Ahora bien, a partir de las sentencias de 16-VII-2004 y 1-IV-2004, pronunciadas en los procesos de Inconstitucionalidad 27-2001 y 52-2003 respectivamente, se examina la trascendencia de la reforma en los términos de impugnación propuestos por el actor –ya no en la literalidad de la disposición controlada-, de manera que si el cambio de redacción no arroja una alteración en la estructura normativa, la pretensión se mantiene y se lleva el proceso hasta su conclusión con sentencia de fondo. </w:t>
      </w:r>
      <w:r w:rsidRPr="00982D18">
        <w:rPr>
          <w:rFonts w:ascii="Cambria" w:hAnsi="Cambria"/>
          <w:i/>
          <w:lang w:val="es-ES_tradnl"/>
        </w:rPr>
        <w:t>Lo mismo ocurre cuando una nueva regulación completa deroga expresamente las disposiciones impugnadas, y se examina la continuidad de los términos de impugnación en el nuevo cuerpo normativo.</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Para comprender integralmente la anterior noción, resulta útil y fundada la distinción entre disposición y norma. Así, las primeras –</w:t>
      </w:r>
      <w:r w:rsidRPr="00F21E44">
        <w:rPr>
          <w:rFonts w:ascii="Cambria" w:hAnsi="Cambria"/>
          <w:u w:val="single"/>
          <w:lang w:val="es-ES_tradnl"/>
        </w:rPr>
        <w:t>disposiciones- son aquellos enunciados lingüísticos prescriptivos producidos por los entes con potestades normativas</w:t>
      </w:r>
      <w:r w:rsidRPr="00982D18">
        <w:rPr>
          <w:rFonts w:ascii="Cambria" w:hAnsi="Cambria"/>
          <w:lang w:val="es-ES_tradnl"/>
        </w:rPr>
        <w:t>; mientras que las segundas –</w:t>
      </w:r>
      <w:r w:rsidRPr="00F21E44">
        <w:rPr>
          <w:rFonts w:ascii="Cambria" w:hAnsi="Cambria"/>
          <w:u w:val="single"/>
          <w:lang w:val="es-ES_tradnl"/>
        </w:rPr>
        <w:t xml:space="preserve">normas- son los mandatos jurídicos </w:t>
      </w:r>
      <w:r w:rsidRPr="00982D18">
        <w:rPr>
          <w:rFonts w:ascii="Cambria" w:hAnsi="Cambria"/>
          <w:lang w:val="es-ES_tradnl"/>
        </w:rPr>
        <w:t>que se derivan de la interpretación de las primeras.</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Sobre ello se ha dicho que corresponde al actor delimitar el objeto de control, tanto en su manifestación lingüística prescriptiva –la disposición-, como además, fijar los límites de la impugnación con el establecimiento de un contenido normativo deducido de dicho objeto –la norma-. De esta manera, la pretensión de inconstitucionalidad se construye a partir de las disposiciones –secundarias y constitucionales-, pero se entabla contrastando las normas de ambas –resultados interpretativos-.</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En ese sentido, si bien una reforma implica la alteración de la estructura lingüística de la disposición, puede no incidir en la norma derivada que se sitúa en uno de los extremos del contraste que se está conociendo en un proceso de inconstitucionalidad. </w:t>
      </w:r>
      <w:r w:rsidRPr="00C53EAE">
        <w:rPr>
          <w:rFonts w:ascii="Cambria" w:hAnsi="Cambria"/>
          <w:u w:val="single"/>
          <w:lang w:val="es-ES_tradnl"/>
        </w:rPr>
        <w:t xml:space="preserve">Asimismo, </w:t>
      </w:r>
      <w:r w:rsidRPr="00C53EAE">
        <w:rPr>
          <w:rFonts w:ascii="Cambria" w:hAnsi="Cambria"/>
          <w:i/>
          <w:u w:val="single"/>
          <w:lang w:val="es-ES_tradnl"/>
        </w:rPr>
        <w:t>una disposición puede ser derogada expresamente ante la emisión de una nueva regulación completa, pero ésta puede retomar la norma impugnada y pervivir el contraste aludido.</w:t>
      </w:r>
      <w:r w:rsidRPr="00982D18">
        <w:rPr>
          <w:rFonts w:ascii="Cambria" w:hAnsi="Cambria"/>
          <w:i/>
          <w:lang w:val="es-ES_tradnl"/>
        </w:rPr>
        <w:t xml:space="preserve"> </w:t>
      </w:r>
      <w:r w:rsidRPr="00982D18">
        <w:rPr>
          <w:rFonts w:ascii="Cambria" w:hAnsi="Cambria"/>
          <w:lang w:val="es-ES_tradnl"/>
        </w:rPr>
        <w:t xml:space="preserve">En ambos casos, el proceso de </w:t>
      </w:r>
      <w:r w:rsidRPr="00C53EAE">
        <w:rPr>
          <w:rFonts w:ascii="Cambria" w:hAnsi="Cambria"/>
          <w:i/>
          <w:lang w:val="es-ES_tradnl"/>
        </w:rPr>
        <w:t>inconstitucionalidad se mantiene hasta concluir mediante sentencia de fondo</w:t>
      </w:r>
      <w:r w:rsidRPr="00982D18">
        <w:rPr>
          <w:rFonts w:ascii="Cambria" w:hAnsi="Cambria"/>
          <w:lang w:val="es-ES_tradnl"/>
        </w:rPr>
        <w:t xml:space="preserve"> que decida la constitucionalidad de la norma.</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Ello se ha determinado para dar una respuesta eficaz al  justiciable, y evitar fraudes a la Constitución; pues lo </w:t>
      </w:r>
      <w:r w:rsidRPr="00C53EAE">
        <w:rPr>
          <w:rFonts w:ascii="Cambria" w:hAnsi="Cambria"/>
          <w:highlight w:val="yellow"/>
          <w:lang w:val="es-ES_tradnl"/>
        </w:rPr>
        <w:t>correcto es conocer del fondo de la pretensión expuesta por el ciudadano</w:t>
      </w:r>
      <w:r w:rsidRPr="00982D18">
        <w:rPr>
          <w:rFonts w:ascii="Cambria" w:hAnsi="Cambria"/>
          <w:lang w:val="es-ES_tradnl"/>
        </w:rPr>
        <w:t>, o en su caso, del requerimiento judicial vía remisión de una declaratoria de inaplicabilidad, y evitar que un cuerpo normativo, que debe estar sometido a la Constitución, se sustraiga del control de constitucionalidad porque ha sido trasladada por la autoridad demandada a otro cuerpo normativo.</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En conclusión, </w:t>
      </w:r>
      <w:r w:rsidRPr="00C53EAE">
        <w:rPr>
          <w:rFonts w:ascii="Cambria" w:hAnsi="Cambria"/>
          <w:highlight w:val="yellow"/>
          <w:lang w:val="es-ES_tradnl"/>
        </w:rPr>
        <w:t>el control de constitucionalidad</w:t>
      </w:r>
      <w:r w:rsidRPr="00982D18">
        <w:rPr>
          <w:rFonts w:ascii="Cambria" w:hAnsi="Cambria"/>
          <w:lang w:val="es-ES_tradnl"/>
        </w:rPr>
        <w:t xml:space="preserve"> recae sobre el contenido de la disposición impugnada o inaplicada y su persistencia en el ordenamiento jurídico por su transposición a otro cuerpo normativo, lo que implica la paralela subsistencia de la </w:t>
      </w:r>
      <w:r w:rsidRPr="00982D18">
        <w:rPr>
          <w:rFonts w:ascii="Cambria" w:hAnsi="Cambria"/>
          <w:i/>
          <w:lang w:val="es-ES_tradnl"/>
        </w:rPr>
        <w:t>causa petendi</w:t>
      </w:r>
      <w:r w:rsidRPr="00982D18">
        <w:rPr>
          <w:rFonts w:ascii="Cambria" w:hAnsi="Cambria"/>
          <w:lang w:val="es-ES_tradnl"/>
        </w:rPr>
        <w:t xml:space="preserve"> de la pretensión o del contraste advertido en una inaplicabilidad, traídos al conocimiento de este tribunal</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Por ello, se establece la posibilidad de entrar a conocer la constitucionalidad de una nueva disposición o regulación que contenga la norma inicialmente impugnada o inaplicada.</w:t>
      </w:r>
    </w:p>
    <w:p w:rsidR="00090BF6" w:rsidRPr="00982D18" w:rsidRDefault="00090BF6" w:rsidP="00090BF6">
      <w:pPr>
        <w:spacing w:after="120" w:line="240" w:lineRule="auto"/>
        <w:jc w:val="both"/>
        <w:rPr>
          <w:rFonts w:ascii="Cambria" w:hAnsi="Cambria"/>
          <w:lang w:val="es-ES_tradnl"/>
        </w:rPr>
      </w:pPr>
      <w:r w:rsidRPr="00982D18">
        <w:rPr>
          <w:rFonts w:ascii="Cambria" w:hAnsi="Cambria"/>
          <w:i/>
          <w:lang w:val="es-ES_tradnl"/>
        </w:rPr>
        <w:lastRenderedPageBreak/>
        <w:tab/>
        <w:t xml:space="preserve">2. </w:t>
      </w:r>
      <w:r w:rsidRPr="00982D18">
        <w:rPr>
          <w:rFonts w:ascii="Cambria" w:hAnsi="Cambria"/>
          <w:lang w:val="es-ES_tradnl"/>
        </w:rPr>
        <w:t xml:space="preserve">Al respecto, se advierte que en el CPrCyM, vigente desde el 1-VII-2010, se </w:t>
      </w:r>
      <w:r w:rsidRPr="00C53EAE">
        <w:rPr>
          <w:rFonts w:ascii="Cambria" w:hAnsi="Cambria"/>
          <w:highlight w:val="yellow"/>
          <w:lang w:val="es-ES_tradnl"/>
        </w:rPr>
        <w:t>contempla la</w:t>
      </w:r>
      <w:r w:rsidRPr="00982D18">
        <w:rPr>
          <w:rFonts w:ascii="Cambria" w:hAnsi="Cambria"/>
          <w:lang w:val="es-ES_tradnl"/>
        </w:rPr>
        <w:t xml:space="preserve"> </w:t>
      </w:r>
      <w:r w:rsidRPr="00C53EAE">
        <w:rPr>
          <w:rFonts w:ascii="Cambria" w:hAnsi="Cambria"/>
          <w:highlight w:val="yellow"/>
          <w:lang w:val="es-ES_tradnl"/>
        </w:rPr>
        <w:t>Declaración de Parte como un medio probatorio</w:t>
      </w:r>
      <w:r w:rsidRPr="00982D18">
        <w:rPr>
          <w:rFonts w:ascii="Cambria" w:hAnsi="Cambria"/>
          <w:lang w:val="es-ES_tradnl"/>
        </w:rPr>
        <w:t>, en virtud del cual, para efectos de preparar su pretensión, su oposición a ésta o su excepción, cada parte podrá solicitar al juez que se ordene recibir la declaración de la parte contraria o de quien potencialmente pudiera ser su contraparte en un proceso (art. 345 CPrCyM).</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Así, en la práctica de dicho medio probatorio, el art. </w:t>
      </w:r>
      <w:r w:rsidRPr="00791208">
        <w:rPr>
          <w:rFonts w:ascii="Cambria" w:hAnsi="Cambria"/>
          <w:highlight w:val="yellow"/>
          <w:lang w:val="es-ES_tradnl"/>
        </w:rPr>
        <w:t>351 CPrCyM</w:t>
      </w:r>
      <w:r w:rsidRPr="00982D18">
        <w:rPr>
          <w:rFonts w:ascii="Cambria" w:hAnsi="Cambria"/>
          <w:lang w:val="es-ES_tradnl"/>
        </w:rPr>
        <w:t xml:space="preserve"> contempla lo siguiente: </w:t>
      </w:r>
    </w:p>
    <w:p w:rsidR="00090BF6" w:rsidRPr="00982D18" w:rsidRDefault="00090BF6" w:rsidP="00090BF6">
      <w:pPr>
        <w:spacing w:after="120" w:line="240" w:lineRule="auto"/>
        <w:jc w:val="both"/>
        <w:rPr>
          <w:rFonts w:ascii="Cambria" w:hAnsi="Cambria"/>
          <w:i/>
          <w:lang w:val="es-ES_tradnl"/>
        </w:rPr>
      </w:pPr>
      <w:r w:rsidRPr="00982D18">
        <w:rPr>
          <w:rFonts w:ascii="Cambria" w:hAnsi="Cambria"/>
          <w:i/>
          <w:lang w:val="es-ES_tradnl"/>
        </w:rPr>
        <w:tab/>
        <w:t>Negativa a responder</w:t>
      </w:r>
    </w:p>
    <w:p w:rsidR="00090BF6" w:rsidRPr="00982D18" w:rsidRDefault="00090BF6" w:rsidP="00090BF6">
      <w:pPr>
        <w:spacing w:after="120" w:line="240" w:lineRule="auto"/>
        <w:jc w:val="both"/>
        <w:rPr>
          <w:rFonts w:ascii="Cambria" w:hAnsi="Cambria"/>
          <w:i/>
          <w:lang w:val="es-ES_tradnl"/>
        </w:rPr>
      </w:pPr>
      <w:r w:rsidRPr="00982D18">
        <w:rPr>
          <w:rFonts w:ascii="Cambria" w:hAnsi="Cambria"/>
          <w:i/>
          <w:lang w:val="es-ES_tradnl"/>
        </w:rPr>
        <w:tab/>
        <w:t xml:space="preserve">“Art. 351. La negativa del interrogado a responder podrá ser considerada como reconocimiento de los hechos en que hubiera intervenido y que fueran perjudiciales para aquéllos a los que se refieran las preguntas, salvo en el caso de que resulte amparado por la facultad de guardar secreto o el derecho a no autoincriminarse por un delito. </w:t>
      </w:r>
    </w:p>
    <w:p w:rsidR="00090BF6" w:rsidRPr="00982D18" w:rsidRDefault="00090BF6" w:rsidP="00090BF6">
      <w:pPr>
        <w:spacing w:after="120" w:line="240" w:lineRule="auto"/>
        <w:jc w:val="both"/>
        <w:rPr>
          <w:rFonts w:ascii="Cambria" w:hAnsi="Cambria"/>
          <w:i/>
          <w:lang w:val="es-ES_tradnl"/>
        </w:rPr>
      </w:pPr>
      <w:r w:rsidRPr="00982D18">
        <w:rPr>
          <w:rFonts w:ascii="Cambria" w:hAnsi="Cambria"/>
          <w:i/>
          <w:lang w:val="es-ES_tradnl"/>
        </w:rPr>
        <w:tab/>
        <w:t>Lo previsto en el inciso anterior se aplicará cuando las respuestas fueran evasivas o no concluyentes.”</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Situación ésta que denota una similitud de contenidos normativos -respecto del art. 385 </w:t>
      </w:r>
      <w:r w:rsidRPr="00791208">
        <w:rPr>
          <w:rFonts w:ascii="Cambria" w:hAnsi="Cambria"/>
          <w:highlight w:val="yellow"/>
          <w:lang w:val="es-ES_tradnl"/>
        </w:rPr>
        <w:t>CPrC derogado</w:t>
      </w:r>
      <w:r w:rsidRPr="00982D18">
        <w:rPr>
          <w:rFonts w:ascii="Cambria" w:hAnsi="Cambria"/>
          <w:lang w:val="es-ES_tradnl"/>
        </w:rPr>
        <w:t>-, en tanto que, si la parte a quien se le ha pedido declaración se niega a responder o lo hace mediante respuestas evasivas o no concluyentes, se considerará por parte del juzgador que son ciertos los hechos que se le atribuyen, por lo que se preserva, entonces, la posibilidad de examinar el argumento de inconstitucionalidad.</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En ese sentido, el conocimiento y decisión en este proceso se circunscribe al control de constitucionalidad del </w:t>
      </w:r>
      <w:r w:rsidRPr="00791208">
        <w:rPr>
          <w:rFonts w:ascii="Cambria" w:hAnsi="Cambria"/>
          <w:highlight w:val="yellow"/>
          <w:lang w:val="es-ES_tradnl"/>
        </w:rPr>
        <w:t>art. 351 CPrCyM</w:t>
      </w:r>
      <w:r w:rsidRPr="00982D18">
        <w:rPr>
          <w:rFonts w:ascii="Cambria" w:hAnsi="Cambria"/>
          <w:lang w:val="es-ES_tradnl"/>
        </w:rPr>
        <w:t xml:space="preserve"> por la </w:t>
      </w:r>
      <w:r w:rsidRPr="00791208">
        <w:rPr>
          <w:rFonts w:ascii="Cambria" w:hAnsi="Cambria"/>
          <w:u w:val="single"/>
          <w:lang w:val="es-ES_tradnl"/>
        </w:rPr>
        <w:t>vulneración a la presunción de inocencia y el derecho de defensa como manifestaciones del derecho a un debido proceso</w:t>
      </w:r>
      <w:r w:rsidRPr="00982D18">
        <w:rPr>
          <w:rFonts w:ascii="Cambria" w:hAnsi="Cambria"/>
          <w:lang w:val="es-ES_tradnl"/>
        </w:rPr>
        <w:t xml:space="preserve"> (art. 12 Cn.).</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b/>
          <w:lang w:val="es-ES_tradnl"/>
        </w:rPr>
        <w:t>IV.</w:t>
      </w:r>
      <w:r w:rsidRPr="00982D18">
        <w:rPr>
          <w:rFonts w:ascii="Cambria" w:hAnsi="Cambria"/>
          <w:lang w:val="es-ES_tradnl"/>
        </w:rPr>
        <w:t xml:space="preserve"> Por las razones antes expuestas, de conformidad con el art. </w:t>
      </w:r>
      <w:r w:rsidRPr="00791208">
        <w:rPr>
          <w:rFonts w:ascii="Cambria" w:hAnsi="Cambria"/>
          <w:highlight w:val="yellow"/>
          <w:lang w:val="es-ES_tradnl"/>
        </w:rPr>
        <w:t>77-C</w:t>
      </w:r>
      <w:r w:rsidRPr="00982D18">
        <w:rPr>
          <w:rFonts w:ascii="Cambria" w:hAnsi="Cambria"/>
          <w:lang w:val="es-ES_tradnl"/>
        </w:rPr>
        <w:t xml:space="preserve"> de la Ley de Procedimientos Constitucionales </w:t>
      </w:r>
      <w:r w:rsidRPr="00982D18">
        <w:rPr>
          <w:rFonts w:ascii="Cambria" w:hAnsi="Cambria"/>
          <w:b/>
          <w:lang w:val="es-ES_tradnl"/>
        </w:rPr>
        <w:t>RESUELVE</w:t>
      </w:r>
      <w:r w:rsidRPr="00982D18">
        <w:rPr>
          <w:rFonts w:ascii="Cambria" w:hAnsi="Cambria"/>
          <w:lang w:val="es-ES_tradnl"/>
        </w:rPr>
        <w:t>:</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 xml:space="preserve">1. </w:t>
      </w:r>
      <w:r w:rsidRPr="00791208">
        <w:rPr>
          <w:rFonts w:ascii="Cambria" w:hAnsi="Cambria"/>
          <w:i/>
          <w:highlight w:val="yellow"/>
          <w:lang w:val="es-ES_tradnl"/>
        </w:rPr>
        <w:t>Sin lugar el inicio del proceso de inconstitucionalidad</w:t>
      </w:r>
      <w:r w:rsidRPr="00982D18">
        <w:rPr>
          <w:rFonts w:ascii="Cambria" w:hAnsi="Cambria"/>
          <w:i/>
          <w:lang w:val="es-ES_tradnl"/>
        </w:rPr>
        <w:t xml:space="preserve">, </w:t>
      </w:r>
      <w:r w:rsidRPr="00982D18">
        <w:rPr>
          <w:rFonts w:ascii="Cambria" w:hAnsi="Cambria"/>
          <w:lang w:val="es-ES_tradnl"/>
        </w:rPr>
        <w:t xml:space="preserve">requerido mediante remisión de la certificación de la resolución dictada por la Juez Cuarto de Tránsito de San Salvador, en la que declaró la inaplicabilidad del </w:t>
      </w:r>
      <w:r w:rsidRPr="00791208">
        <w:rPr>
          <w:rFonts w:ascii="Cambria" w:hAnsi="Cambria"/>
          <w:highlight w:val="yellow"/>
          <w:lang w:val="es-ES_tradnl"/>
        </w:rPr>
        <w:t>art. 381</w:t>
      </w:r>
      <w:r w:rsidRPr="00982D18">
        <w:rPr>
          <w:rFonts w:ascii="Cambria" w:hAnsi="Cambria"/>
          <w:lang w:val="es-ES_tradnl"/>
        </w:rPr>
        <w:t xml:space="preserve"> del Código de Procedimientos Civiles, por cuanto </w:t>
      </w:r>
      <w:r w:rsidRPr="00791208">
        <w:rPr>
          <w:rFonts w:ascii="Cambria" w:hAnsi="Cambria"/>
          <w:u w:val="single"/>
          <w:lang w:val="es-ES_tradnl"/>
        </w:rPr>
        <w:t>carece de uno de los presupuestos mínimos</w:t>
      </w:r>
      <w:r w:rsidRPr="00982D18">
        <w:rPr>
          <w:rFonts w:ascii="Cambria" w:hAnsi="Cambria"/>
          <w:lang w:val="es-ES_tradnl"/>
        </w:rPr>
        <w:t>, derivables de los arts. 77-A, 77-B y 77-C de la L.Pr.Cn. para tramitar y decidir un proceso de inconstitucionalidad con base en el requerimiento judicial, cual es la inexistencia de pronunciamiento, por parte de esta Sala, respecto de la referida disposición inaplicada.</w:t>
      </w:r>
    </w:p>
    <w:p w:rsidR="00090BF6" w:rsidRPr="00982D18" w:rsidRDefault="00090BF6" w:rsidP="00090BF6">
      <w:pPr>
        <w:spacing w:after="120" w:line="240" w:lineRule="auto"/>
        <w:jc w:val="both"/>
        <w:rPr>
          <w:rFonts w:ascii="Cambria" w:hAnsi="Cambria"/>
          <w:lang w:val="es-ES_tradnl"/>
        </w:rPr>
      </w:pPr>
      <w:r w:rsidRPr="00982D18">
        <w:rPr>
          <w:rFonts w:ascii="Cambria" w:hAnsi="Cambria"/>
          <w:i/>
          <w:lang w:val="es-ES_tradnl"/>
        </w:rPr>
        <w:tab/>
        <w:t xml:space="preserve">2. </w:t>
      </w:r>
      <w:r w:rsidRPr="00791208">
        <w:rPr>
          <w:rFonts w:ascii="Cambria" w:hAnsi="Cambria"/>
          <w:i/>
          <w:highlight w:val="yellow"/>
          <w:lang w:val="es-ES_tradnl"/>
        </w:rPr>
        <w:t>Sin lugar el inicio del proceso de inconstitucionalidad</w:t>
      </w:r>
      <w:r w:rsidRPr="00982D18">
        <w:rPr>
          <w:rFonts w:ascii="Cambria" w:hAnsi="Cambria"/>
          <w:i/>
          <w:lang w:val="es-ES_tradnl"/>
        </w:rPr>
        <w:t xml:space="preserve">, </w:t>
      </w:r>
      <w:r w:rsidRPr="00982D18">
        <w:rPr>
          <w:rFonts w:ascii="Cambria" w:hAnsi="Cambria"/>
          <w:lang w:val="es-ES_tradnl"/>
        </w:rPr>
        <w:t>requerido mediante remisión de la certificación de la resolución dictada por la Juez Cuarto de Tránsito de San Salvador, en la que declaró la inaplicabilidad de los arts. 377, 378, 379, 380, 382, 383, 384 del Código de Procedimientos Civiles, por cuanto carece de uno de los presupuestos mínimos, derivables de los arts. 77-A, 77-B y 77-C de la L.Pr.Cn. para tramitar y decidir un proceso de inconstitucionalidad con base en el requerimiento judicial, cual es establecer las razones que sirven de fundamento a la inaplicación.</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3.</w:t>
      </w:r>
      <w:r w:rsidRPr="00982D18">
        <w:rPr>
          <w:rFonts w:ascii="Cambria" w:hAnsi="Cambria"/>
          <w:lang w:val="es-ES_tradnl"/>
        </w:rPr>
        <w:t xml:space="preserve"> Por recibida la certificación de la resolución dictada por la Juez Cuarto de Tránsito de San Salvador, descrita al inicio de la presente resolución, constitutiva de requerimiento a esta Sala para pronunciarse sobre la constitucionalidad </w:t>
      </w:r>
      <w:r w:rsidRPr="00791208">
        <w:rPr>
          <w:rFonts w:ascii="Cambria" w:hAnsi="Cambria"/>
          <w:highlight w:val="yellow"/>
          <w:lang w:val="es-ES_tradnl"/>
        </w:rPr>
        <w:t>del art. 385</w:t>
      </w:r>
      <w:r w:rsidRPr="00982D18">
        <w:rPr>
          <w:rFonts w:ascii="Cambria" w:hAnsi="Cambria"/>
          <w:lang w:val="es-ES_tradnl"/>
        </w:rPr>
        <w:t xml:space="preserve"> del Código de Procedimientos Civiles ya derogado. Disposición cuyo contenido persiste en la nueva normativa procesal civil, específicamente en el art. </w:t>
      </w:r>
      <w:r w:rsidRPr="00791208">
        <w:rPr>
          <w:rFonts w:ascii="Cambria" w:hAnsi="Cambria"/>
          <w:highlight w:val="yellow"/>
          <w:lang w:val="es-ES_tradnl"/>
        </w:rPr>
        <w:t>351 CPrCyM</w:t>
      </w:r>
      <w:r w:rsidRPr="00982D18">
        <w:rPr>
          <w:rFonts w:ascii="Cambria" w:hAnsi="Cambria"/>
          <w:lang w:val="es-ES_tradnl"/>
        </w:rPr>
        <w:t>, y al pervivir el contraste aludido, resulta pertinente entrar a conocer sobre la constitucionalidad de dicha disposición.</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t xml:space="preserve">El conocimiento y decisión en este proceso deberá circunscribirse entonces, al control de constitucionalidad del art. 351 CPrCyM en cuanto a que dicha disposición prevé que el juzgador </w:t>
      </w:r>
      <w:r w:rsidRPr="00982D18">
        <w:rPr>
          <w:rFonts w:ascii="Cambria" w:hAnsi="Cambria"/>
          <w:lang w:val="es-ES_tradnl"/>
        </w:rPr>
        <w:lastRenderedPageBreak/>
        <w:t xml:space="preserve">considerará como ciertos los hechos que se le atribuyen a la parte declarante, si ésta se niega a responder o lo hace mediante respuestas evasivas o no concluyentes, </w:t>
      </w:r>
      <w:r w:rsidRPr="00791208">
        <w:rPr>
          <w:rFonts w:ascii="Cambria" w:hAnsi="Cambria"/>
          <w:highlight w:val="yellow"/>
          <w:lang w:val="es-ES_tradnl"/>
        </w:rPr>
        <w:t>vulnerándose</w:t>
      </w:r>
      <w:r w:rsidRPr="00982D18">
        <w:rPr>
          <w:rFonts w:ascii="Cambria" w:hAnsi="Cambria"/>
          <w:lang w:val="es-ES_tradnl"/>
        </w:rPr>
        <w:t xml:space="preserve"> la presunción de inocencia y el derecho de defensa como manifestaciones del derecho a un debido proceso (art. 12 Cn).</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4. Rinda informe la Asamblea Legislativa</w:t>
      </w:r>
      <w:r w:rsidRPr="00982D18">
        <w:rPr>
          <w:rFonts w:ascii="Cambria" w:hAnsi="Cambria"/>
          <w:lang w:val="es-ES_tradnl"/>
        </w:rPr>
        <w:t>, en el plazo de diez días hábiles contados a partir de la notificación de la presente resolución, mediante el cual justifique la constitucionalidad del art. 351 CPrCyM, contenido en el Decreto Legislativo nº 712 de fecha 14-XI-2008, publicado en el Diario Oficial nº 224, Tomo nº 224, Tomo nº 381, de fecha 27-XI-2008; para lo cual deberá tomar en cuenta los motivos de inconstitucionalidad delimitados en esta resolución.</w:t>
      </w:r>
    </w:p>
    <w:p w:rsidR="00090BF6" w:rsidRPr="00982D18" w:rsidRDefault="00090BF6" w:rsidP="00090BF6">
      <w:pPr>
        <w:spacing w:after="120" w:line="240" w:lineRule="auto"/>
        <w:jc w:val="both"/>
        <w:rPr>
          <w:rFonts w:ascii="Cambria" w:hAnsi="Cambria"/>
          <w:lang w:val="es-ES_tradnl"/>
        </w:rPr>
      </w:pPr>
      <w:r w:rsidRPr="00982D18">
        <w:rPr>
          <w:rFonts w:ascii="Cambria" w:hAnsi="Cambria"/>
          <w:lang w:val="es-ES_tradnl"/>
        </w:rPr>
        <w:tab/>
      </w:r>
      <w:r w:rsidRPr="00982D18">
        <w:rPr>
          <w:rFonts w:ascii="Cambria" w:hAnsi="Cambria"/>
          <w:i/>
          <w:lang w:val="es-ES_tradnl"/>
        </w:rPr>
        <w:t>5. Notifíquese</w:t>
      </w:r>
      <w:r w:rsidRPr="00982D18">
        <w:rPr>
          <w:rFonts w:ascii="Cambria" w:hAnsi="Cambria"/>
          <w:lang w:val="es-ES_tradnl"/>
        </w:rPr>
        <w:t>.</w:t>
      </w:r>
    </w:p>
    <w:p w:rsidR="00691BCF" w:rsidRDefault="00364DCB"/>
    <w:sectPr w:rsidR="00691BCF" w:rsidSect="00803C50">
      <w:pgSz w:w="12240" w:h="15840"/>
      <w:pgMar w:top="1418" w:right="1588" w:bottom="1418" w:left="1588" w:header="737" w:footer="737"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entury Gothic">
    <w:altName w:val="Geneva"/>
    <w:panose1 w:val="020B0502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090BF6"/>
    <w:rsid w:val="00070D07"/>
    <w:rsid w:val="00090BF6"/>
    <w:rsid w:val="001732E7"/>
    <w:rsid w:val="00364DCB"/>
    <w:rsid w:val="00604B86"/>
    <w:rsid w:val="00791208"/>
    <w:rsid w:val="00C53EAE"/>
    <w:rsid w:val="00D3518E"/>
    <w:rsid w:val="00F21E44"/>
    <w:rsid w:val="00F47B01"/>
  </w:rsids>
  <m:mathPr>
    <m:mathFont m:val="Cambria Math"/>
    <m:brkBin m:val="before"/>
    <m:brkBinSub m:val="--"/>
    <m:smallFrac m:val="off"/>
    <m:dispDef m:val="off"/>
    <m:lMargin m:val="0"/>
    <m:rMargin m:val="0"/>
    <m:defJc m:val="centerGroup"/>
    <m:wrapRight/>
    <m:intLim m:val="subSup"/>
    <m:naryLim m:val="subSup"/>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F6"/>
    <w:pPr>
      <w:spacing w:line="276" w:lineRule="auto"/>
    </w:pPr>
    <w:rPr>
      <w:rFonts w:ascii="Calibri" w:eastAsia="Calibri" w:hAnsi="Calibri" w:cs="Times New Roman"/>
      <w:sz w:val="22"/>
      <w:szCs w:val="2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2867</Words>
  <Characters>15773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Parada</dc:creator>
  <cp:lastModifiedBy>David</cp:lastModifiedBy>
  <cp:revision>2</cp:revision>
  <dcterms:created xsi:type="dcterms:W3CDTF">2012-09-03T15:35:00Z</dcterms:created>
  <dcterms:modified xsi:type="dcterms:W3CDTF">2012-09-03T15:35:00Z</dcterms:modified>
</cp:coreProperties>
</file>