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6F2" w:rsidRPr="00A556F2" w:rsidRDefault="00A556F2" w:rsidP="00A556F2">
      <w:pPr>
        <w:spacing w:after="0" w:line="240" w:lineRule="auto"/>
        <w:rPr>
          <w:rFonts w:ascii="Calibri" w:eastAsia="Times New Roman" w:hAnsi="Calibri"/>
          <w:bCs w:val="0"/>
          <w:sz w:val="22"/>
          <w:lang w:val="es-ES" w:eastAsia="es-SV"/>
        </w:rPr>
      </w:pPr>
      <w:r w:rsidRPr="00A556F2">
        <w:rPr>
          <w:rFonts w:ascii="Arial" w:eastAsia="Times New Roman" w:hAnsi="Arial" w:cs="Arial"/>
          <w:b/>
          <w:sz w:val="20"/>
          <w:szCs w:val="20"/>
          <w:lang w:val="es-ES" w:eastAsia="es-SV"/>
        </w:rPr>
        <w:t xml:space="preserve">»Nombre del Documento: </w:t>
      </w:r>
      <w:bookmarkStart w:id="0" w:name="marca0"/>
      <w:bookmarkStart w:id="1" w:name="_GoBack"/>
      <w:r w:rsidRPr="00A556F2">
        <w:rPr>
          <w:rFonts w:ascii="Arial" w:eastAsia="Times New Roman" w:hAnsi="Arial" w:cs="Arial"/>
          <w:b/>
          <w:color w:val="FF0000"/>
          <w:sz w:val="20"/>
          <w:szCs w:val="20"/>
          <w:lang w:val="es-ES" w:eastAsia="es-SV"/>
        </w:rPr>
        <w:t>CONVENCION</w:t>
      </w:r>
      <w:bookmarkEnd w:id="0"/>
      <w:r w:rsidRPr="00A556F2">
        <w:rPr>
          <w:rFonts w:ascii="Arial" w:eastAsia="Times New Roman" w:hAnsi="Arial" w:cs="Arial"/>
          <w:b/>
          <w:sz w:val="20"/>
          <w:szCs w:val="20"/>
          <w:lang w:val="es-ES" w:eastAsia="es-SV"/>
        </w:rPr>
        <w:t xml:space="preserve"> </w:t>
      </w:r>
      <w:bookmarkStart w:id="2" w:name="marca1"/>
      <w:r w:rsidRPr="00A556F2">
        <w:rPr>
          <w:rFonts w:ascii="Arial" w:eastAsia="Times New Roman" w:hAnsi="Arial" w:cs="Arial"/>
          <w:b/>
          <w:color w:val="FF0000"/>
          <w:sz w:val="20"/>
          <w:szCs w:val="20"/>
          <w:lang w:val="es-ES" w:eastAsia="es-SV"/>
        </w:rPr>
        <w:t>INTERAMERICANA</w:t>
      </w:r>
      <w:bookmarkEnd w:id="2"/>
      <w:r w:rsidRPr="00A556F2">
        <w:rPr>
          <w:rFonts w:ascii="Arial" w:eastAsia="Times New Roman" w:hAnsi="Arial" w:cs="Arial"/>
          <w:b/>
          <w:sz w:val="20"/>
          <w:szCs w:val="20"/>
          <w:lang w:val="es-ES" w:eastAsia="es-SV"/>
        </w:rPr>
        <w:t xml:space="preserve"> SOBRE </w:t>
      </w:r>
      <w:bookmarkStart w:id="3" w:name="marca2"/>
      <w:r w:rsidRPr="00A556F2">
        <w:rPr>
          <w:rFonts w:ascii="Arial" w:eastAsia="Times New Roman" w:hAnsi="Arial" w:cs="Arial"/>
          <w:b/>
          <w:color w:val="FF0000"/>
          <w:sz w:val="20"/>
          <w:szCs w:val="20"/>
          <w:lang w:val="es-ES" w:eastAsia="es-SV"/>
        </w:rPr>
        <w:t>EXHORTOS</w:t>
      </w:r>
      <w:bookmarkEnd w:id="3"/>
      <w:r w:rsidRPr="00A556F2">
        <w:rPr>
          <w:rFonts w:ascii="Arial" w:eastAsia="Times New Roman" w:hAnsi="Arial" w:cs="Arial"/>
          <w:b/>
          <w:sz w:val="20"/>
          <w:szCs w:val="20"/>
          <w:lang w:val="es-ES" w:eastAsia="es-SV"/>
        </w:rPr>
        <w:t xml:space="preserve"> O CARTAS ROGATORIAS</w:t>
      </w:r>
    </w:p>
    <w:bookmarkEnd w:id="1"/>
    <w:p w:rsidR="00A556F2" w:rsidRPr="00A556F2" w:rsidRDefault="00A556F2" w:rsidP="00A556F2">
      <w:pPr>
        <w:spacing w:after="0" w:line="240" w:lineRule="auto"/>
        <w:rPr>
          <w:rFonts w:ascii="Calibri" w:eastAsia="Times New Roman" w:hAnsi="Calibri"/>
          <w:bCs w:val="0"/>
          <w:sz w:val="22"/>
          <w:lang w:val="es-ES" w:eastAsia="es-SV"/>
        </w:rPr>
      </w:pPr>
      <w:r w:rsidRPr="00A556F2">
        <w:rPr>
          <w:rFonts w:ascii="Arial" w:eastAsia="Times New Roman" w:hAnsi="Arial" w:cs="Arial"/>
          <w:b/>
          <w:sz w:val="20"/>
          <w:szCs w:val="20"/>
          <w:lang w:val="es-ES" w:eastAsia="es-SV"/>
        </w:rPr>
        <w:t>»Fecha de emisión: 05/05/1992</w:t>
      </w:r>
    </w:p>
    <w:p w:rsidR="00A556F2" w:rsidRPr="00A556F2" w:rsidRDefault="00A556F2" w:rsidP="00A556F2">
      <w:pPr>
        <w:spacing w:after="0" w:line="240" w:lineRule="auto"/>
        <w:rPr>
          <w:rFonts w:ascii="Calibri" w:eastAsia="Times New Roman" w:hAnsi="Calibri"/>
          <w:bCs w:val="0"/>
          <w:sz w:val="22"/>
          <w:lang w:val="es-ES" w:eastAsia="es-SV"/>
        </w:rPr>
      </w:pPr>
      <w:r w:rsidRPr="00A556F2">
        <w:rPr>
          <w:rFonts w:ascii="Arial" w:eastAsia="Times New Roman" w:hAnsi="Arial" w:cs="Arial"/>
          <w:b/>
          <w:sz w:val="20"/>
          <w:szCs w:val="20"/>
          <w:lang w:val="es-ES" w:eastAsia="es-SV"/>
        </w:rPr>
        <w:t>»Tipo de Documento: Convención</w:t>
      </w:r>
    </w:p>
    <w:p w:rsidR="00A556F2" w:rsidRPr="00A556F2" w:rsidRDefault="00A556F2" w:rsidP="00A556F2">
      <w:pPr>
        <w:spacing w:after="0" w:line="240" w:lineRule="auto"/>
        <w:rPr>
          <w:rFonts w:ascii="Calibri" w:eastAsia="Times New Roman" w:hAnsi="Calibri"/>
          <w:bCs w:val="0"/>
          <w:sz w:val="22"/>
          <w:lang w:val="es-ES" w:eastAsia="es-SV"/>
        </w:rPr>
      </w:pPr>
      <w:r w:rsidRPr="00A556F2">
        <w:rPr>
          <w:rFonts w:ascii="Arial" w:eastAsia="Times New Roman" w:hAnsi="Arial" w:cs="Arial"/>
          <w:b/>
          <w:sz w:val="20"/>
          <w:szCs w:val="20"/>
          <w:lang w:val="es-ES" w:eastAsia="es-SV"/>
        </w:rPr>
        <w:t>»Materia: Judicial</w:t>
      </w:r>
    </w:p>
    <w:p w:rsidR="00A556F2" w:rsidRPr="00A556F2" w:rsidRDefault="00A556F2" w:rsidP="00A556F2">
      <w:pPr>
        <w:spacing w:after="0" w:line="240" w:lineRule="auto"/>
        <w:rPr>
          <w:rFonts w:ascii="Calibri" w:eastAsia="Times New Roman" w:hAnsi="Calibri"/>
          <w:bCs w:val="0"/>
          <w:sz w:val="22"/>
          <w:lang w:val="es-ES" w:eastAsia="es-SV"/>
        </w:rPr>
      </w:pPr>
      <w:r w:rsidRPr="00A556F2">
        <w:rPr>
          <w:rFonts w:ascii="Arial" w:eastAsia="Times New Roman" w:hAnsi="Arial" w:cs="Arial"/>
          <w:b/>
          <w:sz w:val="20"/>
          <w:szCs w:val="20"/>
          <w:lang w:val="es-ES" w:eastAsia="es-SV"/>
        </w:rPr>
        <w:t>»Fecha de Publicación en el D.O.: 27/05/1980</w:t>
      </w:r>
    </w:p>
    <w:p w:rsidR="00A556F2" w:rsidRPr="00A556F2" w:rsidRDefault="00A556F2" w:rsidP="00A556F2">
      <w:pPr>
        <w:spacing w:after="0" w:line="240" w:lineRule="auto"/>
        <w:rPr>
          <w:rFonts w:ascii="Calibri" w:eastAsia="Times New Roman" w:hAnsi="Calibri"/>
          <w:bCs w:val="0"/>
          <w:sz w:val="22"/>
          <w:lang w:val="es-ES" w:eastAsia="es-SV"/>
        </w:rPr>
      </w:pPr>
      <w:r w:rsidRPr="00A556F2">
        <w:rPr>
          <w:rFonts w:ascii="Arial" w:eastAsia="Times New Roman" w:hAnsi="Arial" w:cs="Arial"/>
          <w:b/>
          <w:sz w:val="20"/>
          <w:szCs w:val="20"/>
          <w:lang w:val="es-ES" w:eastAsia="es-SV"/>
        </w:rPr>
        <w:t>»Número de Diario Oficial: 98</w:t>
      </w:r>
    </w:p>
    <w:p w:rsidR="00A556F2" w:rsidRPr="00A556F2" w:rsidRDefault="00A556F2" w:rsidP="00A556F2">
      <w:pPr>
        <w:spacing w:after="0" w:line="240" w:lineRule="auto"/>
        <w:rPr>
          <w:rFonts w:ascii="Calibri" w:eastAsia="Times New Roman" w:hAnsi="Calibri"/>
          <w:bCs w:val="0"/>
          <w:sz w:val="22"/>
          <w:lang w:val="es-ES" w:eastAsia="es-SV"/>
        </w:rPr>
      </w:pPr>
      <w:r w:rsidRPr="00A556F2">
        <w:rPr>
          <w:rFonts w:ascii="Arial" w:eastAsia="Times New Roman" w:hAnsi="Arial" w:cs="Arial"/>
          <w:b/>
          <w:sz w:val="20"/>
          <w:szCs w:val="20"/>
          <w:lang w:val="es-ES" w:eastAsia="es-SV"/>
        </w:rPr>
        <w:t>»Vigencia: Vigente</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
          <w:color w:val="000000"/>
          <w:sz w:val="18"/>
          <w:szCs w:val="18"/>
          <w:lang w:val="es-ES" w:eastAsia="es-SV"/>
        </w:rPr>
        <w:t xml:space="preserve">                                </w:t>
      </w:r>
      <w:bookmarkStart w:id="4" w:name="marca3"/>
      <w:r w:rsidRPr="00A556F2">
        <w:rPr>
          <w:rFonts w:ascii="Arial" w:eastAsia="Times New Roman" w:hAnsi="Arial" w:cs="Arial"/>
          <w:b/>
          <w:color w:val="FF0000"/>
          <w:sz w:val="18"/>
          <w:szCs w:val="18"/>
          <w:lang w:val="es-ES" w:eastAsia="es-SV"/>
        </w:rPr>
        <w:t>CONVENCION</w:t>
      </w:r>
      <w:bookmarkEnd w:id="4"/>
      <w:r w:rsidRPr="00A556F2">
        <w:rPr>
          <w:rFonts w:ascii="Arial" w:eastAsia="Times New Roman" w:hAnsi="Arial" w:cs="Arial"/>
          <w:b/>
          <w:color w:val="000000"/>
          <w:sz w:val="18"/>
          <w:szCs w:val="18"/>
          <w:lang w:val="es-ES" w:eastAsia="es-SV"/>
        </w:rPr>
        <w:t xml:space="preserve"> </w:t>
      </w:r>
      <w:bookmarkStart w:id="5" w:name="marca4"/>
      <w:r w:rsidRPr="00A556F2">
        <w:rPr>
          <w:rFonts w:ascii="Arial" w:eastAsia="Times New Roman" w:hAnsi="Arial" w:cs="Arial"/>
          <w:b/>
          <w:color w:val="FF0000"/>
          <w:sz w:val="18"/>
          <w:szCs w:val="18"/>
          <w:lang w:val="es-ES" w:eastAsia="es-SV"/>
        </w:rPr>
        <w:t>INTERAMERICANA</w:t>
      </w:r>
      <w:bookmarkEnd w:id="5"/>
      <w:r w:rsidRPr="00A556F2">
        <w:rPr>
          <w:rFonts w:ascii="Arial" w:eastAsia="Times New Roman" w:hAnsi="Arial" w:cs="Arial"/>
          <w:b/>
          <w:color w:val="000000"/>
          <w:sz w:val="18"/>
          <w:szCs w:val="18"/>
          <w:lang w:val="es-ES" w:eastAsia="es-SV"/>
        </w:rPr>
        <w:t xml:space="preserve"> SOBRE </w:t>
      </w:r>
      <w:bookmarkStart w:id="6" w:name="marca5"/>
      <w:r w:rsidRPr="00A556F2">
        <w:rPr>
          <w:rFonts w:ascii="Arial" w:eastAsia="Times New Roman" w:hAnsi="Arial" w:cs="Arial"/>
          <w:b/>
          <w:color w:val="FF0000"/>
          <w:sz w:val="18"/>
          <w:szCs w:val="18"/>
          <w:lang w:val="es-ES" w:eastAsia="es-SV"/>
        </w:rPr>
        <w:t>EXHORTOS</w:t>
      </w:r>
      <w:bookmarkEnd w:id="6"/>
      <w:r w:rsidRPr="00A556F2">
        <w:rPr>
          <w:rFonts w:ascii="Arial" w:eastAsia="Times New Roman" w:hAnsi="Arial" w:cs="Arial"/>
          <w:b/>
          <w:color w:val="000000"/>
          <w:sz w:val="18"/>
          <w:szCs w:val="18"/>
          <w:lang w:val="es-ES" w:eastAsia="es-SV"/>
        </w:rPr>
        <w:t xml:space="preserve"> O CARTAS ROGATORIAS.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Los Gobiernos de los Estados Miembros de la Organización de los Estados Americanos, deseosos de concertar una Convención sobre exhortos o cartas rogatorias, han acordado lo siguiente:</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I. USO DE EXPRESIONES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I</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Para los efectos de esta Convención las expresiones "exhortos" o "cartas rogatorias" se utilizan como sinónimos en el texto español. Las expresiones "</w:t>
      </w:r>
      <w:proofErr w:type="spellStart"/>
      <w:r w:rsidRPr="00A556F2">
        <w:rPr>
          <w:rFonts w:ascii="Arial" w:eastAsia="Times New Roman" w:hAnsi="Arial" w:cs="Arial"/>
          <w:bCs w:val="0"/>
          <w:color w:val="000000"/>
          <w:sz w:val="18"/>
          <w:szCs w:val="18"/>
          <w:lang w:val="es-ES" w:eastAsia="es-SV"/>
        </w:rPr>
        <w:t>commissions</w:t>
      </w:r>
      <w:proofErr w:type="spellEnd"/>
      <w:r w:rsidRPr="00A556F2">
        <w:rPr>
          <w:rFonts w:ascii="Arial" w:eastAsia="Times New Roman" w:hAnsi="Arial" w:cs="Arial"/>
          <w:bCs w:val="0"/>
          <w:color w:val="000000"/>
          <w:sz w:val="18"/>
          <w:szCs w:val="18"/>
          <w:lang w:val="es-ES" w:eastAsia="es-SV"/>
        </w:rPr>
        <w:t xml:space="preserve"> </w:t>
      </w:r>
      <w:proofErr w:type="spellStart"/>
      <w:r w:rsidRPr="00A556F2">
        <w:rPr>
          <w:rFonts w:ascii="Arial" w:eastAsia="Times New Roman" w:hAnsi="Arial" w:cs="Arial"/>
          <w:bCs w:val="0"/>
          <w:color w:val="000000"/>
          <w:sz w:val="18"/>
          <w:szCs w:val="18"/>
          <w:lang w:val="es-ES" w:eastAsia="es-SV"/>
        </w:rPr>
        <w:t>rogatoires</w:t>
      </w:r>
      <w:proofErr w:type="spellEnd"/>
      <w:r w:rsidRPr="00A556F2">
        <w:rPr>
          <w:rFonts w:ascii="Arial" w:eastAsia="Times New Roman" w:hAnsi="Arial" w:cs="Arial"/>
          <w:bCs w:val="0"/>
          <w:color w:val="000000"/>
          <w:sz w:val="18"/>
          <w:szCs w:val="18"/>
          <w:lang w:val="es-ES" w:eastAsia="es-SV"/>
        </w:rPr>
        <w:t>", "</w:t>
      </w:r>
      <w:proofErr w:type="spellStart"/>
      <w:r w:rsidRPr="00A556F2">
        <w:rPr>
          <w:rFonts w:ascii="Arial" w:eastAsia="Times New Roman" w:hAnsi="Arial" w:cs="Arial"/>
          <w:bCs w:val="0"/>
          <w:color w:val="000000"/>
          <w:sz w:val="18"/>
          <w:szCs w:val="18"/>
          <w:lang w:val="es-ES" w:eastAsia="es-SV"/>
        </w:rPr>
        <w:t>letter</w:t>
      </w:r>
      <w:proofErr w:type="spellEnd"/>
      <w:r w:rsidRPr="00A556F2">
        <w:rPr>
          <w:rFonts w:ascii="Arial" w:eastAsia="Times New Roman" w:hAnsi="Arial" w:cs="Arial"/>
          <w:bCs w:val="0"/>
          <w:color w:val="000000"/>
          <w:sz w:val="18"/>
          <w:szCs w:val="18"/>
          <w:lang w:val="es-ES" w:eastAsia="es-SV"/>
        </w:rPr>
        <w:t xml:space="preserve"> </w:t>
      </w:r>
      <w:proofErr w:type="spellStart"/>
      <w:r w:rsidRPr="00A556F2">
        <w:rPr>
          <w:rFonts w:ascii="Arial" w:eastAsia="Times New Roman" w:hAnsi="Arial" w:cs="Arial"/>
          <w:bCs w:val="0"/>
          <w:color w:val="000000"/>
          <w:sz w:val="18"/>
          <w:szCs w:val="18"/>
          <w:lang w:val="es-ES" w:eastAsia="es-SV"/>
        </w:rPr>
        <w:t>rogatory</w:t>
      </w:r>
      <w:proofErr w:type="spellEnd"/>
      <w:r w:rsidRPr="00A556F2">
        <w:rPr>
          <w:rFonts w:ascii="Arial" w:eastAsia="Times New Roman" w:hAnsi="Arial" w:cs="Arial"/>
          <w:bCs w:val="0"/>
          <w:color w:val="000000"/>
          <w:sz w:val="18"/>
          <w:szCs w:val="18"/>
          <w:lang w:val="es-ES" w:eastAsia="es-SV"/>
        </w:rPr>
        <w:t>" y "cartas rogatorias", empleadas en los textos francés, inglés y portugués, respectivamente, comprender tanto los exhortos como las cartas rogatorias.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II. ALCANCE DE LA CONVENCION</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2</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xml:space="preserve">                La presente Convención se aplicará a los exhortos o cartas rogatorias </w:t>
      </w:r>
      <w:proofErr w:type="gramStart"/>
      <w:r w:rsidRPr="00A556F2">
        <w:rPr>
          <w:rFonts w:ascii="Arial" w:eastAsia="Times New Roman" w:hAnsi="Arial" w:cs="Arial"/>
          <w:bCs w:val="0"/>
          <w:color w:val="000000"/>
          <w:sz w:val="18"/>
          <w:szCs w:val="18"/>
          <w:lang w:val="es-ES" w:eastAsia="es-SV"/>
        </w:rPr>
        <w:t>expedidos</w:t>
      </w:r>
      <w:proofErr w:type="gramEnd"/>
      <w:r w:rsidRPr="00A556F2">
        <w:rPr>
          <w:rFonts w:ascii="Arial" w:eastAsia="Times New Roman" w:hAnsi="Arial" w:cs="Arial"/>
          <w:bCs w:val="0"/>
          <w:color w:val="000000"/>
          <w:sz w:val="18"/>
          <w:szCs w:val="18"/>
          <w:lang w:val="es-ES" w:eastAsia="es-SV"/>
        </w:rPr>
        <w:t xml:space="preserve"> en actuaciones y procesos en materia civil o comercial por los órganos jurisdiccionales de uno de los Estados Partes en esta Convención, y que tengan por objeto: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proofErr w:type="gramStart"/>
      <w:r w:rsidRPr="00A556F2">
        <w:rPr>
          <w:rFonts w:ascii="Arial" w:eastAsia="Times New Roman" w:hAnsi="Arial" w:cs="Arial"/>
          <w:bCs w:val="0"/>
          <w:color w:val="000000"/>
          <w:sz w:val="18"/>
          <w:szCs w:val="18"/>
          <w:lang w:val="es-ES" w:eastAsia="es-SV"/>
        </w:rPr>
        <w:t>a</w:t>
      </w:r>
      <w:proofErr w:type="gramEnd"/>
      <w:r w:rsidRPr="00A556F2">
        <w:rPr>
          <w:rFonts w:ascii="Arial" w:eastAsia="Times New Roman" w:hAnsi="Arial" w:cs="Arial"/>
          <w:bCs w:val="0"/>
          <w:color w:val="000000"/>
          <w:sz w:val="18"/>
          <w:szCs w:val="18"/>
          <w:lang w:val="es-ES" w:eastAsia="es-SV"/>
        </w:rPr>
        <w:t>              La realización de actos procesales de mero trámite, tales como notificaciones, citaciones o emplazamientos en el extranjero;</w:t>
      </w:r>
    </w:p>
    <w:p w:rsidR="00A556F2" w:rsidRPr="00A556F2" w:rsidRDefault="00A556F2" w:rsidP="00A556F2">
      <w:pPr>
        <w:rPr>
          <w:rFonts w:ascii="Calibri" w:eastAsia="Times New Roman" w:hAnsi="Calibri"/>
          <w:bCs w:val="0"/>
          <w:sz w:val="22"/>
          <w:lang w:val="es-ES" w:eastAsia="es-SV"/>
        </w:rPr>
      </w:pPr>
      <w:proofErr w:type="gramStart"/>
      <w:r w:rsidRPr="00A556F2">
        <w:rPr>
          <w:rFonts w:ascii="Arial" w:eastAsia="Times New Roman" w:hAnsi="Arial" w:cs="Arial"/>
          <w:bCs w:val="0"/>
          <w:color w:val="000000"/>
          <w:sz w:val="18"/>
          <w:szCs w:val="18"/>
          <w:lang w:val="es-ES" w:eastAsia="es-SV"/>
        </w:rPr>
        <w:t>b</w:t>
      </w:r>
      <w:proofErr w:type="gramEnd"/>
      <w:r w:rsidRPr="00A556F2">
        <w:rPr>
          <w:rFonts w:ascii="Arial" w:eastAsia="Times New Roman" w:hAnsi="Arial" w:cs="Arial"/>
          <w:bCs w:val="0"/>
          <w:color w:val="000000"/>
          <w:sz w:val="18"/>
          <w:szCs w:val="18"/>
          <w:lang w:val="es-ES" w:eastAsia="es-SV"/>
        </w:rPr>
        <w:t>              La recepción y obtención de pruebas e informes en el extranjero, salvo reserva expresa al respecto.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3</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lastRenderedPageBreak/>
        <w:t>                La presente Convención no se aplicará a ningún exhorto o carta rogatoria referente a actos procesales distintos de los mencionados en el artículo anterior; en especial, no se aplicará a los actos que impliquen ejecución coactiva.</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III. TRANSMISION DE EXHORTOS</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O CARTAS ROGATORIAS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4</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Los exhortos o cartas rogatorias podrán ser transmitidos al órgano requerido por las propias partes interesadas, por vía judicial, por intermedio de los funcionarios consulares o agentes diplomáticos o por la autoridad central del Estado requirente o requerido según el caso.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Cada Estado Parte informará a la Secretaría General de la Organización de los Estados Americanos acerca de cuál es la autoridad central competente para recibir y distribuir exhortos o cartas rogatorias.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IV. REQUISITOS PARA EL CUMPLIMIENTO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5</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Los exhortos o cartas rogatorias se cumplirán en los Estados Partes siempre que reúnan los siguientes requisitos: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 Que el exhorto o carta rogatoria se encuentre legalizado, salvo lo dispuesto en los artículos 6 y 7 de esta Convención. Se presumirá que el exhorto  o carta rogatoria se halla debidamente legalizado en el Estado requirente cuando lo hubiere sido por funcionario consular o agente diplomático competente:</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b. Que el exhorto o carta rogatoria y la documentación anexa se encuentren debidamente traducidos al idioma oficial del Estado requerido.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6</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Cuando los exhortos o cartas rogatorias se transmitan por vía consular o diplomática o por intermedio de la autoridad central será innecesario el requisito de la legalización.</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lastRenderedPageBreak/>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7</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Los tribunales de las zonas fronterizas de los Estados Partes podrán dar cumplimiento a los exhortos o cartas rogatorias previstos en esta Convención en forma directa, sin necesidad de legalizaciones.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8</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Los exhortos o cartas rogatorias deberán ir acompañados de los documentos que se entregarán al citado, notificado o emplazado, y que serán:</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             Copia autenticada de la demanda y sus anexos, y de los escritos o resoluciones que sirvan de fundamento a la diligencia solicitada;</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b.             Información escrita acerca de cuál es el órgano jurisdiccional requirente, los términos de que dispusiere la persona afecta para actuar, y las advertencias que le hiciere dicho órgano sobre las consecuencias que entrañaría  su inactividad;</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xml:space="preserve">c.             En su caso, información acerca de la existencia y domicilio de la </w:t>
      </w:r>
      <w:proofErr w:type="spellStart"/>
      <w:r w:rsidRPr="00A556F2">
        <w:rPr>
          <w:rFonts w:ascii="Arial" w:eastAsia="Times New Roman" w:hAnsi="Arial" w:cs="Arial"/>
          <w:bCs w:val="0"/>
          <w:color w:val="000000"/>
          <w:sz w:val="18"/>
          <w:szCs w:val="18"/>
          <w:lang w:val="es-ES" w:eastAsia="es-SV"/>
        </w:rPr>
        <w:t>defensoria</w:t>
      </w:r>
      <w:proofErr w:type="spellEnd"/>
      <w:r w:rsidRPr="00A556F2">
        <w:rPr>
          <w:rFonts w:ascii="Arial" w:eastAsia="Times New Roman" w:hAnsi="Arial" w:cs="Arial"/>
          <w:bCs w:val="0"/>
          <w:color w:val="000000"/>
          <w:sz w:val="18"/>
          <w:szCs w:val="18"/>
          <w:lang w:val="es-ES" w:eastAsia="es-SV"/>
        </w:rPr>
        <w:t xml:space="preserve"> de oficio o de sociedades de auxilio legal competentes en el Estado requirente.</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Artículo 9</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El cumplimiento de exhortos o cartas rogatorias no implicará en definitiva el reconocimiento de la competencia del órgano jurisdiccional requirente ni el compromiso de reconocer la validez o de proceder a la ejecución de la sentencia que dictare.</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V. TRAMITACION</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10</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Los exhortos o cartas rogatorias se tramitarán de acuerdo con las leyes y normas procesales del Estado requerido.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lastRenderedPageBreak/>
        <w:t>                A solicitud del órgano jurisdiccional requirente podrá otorgarse al exhorto o carta rogatoria una tramitación especial, o aceptarse la observancia de formalidades adicionales en la práctica de la diligencia solicitada, siempre que ello no fuere contrario a la legalización del Estado requerido.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11</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El órgano jurisdiccional requerido tendrá competencia para conocer de las cuestiones que se susciten con motivo del cumplimiento de la diligencia solicitada.</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12</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En el trámite y cumplimiento de exhortos o cartas rogatorias las costas y demás gastos correrán por cuenta de los interesados.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Será facultativo del Estado requerido dar trámite al exhorto o carta rogatoria que carezca de indicación acerca del interesado que resultare responsable de los gastos y costas cuando se causaren. En los exhortos o cartas rogatorias o con ocasión de su trámite podrá indicarse la identidad del apoderado del interesado para los fines legales.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El beneficio de pobreza se regulará por las leyes del Estado requerido.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13</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Los funcionarios consulares o agentes diplomáticos de los Estados Partes en esta Convención podrán dar cumplimiento a las diligencias indicadas en el Artículo 2 en el Estado en donde se encuentren acreditados siempre que ello no se oponga a las leyes del mismo. En la ejecución de tales diligencias no podrán emplear medios que impliquen coerción.</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VI.DISPOSICIONES GENERALES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14</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Los Estados Partes que pertenezcan a sistemas de integración económica podrán acordar directamente entre sí procedimientos y trámites particulares más expeditos que los previstos en esta Convención. Estos acuerdos podrán ser extendidos a terceros Estados en la forma que resolvieren las partes.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lastRenderedPageBreak/>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15</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Esta Convención no restringirá las disposiciones  de convenciones que en materia de exhortos o cartas rogatorias hubieran sido suscritas o que se suscribieren en el futuro en forma bilateral o multilateral por los Estados Partes, o las prácticas más desfavorables que dichos Estados pudieran observar en la materia.</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16</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Los Estados Partes en esta Convención podrán declarar que extienden las normas de la misma a la tramitación de exhortos o cartas rogatorias que se refieran a materia criminal, laboral, contencioso-administrativa, juicios arbitrales u otras materias objeto de jurisdicción especial. Tales declaraciones se comunicarán a la Secretaria General de la Organización de los Estados Americanos.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17</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El Estado requerido podrá rehusar el cumplimiento de un exhorto o carta rogatoria cuando sea manifiestamente contrario a su orden público.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18</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Los Estados Partes informarán a la Secretaría General de la Organización de los Estados Americanos acerca de los requisitos exigidos por sus leyes para la legalización y para la traducción de exhortos o cartas rogatorias.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VII. DISPOSICIONES FINALES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19</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La presente Convención estará abierta a la firma de los Estados Miembros de la Organización de los Estados Americanos.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20</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lastRenderedPageBreak/>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La presente Convención está sujeta a ratificación. Los Instrumentos de ratificación se depositarán en la Secretaría General de la Organización de los Estados Americanos.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21</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La presente Convención quedará abierta a la adhesión de cualquier otro Estado. Los instrumentos de adhesión se depositarán en la Secretaría General de la Organización de los Estados Americanos.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22</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La presente Convención entrará en vigor el trigésimo día a partir de la fecha en que haya sido depositado el segundo instrumento de ratificación.</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Para cada Estado que ratifique la Convención o se adhiera a ella después de haber sido depositado el segundo instrumento de ratificación; la Convención entrará en vigor el trigésimo día a partir de la fecha en que tal Estado haya depositado su instrumento de ratificación o adhesión:</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23</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Los Estados Partes que tengan dos o más unidades territoriales en las que rijan distintos sistemas jurídicos relacionados con cuestiones tratadas en la presente Convención, podrán declarar, en el momento de la firma, ratificación o adhesión, que la Convención  se aplicará a todas sus unidades territoriales o solamente a una o más de ellas.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Tales declaraciones podrán ser modificadas mediante declaraciones ulteriores, que especificarán expresamente la o las unidades territoriales a las que se aplicará la presente Convención. Dichas declaraciones ulteriores se transmitirán a la Secretaría General de la Organización de los Estados Americanos y surtirán efecto treinta días después de recibidas.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24</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La presente Convención regirá indefinidamente, pero cualquiera de los Estados Partes podrá denunciarla. El instrumento de denuncia será depositado en la Secretaría General de la Organización de los Estados Americanos. Transcurrido un año, contado a partir de la fecha de depósito del instrumento de denuncia, la Convención cesará en sus efectos para el Estado denunciante, quedando subsistente para los demás Estados Partes.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lastRenderedPageBreak/>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Artículo 25</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xml:space="preserve">                El instrumento original de la presente Convención, cuyos textos en español, francés, inglés y portugués son igualmente auténticos, será depositado en la Secretaría General de la Organización de los Estados Americanos. Dichas Secretaría notificará a los Estados Miembros de la Organización de los Estados Americanos y a los Estados que se hayan adherido a la </w:t>
      </w:r>
      <w:proofErr w:type="gramStart"/>
      <w:r w:rsidRPr="00A556F2">
        <w:rPr>
          <w:rFonts w:ascii="Arial" w:eastAsia="Times New Roman" w:hAnsi="Arial" w:cs="Arial"/>
          <w:bCs w:val="0"/>
          <w:color w:val="000000"/>
          <w:sz w:val="18"/>
          <w:szCs w:val="18"/>
          <w:lang w:val="es-ES" w:eastAsia="es-SV"/>
        </w:rPr>
        <w:t>Convención ,</w:t>
      </w:r>
      <w:proofErr w:type="gramEnd"/>
      <w:r w:rsidRPr="00A556F2">
        <w:rPr>
          <w:rFonts w:ascii="Arial" w:eastAsia="Times New Roman" w:hAnsi="Arial" w:cs="Arial"/>
          <w:bCs w:val="0"/>
          <w:color w:val="000000"/>
          <w:sz w:val="18"/>
          <w:szCs w:val="18"/>
          <w:lang w:val="es-ES" w:eastAsia="es-SV"/>
        </w:rPr>
        <w:t xml:space="preserve"> las firmas, los depósitos de instrumentos  de ratificación, adhesión y denuncia, así como las reservas que hubiere. También les transmitirá la información a que se refieren el párrafo segundo del Artículo 4 y el Artículo 18, así como las declaraciones previstas en los Artículos 16 y 23 de la presente Convención.</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EN FE DE LO CUAL, los plenipotenciarios infrascritos, debidamente autorizados por sus respectivos Gobiernos, firman la presente Convención.</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HECHA EN LA CIUDAD DE PANAMA, República de Panamá, el día treinta de enero de mil novecientos setenta y cinco.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ACUERDO Nº 109</w:t>
      </w:r>
    </w:p>
    <w:p w:rsidR="00A556F2" w:rsidRPr="00A556F2" w:rsidRDefault="00A556F2" w:rsidP="00A556F2">
      <w:pPr>
        <w:jc w:val="right"/>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San Salvador, 7 de febrero de 1979.</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El Poder Ejecutivo en el Ramo de Relaciones Exteriores,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CONSIDERANDO: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I- Que es conveniente adoptar para el país las disposiciones del derecho internacional privado americano que tengan por finalidad facilitar entre los nacionales de los Estados de la región el desarrollo y el intercambio de actividades de carácter mercantil y económico.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xml:space="preserve">                II- Que el 30 de enero de 1975, con motivo de la Primera Conferencia Especializada Interamericana sobre Derecho Internacional Privado, el Embajador, Representante Permanente de El Salvador ante la </w:t>
      </w:r>
      <w:r w:rsidRPr="00A556F2">
        <w:rPr>
          <w:rFonts w:ascii="Arial" w:eastAsia="Times New Roman" w:hAnsi="Arial" w:cs="Arial"/>
          <w:bCs w:val="0"/>
          <w:color w:val="000000"/>
          <w:sz w:val="18"/>
          <w:szCs w:val="18"/>
          <w:lang w:val="es-ES" w:eastAsia="es-SV"/>
        </w:rPr>
        <w:lastRenderedPageBreak/>
        <w:t>Organización de los Estados Americanos, en aquella fecha el doctor Francisco Bertrand Galindo, firmó por El Salvador, en la ciudad de Panamá República de Panamá, los instrumentos siguientes: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1- Convención Interamericana sobre Conflictos de Leyes en materia de Letras de Cambio, Pagarés y Facturas, compuesta de un preámbulo y dieciocho artículos.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2- Convención Interamericana sobre Régimen Legal de Poderes para ser utilizados en el Extranjero, compuesta de un preámbulo y diecinueve artículos.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xml:space="preserve">                3- </w:t>
      </w:r>
      <w:bookmarkStart w:id="7" w:name="marca6"/>
      <w:r w:rsidRPr="00A556F2">
        <w:rPr>
          <w:rFonts w:ascii="Arial" w:eastAsia="Times New Roman" w:hAnsi="Arial" w:cs="Arial"/>
          <w:b/>
          <w:color w:val="FF0000"/>
          <w:sz w:val="18"/>
          <w:szCs w:val="18"/>
          <w:lang w:val="es-ES" w:eastAsia="es-SV"/>
        </w:rPr>
        <w:t>Convención</w:t>
      </w:r>
      <w:bookmarkEnd w:id="7"/>
      <w:r w:rsidRPr="00A556F2">
        <w:rPr>
          <w:rFonts w:ascii="Arial" w:eastAsia="Times New Roman" w:hAnsi="Arial" w:cs="Arial"/>
          <w:bCs w:val="0"/>
          <w:color w:val="000000"/>
          <w:sz w:val="18"/>
          <w:szCs w:val="18"/>
          <w:lang w:val="es-ES" w:eastAsia="es-SV"/>
        </w:rPr>
        <w:t xml:space="preserve"> </w:t>
      </w:r>
      <w:bookmarkStart w:id="8" w:name="marca7"/>
      <w:r w:rsidRPr="00A556F2">
        <w:rPr>
          <w:rFonts w:ascii="Arial" w:eastAsia="Times New Roman" w:hAnsi="Arial" w:cs="Arial"/>
          <w:b/>
          <w:color w:val="FF0000"/>
          <w:sz w:val="18"/>
          <w:szCs w:val="18"/>
          <w:lang w:val="es-ES" w:eastAsia="es-SV"/>
        </w:rPr>
        <w:t>Interamericana</w:t>
      </w:r>
      <w:bookmarkEnd w:id="8"/>
      <w:r w:rsidRPr="00A556F2">
        <w:rPr>
          <w:rFonts w:ascii="Arial" w:eastAsia="Times New Roman" w:hAnsi="Arial" w:cs="Arial"/>
          <w:bCs w:val="0"/>
          <w:color w:val="000000"/>
          <w:sz w:val="18"/>
          <w:szCs w:val="18"/>
          <w:lang w:val="es-ES" w:eastAsia="es-SV"/>
        </w:rPr>
        <w:t xml:space="preserve"> sobre </w:t>
      </w:r>
      <w:bookmarkStart w:id="9" w:name="marca8"/>
      <w:r w:rsidRPr="00A556F2">
        <w:rPr>
          <w:rFonts w:ascii="Arial" w:eastAsia="Times New Roman" w:hAnsi="Arial" w:cs="Arial"/>
          <w:b/>
          <w:color w:val="FF0000"/>
          <w:sz w:val="18"/>
          <w:szCs w:val="18"/>
          <w:lang w:val="es-ES" w:eastAsia="es-SV"/>
        </w:rPr>
        <w:t>Exhortos</w:t>
      </w:r>
      <w:bookmarkEnd w:id="9"/>
      <w:r w:rsidRPr="00A556F2">
        <w:rPr>
          <w:rFonts w:ascii="Arial" w:eastAsia="Times New Roman" w:hAnsi="Arial" w:cs="Arial"/>
          <w:bCs w:val="0"/>
          <w:color w:val="000000"/>
          <w:sz w:val="18"/>
          <w:szCs w:val="18"/>
          <w:lang w:val="es-ES" w:eastAsia="es-SV"/>
        </w:rPr>
        <w:t xml:space="preserve"> o Cartas Rogatorias, compuesta de un Preámbulo y veinticinco artículos.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4- Convención Interamericana sobre Recepción de Pruebas en el Extranjero, compuesta de un preámbulo y veintitrés artículos.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5- Convención Interamericana sobre Arbitraje Comercial Internacional, compuesta de un preámbulo y trece artículos.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III- Que el Ministerio de Justicia ha emitido dictámenes respecto de dichas convenciones, en el orden en que se mencionan por medio de notas números 1191, 1207, 1649, 2120 y 6780, fechadas 30 de marzo de 1978, y 15 de diciembre de 1978.</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POR TANTO: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ACUERDA:</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xml:space="preserve">                Aprobar los textos de las Convenciones antes mencionadas y someterlas a ratificación de la Honorable Asamblea Legislativa, con recomendación de que previamente  sea oída la opinión de la Honorable Corte Suprema de Justicia. Comuníquese. </w:t>
      </w:r>
      <w:proofErr w:type="gramStart"/>
      <w:r w:rsidRPr="00A556F2">
        <w:rPr>
          <w:rFonts w:ascii="Arial" w:eastAsia="Times New Roman" w:hAnsi="Arial" w:cs="Arial"/>
          <w:bCs w:val="0"/>
          <w:color w:val="000000"/>
          <w:sz w:val="18"/>
          <w:szCs w:val="18"/>
          <w:lang w:val="es-ES" w:eastAsia="es-SV"/>
        </w:rPr>
        <w:t>( Rubricado</w:t>
      </w:r>
      <w:proofErr w:type="gramEnd"/>
      <w:r w:rsidRPr="00A556F2">
        <w:rPr>
          <w:rFonts w:ascii="Arial" w:eastAsia="Times New Roman" w:hAnsi="Arial" w:cs="Arial"/>
          <w:bCs w:val="0"/>
          <w:color w:val="000000"/>
          <w:sz w:val="18"/>
          <w:szCs w:val="18"/>
          <w:lang w:val="es-ES" w:eastAsia="es-SV"/>
        </w:rPr>
        <w:t xml:space="preserve"> por el Señor Presidente). El Ministro de Relaciones Exteriores, RODRIGUEZ PORTH.</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DECRETO Nº 236.</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LA JUNTA REVOLUCIONARIA DE GOBIERNO,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lastRenderedPageBreak/>
        <w:t>CONSIDERANDO: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xml:space="preserve">                I. Que con motivo de la Primera Conferencia Especializada Interamericana sobre Derecho Internacional Privado, el señor Embajador , Representante Permanente de El Salvador ante la Organización de los Estados Americanos, suscribió por nuestro país, en la ciudad de Panamá, República de Panamá, República, con fecha 30 de enero de 1975, los instrumentos siguientes: 1) Convención Interamericana sobre Conflictos de Leyes en materia de Letras de Cambio, Pagarés y Facturas, compuesta de un preámbulo y dieciocho artículos; 2) Convención Interamericana sobre Régimen Legal de Poderes para ser utilizados en el Extranjero, compuesta de un preámbulo y diecinueve artículos; 3) </w:t>
      </w:r>
      <w:bookmarkStart w:id="10" w:name="marca9"/>
      <w:r w:rsidRPr="00A556F2">
        <w:rPr>
          <w:rFonts w:ascii="Arial" w:eastAsia="Times New Roman" w:hAnsi="Arial" w:cs="Arial"/>
          <w:b/>
          <w:color w:val="FF0000"/>
          <w:sz w:val="18"/>
          <w:szCs w:val="18"/>
          <w:lang w:val="es-ES" w:eastAsia="es-SV"/>
        </w:rPr>
        <w:t>Convención</w:t>
      </w:r>
      <w:bookmarkEnd w:id="10"/>
      <w:r w:rsidRPr="00A556F2">
        <w:rPr>
          <w:rFonts w:ascii="Arial" w:eastAsia="Times New Roman" w:hAnsi="Arial" w:cs="Arial"/>
          <w:bCs w:val="0"/>
          <w:color w:val="000000"/>
          <w:sz w:val="18"/>
          <w:szCs w:val="18"/>
          <w:lang w:val="es-ES" w:eastAsia="es-SV"/>
        </w:rPr>
        <w:t xml:space="preserve"> </w:t>
      </w:r>
      <w:bookmarkStart w:id="11" w:name="marca10"/>
      <w:r w:rsidRPr="00A556F2">
        <w:rPr>
          <w:rFonts w:ascii="Arial" w:eastAsia="Times New Roman" w:hAnsi="Arial" w:cs="Arial"/>
          <w:b/>
          <w:color w:val="FF0000"/>
          <w:sz w:val="18"/>
          <w:szCs w:val="18"/>
          <w:lang w:val="es-ES" w:eastAsia="es-SV"/>
        </w:rPr>
        <w:t>Interamericana</w:t>
      </w:r>
      <w:bookmarkEnd w:id="11"/>
      <w:r w:rsidRPr="00A556F2">
        <w:rPr>
          <w:rFonts w:ascii="Arial" w:eastAsia="Times New Roman" w:hAnsi="Arial" w:cs="Arial"/>
          <w:bCs w:val="0"/>
          <w:color w:val="000000"/>
          <w:sz w:val="18"/>
          <w:szCs w:val="18"/>
          <w:lang w:val="es-ES" w:eastAsia="es-SV"/>
        </w:rPr>
        <w:t xml:space="preserve"> sobre </w:t>
      </w:r>
      <w:bookmarkStart w:id="12" w:name="marca11"/>
      <w:r w:rsidRPr="00A556F2">
        <w:rPr>
          <w:rFonts w:ascii="Arial" w:eastAsia="Times New Roman" w:hAnsi="Arial" w:cs="Arial"/>
          <w:b/>
          <w:color w:val="FF0000"/>
          <w:sz w:val="18"/>
          <w:szCs w:val="18"/>
          <w:lang w:val="es-ES" w:eastAsia="es-SV"/>
        </w:rPr>
        <w:t>Exhortos</w:t>
      </w:r>
      <w:bookmarkEnd w:id="12"/>
      <w:r w:rsidRPr="00A556F2">
        <w:rPr>
          <w:rFonts w:ascii="Arial" w:eastAsia="Times New Roman" w:hAnsi="Arial" w:cs="Arial"/>
          <w:bCs w:val="0"/>
          <w:color w:val="000000"/>
          <w:sz w:val="18"/>
          <w:szCs w:val="18"/>
          <w:lang w:val="es-ES" w:eastAsia="es-SV"/>
        </w:rPr>
        <w:t xml:space="preserve"> o Cartas Rogatorias, compuesta de un preámbulo y veinticinco artículos; 4) Convención Interamericana sobre Recepción de Pruebas en el Extranjero, compuesta de un preámbulo y veintitrés artículos; y 5) Convención Interamericana sobre Arbitraje Comercial Internacional compuesta de un preámbulo y trece artículos.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II- Que el Poder Ejecutivo en el Ramo de Relaciones Exteriores por Acuerdo No. 109 emitido con fecha 7 de febrero de 1979, aprobó el texto de las Convenciones antes mencionadas, por estimar conveniente para nuestro país la adopción de las disposiciones de Derecho Internacional Privado Americano que tengan por finalidad facilitar entre los nacionales de los Estados de la región, el desarrollo y el intercambio de actividades de carácter mercantil y económico;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xml:space="preserve">                III- Que es procedente ratificar las Convenciones de que se ha hecho mérito, haciendo reserva expresa únicamente en cuanto a lo dispuesto en el Art. 7 de la </w:t>
      </w:r>
      <w:bookmarkStart w:id="13" w:name="marca12"/>
      <w:r w:rsidRPr="00A556F2">
        <w:rPr>
          <w:rFonts w:ascii="Arial" w:eastAsia="Times New Roman" w:hAnsi="Arial" w:cs="Arial"/>
          <w:b/>
          <w:color w:val="FF0000"/>
          <w:sz w:val="18"/>
          <w:szCs w:val="18"/>
          <w:lang w:val="es-ES" w:eastAsia="es-SV"/>
        </w:rPr>
        <w:t>Convención</w:t>
      </w:r>
      <w:bookmarkEnd w:id="13"/>
      <w:r w:rsidRPr="00A556F2">
        <w:rPr>
          <w:rFonts w:ascii="Arial" w:eastAsia="Times New Roman" w:hAnsi="Arial" w:cs="Arial"/>
          <w:bCs w:val="0"/>
          <w:color w:val="000000"/>
          <w:sz w:val="18"/>
          <w:szCs w:val="18"/>
          <w:lang w:val="es-ES" w:eastAsia="es-SV"/>
        </w:rPr>
        <w:t xml:space="preserve"> </w:t>
      </w:r>
      <w:bookmarkStart w:id="14" w:name="marca13"/>
      <w:r w:rsidRPr="00A556F2">
        <w:rPr>
          <w:rFonts w:ascii="Arial" w:eastAsia="Times New Roman" w:hAnsi="Arial" w:cs="Arial"/>
          <w:b/>
          <w:color w:val="FF0000"/>
          <w:sz w:val="18"/>
          <w:szCs w:val="18"/>
          <w:lang w:val="es-ES" w:eastAsia="es-SV"/>
        </w:rPr>
        <w:t>Interamericana</w:t>
      </w:r>
      <w:bookmarkEnd w:id="14"/>
      <w:r w:rsidRPr="00A556F2">
        <w:rPr>
          <w:rFonts w:ascii="Arial" w:eastAsia="Times New Roman" w:hAnsi="Arial" w:cs="Arial"/>
          <w:bCs w:val="0"/>
          <w:color w:val="000000"/>
          <w:sz w:val="18"/>
          <w:szCs w:val="18"/>
          <w:lang w:val="es-ES" w:eastAsia="es-SV"/>
        </w:rPr>
        <w:t xml:space="preserve"> sobre </w:t>
      </w:r>
      <w:bookmarkStart w:id="15" w:name="marca14"/>
      <w:r w:rsidRPr="00A556F2">
        <w:rPr>
          <w:rFonts w:ascii="Arial" w:eastAsia="Times New Roman" w:hAnsi="Arial" w:cs="Arial"/>
          <w:b/>
          <w:color w:val="FF0000"/>
          <w:sz w:val="18"/>
          <w:szCs w:val="18"/>
          <w:lang w:val="es-ES" w:eastAsia="es-SV"/>
        </w:rPr>
        <w:t>Exhortos</w:t>
      </w:r>
      <w:bookmarkEnd w:id="15"/>
      <w:r w:rsidRPr="00A556F2">
        <w:rPr>
          <w:rFonts w:ascii="Arial" w:eastAsia="Times New Roman" w:hAnsi="Arial" w:cs="Arial"/>
          <w:bCs w:val="0"/>
          <w:color w:val="000000"/>
          <w:sz w:val="18"/>
          <w:szCs w:val="18"/>
          <w:lang w:val="es-ES" w:eastAsia="es-SV"/>
        </w:rPr>
        <w:t xml:space="preserve"> o Cartas Rogatorias;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POR TANTO,</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xml:space="preserve">                </w:t>
      </w:r>
      <w:proofErr w:type="gramStart"/>
      <w:r w:rsidRPr="00A556F2">
        <w:rPr>
          <w:rFonts w:ascii="Arial" w:eastAsia="Times New Roman" w:hAnsi="Arial" w:cs="Arial"/>
          <w:bCs w:val="0"/>
          <w:color w:val="000000"/>
          <w:sz w:val="18"/>
          <w:szCs w:val="18"/>
          <w:lang w:val="es-ES" w:eastAsia="es-SV"/>
        </w:rPr>
        <w:t>en</w:t>
      </w:r>
      <w:proofErr w:type="gramEnd"/>
      <w:r w:rsidRPr="00A556F2">
        <w:rPr>
          <w:rFonts w:ascii="Arial" w:eastAsia="Times New Roman" w:hAnsi="Arial" w:cs="Arial"/>
          <w:bCs w:val="0"/>
          <w:color w:val="000000"/>
          <w:sz w:val="18"/>
          <w:szCs w:val="18"/>
          <w:lang w:val="es-ES" w:eastAsia="es-SV"/>
        </w:rPr>
        <w:t xml:space="preserve"> uso de las facultades que le confiere el Decreto No.1. </w:t>
      </w:r>
      <w:proofErr w:type="gramStart"/>
      <w:r w:rsidRPr="00A556F2">
        <w:rPr>
          <w:rFonts w:ascii="Arial" w:eastAsia="Times New Roman" w:hAnsi="Arial" w:cs="Arial"/>
          <w:bCs w:val="0"/>
          <w:color w:val="000000"/>
          <w:sz w:val="18"/>
          <w:szCs w:val="18"/>
          <w:lang w:val="es-ES" w:eastAsia="es-SV"/>
        </w:rPr>
        <w:t>de</w:t>
      </w:r>
      <w:proofErr w:type="gramEnd"/>
      <w:r w:rsidRPr="00A556F2">
        <w:rPr>
          <w:rFonts w:ascii="Arial" w:eastAsia="Times New Roman" w:hAnsi="Arial" w:cs="Arial"/>
          <w:bCs w:val="0"/>
          <w:color w:val="000000"/>
          <w:sz w:val="18"/>
          <w:szCs w:val="18"/>
          <w:lang w:val="es-ES" w:eastAsia="es-SV"/>
        </w:rPr>
        <w:t xml:space="preserve"> 15 de octubre del año próximo pasado, publicado en el Diario Oficial Nº 191, Tomo 265, de la misma fecha,</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DECRETA:</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xml:space="preserve">                Art. 1- </w:t>
      </w:r>
      <w:proofErr w:type="spellStart"/>
      <w:r w:rsidRPr="00A556F2">
        <w:rPr>
          <w:rFonts w:ascii="Arial" w:eastAsia="Times New Roman" w:hAnsi="Arial" w:cs="Arial"/>
          <w:bCs w:val="0"/>
          <w:color w:val="000000"/>
          <w:sz w:val="18"/>
          <w:szCs w:val="18"/>
          <w:lang w:val="es-ES" w:eastAsia="es-SV"/>
        </w:rPr>
        <w:t>Ratíficanse</w:t>
      </w:r>
      <w:proofErr w:type="spellEnd"/>
      <w:r w:rsidRPr="00A556F2">
        <w:rPr>
          <w:rFonts w:ascii="Arial" w:eastAsia="Times New Roman" w:hAnsi="Arial" w:cs="Arial"/>
          <w:bCs w:val="0"/>
          <w:color w:val="000000"/>
          <w:sz w:val="18"/>
          <w:szCs w:val="18"/>
          <w:lang w:val="es-ES" w:eastAsia="es-SV"/>
        </w:rPr>
        <w:t xml:space="preserve"> las Convenciones a que se refiere el Considerando I del presente Decreto, las cuales fueron suscritas por el Embajador, Representante Permanente de El Salvador ante la Organización de los Estados Americanos por parte de nuestro país, el día 30 de enero de 1975, con motivo de la Primera Conferencia Especializada Interamericana sobre Derecho Internacional Privado, celebrada en la ciudad de Panamá, República de Panamá.</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xml:space="preserve">                El Gobierno de El Salvador hace reserva de aplicación del Art. 7 de la </w:t>
      </w:r>
      <w:bookmarkStart w:id="16" w:name="marca15"/>
      <w:r w:rsidRPr="00A556F2">
        <w:rPr>
          <w:rFonts w:ascii="Arial" w:eastAsia="Times New Roman" w:hAnsi="Arial" w:cs="Arial"/>
          <w:b/>
          <w:color w:val="FF0000"/>
          <w:sz w:val="18"/>
          <w:szCs w:val="18"/>
          <w:lang w:val="es-ES" w:eastAsia="es-SV"/>
        </w:rPr>
        <w:t>Convención</w:t>
      </w:r>
      <w:bookmarkEnd w:id="16"/>
      <w:r w:rsidRPr="00A556F2">
        <w:rPr>
          <w:rFonts w:ascii="Arial" w:eastAsia="Times New Roman" w:hAnsi="Arial" w:cs="Arial"/>
          <w:bCs w:val="0"/>
          <w:color w:val="000000"/>
          <w:sz w:val="18"/>
          <w:szCs w:val="18"/>
          <w:lang w:val="es-ES" w:eastAsia="es-SV"/>
        </w:rPr>
        <w:t xml:space="preserve"> </w:t>
      </w:r>
      <w:bookmarkStart w:id="17" w:name="marca16"/>
      <w:r w:rsidRPr="00A556F2">
        <w:rPr>
          <w:rFonts w:ascii="Arial" w:eastAsia="Times New Roman" w:hAnsi="Arial" w:cs="Arial"/>
          <w:b/>
          <w:color w:val="FF0000"/>
          <w:sz w:val="18"/>
          <w:szCs w:val="18"/>
          <w:lang w:val="es-ES" w:eastAsia="es-SV"/>
        </w:rPr>
        <w:t>Interamericana</w:t>
      </w:r>
      <w:bookmarkEnd w:id="17"/>
      <w:r w:rsidRPr="00A556F2">
        <w:rPr>
          <w:rFonts w:ascii="Arial" w:eastAsia="Times New Roman" w:hAnsi="Arial" w:cs="Arial"/>
          <w:bCs w:val="0"/>
          <w:color w:val="000000"/>
          <w:sz w:val="18"/>
          <w:szCs w:val="18"/>
          <w:lang w:val="es-ES" w:eastAsia="es-SV"/>
        </w:rPr>
        <w:t xml:space="preserve"> sobre </w:t>
      </w:r>
      <w:bookmarkStart w:id="18" w:name="marca17"/>
      <w:r w:rsidRPr="00A556F2">
        <w:rPr>
          <w:rFonts w:ascii="Arial" w:eastAsia="Times New Roman" w:hAnsi="Arial" w:cs="Arial"/>
          <w:b/>
          <w:color w:val="FF0000"/>
          <w:sz w:val="18"/>
          <w:szCs w:val="18"/>
          <w:lang w:val="es-ES" w:eastAsia="es-SV"/>
        </w:rPr>
        <w:t>Exhortos</w:t>
      </w:r>
      <w:bookmarkEnd w:id="18"/>
      <w:r w:rsidRPr="00A556F2">
        <w:rPr>
          <w:rFonts w:ascii="Arial" w:eastAsia="Times New Roman" w:hAnsi="Arial" w:cs="Arial"/>
          <w:bCs w:val="0"/>
          <w:color w:val="000000"/>
          <w:sz w:val="18"/>
          <w:szCs w:val="18"/>
          <w:lang w:val="es-ES" w:eastAsia="es-SV"/>
        </w:rPr>
        <w:t xml:space="preserve"> o Cartas Rogatorias, que dice:</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lastRenderedPageBreak/>
        <w:t>                "Artículo 7- Los Tribunales de las zonas fronterizas de los Estados Partes podrán dar cumplimiento a los exhortos o cartas rogatorias previstos en esta Convención en forma directa, sin necesidad de legalizaciones".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Art.2- El presente Decreto entrará en vigencia ocho días después de su publicación en el Diario Oficial.</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DADO EN CASA PRESIDENCIAL: San Salvador, a los diecinueve días del mes de mayo de mil novecientos ochenta.</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xml:space="preserve">Cnel. DEM </w:t>
      </w:r>
      <w:proofErr w:type="spellStart"/>
      <w:r w:rsidRPr="00A556F2">
        <w:rPr>
          <w:rFonts w:ascii="Arial" w:eastAsia="Times New Roman" w:hAnsi="Arial" w:cs="Arial"/>
          <w:bCs w:val="0"/>
          <w:color w:val="000000"/>
          <w:sz w:val="18"/>
          <w:szCs w:val="18"/>
          <w:lang w:val="es-ES" w:eastAsia="es-SV"/>
        </w:rPr>
        <w:t>Aldolfo</w:t>
      </w:r>
      <w:proofErr w:type="spellEnd"/>
      <w:r w:rsidRPr="00A556F2">
        <w:rPr>
          <w:rFonts w:ascii="Arial" w:eastAsia="Times New Roman" w:hAnsi="Arial" w:cs="Arial"/>
          <w:bCs w:val="0"/>
          <w:color w:val="000000"/>
          <w:sz w:val="18"/>
          <w:szCs w:val="18"/>
          <w:lang w:val="es-ES" w:eastAsia="es-SV"/>
        </w:rPr>
        <w:t xml:space="preserve"> Arnoldo Majano Ramos,</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xml:space="preserve">Cnel. </w:t>
      </w:r>
      <w:proofErr w:type="gramStart"/>
      <w:r w:rsidRPr="00A556F2">
        <w:rPr>
          <w:rFonts w:ascii="Arial" w:eastAsia="Times New Roman" w:hAnsi="Arial" w:cs="Arial"/>
          <w:bCs w:val="0"/>
          <w:color w:val="000000"/>
          <w:sz w:val="18"/>
          <w:szCs w:val="18"/>
          <w:lang w:val="es-ES" w:eastAsia="es-SV"/>
        </w:rPr>
        <w:t>e</w:t>
      </w:r>
      <w:proofErr w:type="gramEnd"/>
      <w:r w:rsidRPr="00A556F2">
        <w:rPr>
          <w:rFonts w:ascii="Arial" w:eastAsia="Times New Roman" w:hAnsi="Arial" w:cs="Arial"/>
          <w:bCs w:val="0"/>
          <w:color w:val="000000"/>
          <w:sz w:val="18"/>
          <w:szCs w:val="18"/>
          <w:lang w:val="es-ES" w:eastAsia="es-SV"/>
        </w:rPr>
        <w:t xml:space="preserve"> Ing. Jaime </w:t>
      </w:r>
      <w:proofErr w:type="spellStart"/>
      <w:r w:rsidRPr="00A556F2">
        <w:rPr>
          <w:rFonts w:ascii="Arial" w:eastAsia="Times New Roman" w:hAnsi="Arial" w:cs="Arial"/>
          <w:bCs w:val="0"/>
          <w:color w:val="000000"/>
          <w:sz w:val="18"/>
          <w:szCs w:val="18"/>
          <w:lang w:val="es-ES" w:eastAsia="es-SV"/>
        </w:rPr>
        <w:t>Abdúl</w:t>
      </w:r>
      <w:proofErr w:type="spellEnd"/>
      <w:r w:rsidRPr="00A556F2">
        <w:rPr>
          <w:rFonts w:ascii="Arial" w:eastAsia="Times New Roman" w:hAnsi="Arial" w:cs="Arial"/>
          <w:bCs w:val="0"/>
          <w:color w:val="000000"/>
          <w:sz w:val="18"/>
          <w:szCs w:val="18"/>
          <w:lang w:val="es-ES" w:eastAsia="es-SV"/>
        </w:rPr>
        <w:t xml:space="preserve"> Gutiérrez</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xml:space="preserve">Dr. José Antonio Morales </w:t>
      </w:r>
      <w:proofErr w:type="spellStart"/>
      <w:r w:rsidRPr="00A556F2">
        <w:rPr>
          <w:rFonts w:ascii="Arial" w:eastAsia="Times New Roman" w:hAnsi="Arial" w:cs="Arial"/>
          <w:bCs w:val="0"/>
          <w:color w:val="000000"/>
          <w:sz w:val="18"/>
          <w:szCs w:val="18"/>
          <w:lang w:val="es-ES" w:eastAsia="es-SV"/>
        </w:rPr>
        <w:t>Ehrlich</w:t>
      </w:r>
      <w:proofErr w:type="spellEnd"/>
      <w:r w:rsidRPr="00A556F2">
        <w:rPr>
          <w:rFonts w:ascii="Arial" w:eastAsia="Times New Roman" w:hAnsi="Arial" w:cs="Arial"/>
          <w:bCs w:val="0"/>
          <w:color w:val="000000"/>
          <w:sz w:val="18"/>
          <w:szCs w:val="18"/>
          <w:lang w:val="es-ES" w:eastAsia="es-SV"/>
        </w:rPr>
        <w:t>.</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Dr. José Ramón Avalos Navarrete.</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Ing. José Napoleón Duarte.</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Dr. Fidel Chávez Mena</w:t>
      </w:r>
    </w:p>
    <w:p w:rsidR="00A556F2" w:rsidRPr="00A556F2" w:rsidRDefault="00A556F2" w:rsidP="00A556F2">
      <w:pPr>
        <w:jc w:val="cente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Ministro de Relaciones Exteriores.</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D. Ley Nº 236, del 19 de mayo de 1980, publicado en el D.O. Nº 98, Tomo 267, del 27 de mayo de 1980.</w:t>
      </w:r>
    </w:p>
    <w:p w:rsidR="00A556F2" w:rsidRPr="00A556F2" w:rsidRDefault="00A556F2" w:rsidP="00A556F2">
      <w:pPr>
        <w:rPr>
          <w:rFonts w:ascii="Calibri" w:eastAsia="Times New Roman" w:hAnsi="Calibri"/>
          <w:bCs w:val="0"/>
          <w:sz w:val="22"/>
          <w:lang w:val="es-ES" w:eastAsia="es-SV"/>
        </w:rPr>
      </w:pPr>
      <w:r w:rsidRPr="00A556F2">
        <w:rPr>
          <w:rFonts w:ascii="Arial" w:eastAsia="Times New Roman" w:hAnsi="Arial" w:cs="Arial"/>
          <w:bCs w:val="0"/>
          <w:color w:val="000000"/>
          <w:sz w:val="18"/>
          <w:szCs w:val="18"/>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Verdana" w:eastAsia="Times New Roman" w:hAnsi="Verdana"/>
          <w:b/>
          <w:color w:val="104160"/>
          <w:sz w:val="16"/>
          <w:szCs w:val="16"/>
          <w:lang w:val="es-ES" w:eastAsia="es-SV"/>
        </w:rPr>
        <w:t>Medición:</w:t>
      </w:r>
    </w:p>
    <w:tbl>
      <w:tblPr>
        <w:tblW w:w="0" w:type="auto"/>
        <w:tblInd w:w="40" w:type="dxa"/>
        <w:tblCellMar>
          <w:left w:w="0" w:type="dxa"/>
          <w:right w:w="0" w:type="dxa"/>
        </w:tblCellMar>
        <w:tblLook w:val="04A0" w:firstRow="1" w:lastRow="0" w:firstColumn="1" w:lastColumn="0" w:noHBand="0" w:noVBand="1"/>
      </w:tblPr>
      <w:tblGrid>
        <w:gridCol w:w="1952"/>
        <w:gridCol w:w="1912"/>
        <w:gridCol w:w="1912"/>
        <w:gridCol w:w="1912"/>
      </w:tblGrid>
      <w:tr w:rsidR="00A556F2" w:rsidRPr="00A556F2" w:rsidTr="00A556F2">
        <w:tc>
          <w:tcPr>
            <w:tcW w:w="1952" w:type="dxa"/>
            <w:tcMar>
              <w:top w:w="0" w:type="dxa"/>
              <w:left w:w="40" w:type="dxa"/>
              <w:bottom w:w="0" w:type="dxa"/>
              <w:right w:w="40" w:type="dxa"/>
            </w:tcMar>
            <w:hideMark/>
          </w:tcPr>
          <w:p w:rsidR="00A556F2" w:rsidRPr="00A556F2" w:rsidRDefault="00A556F2" w:rsidP="00A556F2">
            <w:pPr>
              <w:jc w:val="center"/>
              <w:rPr>
                <w:rFonts w:ascii="Calibri" w:eastAsia="Times New Roman" w:hAnsi="Calibri"/>
                <w:bCs w:val="0"/>
                <w:sz w:val="22"/>
                <w:lang w:eastAsia="es-SV"/>
              </w:rPr>
            </w:pPr>
            <w:r w:rsidRPr="00A556F2">
              <w:rPr>
                <w:rFonts w:ascii="Verdana" w:eastAsia="Times New Roman" w:hAnsi="Verdana"/>
                <w:bCs w:val="0"/>
                <w:color w:val="104160"/>
                <w:sz w:val="16"/>
                <w:szCs w:val="16"/>
                <w:lang w:eastAsia="es-SV"/>
              </w:rPr>
              <w:t>Hojas</w:t>
            </w:r>
          </w:p>
          <w:p w:rsidR="00A556F2" w:rsidRPr="00A556F2" w:rsidRDefault="00A556F2" w:rsidP="00A556F2">
            <w:pPr>
              <w:jc w:val="center"/>
              <w:rPr>
                <w:rFonts w:ascii="Calibri" w:eastAsia="Times New Roman" w:hAnsi="Calibri"/>
                <w:bCs w:val="0"/>
                <w:sz w:val="22"/>
                <w:lang w:eastAsia="es-SV"/>
              </w:rPr>
            </w:pPr>
            <w:r w:rsidRPr="00A556F2">
              <w:rPr>
                <w:rFonts w:ascii="Verdana" w:eastAsia="Times New Roman" w:hAnsi="Verdana"/>
                <w:bCs w:val="0"/>
                <w:color w:val="104160"/>
                <w:sz w:val="16"/>
                <w:szCs w:val="16"/>
                <w:lang w:eastAsia="es-SV"/>
              </w:rPr>
              <w:t> </w:t>
            </w:r>
          </w:p>
        </w:tc>
        <w:tc>
          <w:tcPr>
            <w:tcW w:w="1912" w:type="dxa"/>
            <w:tcMar>
              <w:top w:w="0" w:type="dxa"/>
              <w:left w:w="40" w:type="dxa"/>
              <w:bottom w:w="0" w:type="dxa"/>
              <w:right w:w="40" w:type="dxa"/>
            </w:tcMar>
            <w:hideMark/>
          </w:tcPr>
          <w:p w:rsidR="00A556F2" w:rsidRPr="00A556F2" w:rsidRDefault="00A556F2" w:rsidP="00A556F2">
            <w:pPr>
              <w:jc w:val="center"/>
              <w:rPr>
                <w:rFonts w:ascii="Calibri" w:eastAsia="Times New Roman" w:hAnsi="Calibri"/>
                <w:bCs w:val="0"/>
                <w:sz w:val="22"/>
                <w:lang w:eastAsia="es-SV"/>
              </w:rPr>
            </w:pPr>
            <w:proofErr w:type="spellStart"/>
            <w:r w:rsidRPr="00A556F2">
              <w:rPr>
                <w:rFonts w:ascii="Verdana" w:eastAsia="Times New Roman" w:hAnsi="Verdana"/>
                <w:bCs w:val="0"/>
                <w:color w:val="104160"/>
                <w:sz w:val="16"/>
                <w:szCs w:val="16"/>
                <w:lang w:eastAsia="es-SV"/>
              </w:rPr>
              <w:t>Parráfos</w:t>
            </w:r>
            <w:proofErr w:type="spellEnd"/>
          </w:p>
          <w:p w:rsidR="00A556F2" w:rsidRPr="00A556F2" w:rsidRDefault="00A556F2" w:rsidP="00A556F2">
            <w:pPr>
              <w:jc w:val="center"/>
              <w:rPr>
                <w:rFonts w:ascii="Calibri" w:eastAsia="Times New Roman" w:hAnsi="Calibri"/>
                <w:bCs w:val="0"/>
                <w:sz w:val="22"/>
                <w:lang w:eastAsia="es-SV"/>
              </w:rPr>
            </w:pPr>
            <w:r w:rsidRPr="00A556F2">
              <w:rPr>
                <w:rFonts w:ascii="Verdana" w:eastAsia="Times New Roman" w:hAnsi="Verdana"/>
                <w:bCs w:val="0"/>
                <w:color w:val="104160"/>
                <w:sz w:val="16"/>
                <w:szCs w:val="16"/>
                <w:lang w:eastAsia="es-SV"/>
              </w:rPr>
              <w:t> </w:t>
            </w:r>
          </w:p>
        </w:tc>
        <w:tc>
          <w:tcPr>
            <w:tcW w:w="1912" w:type="dxa"/>
            <w:tcMar>
              <w:top w:w="0" w:type="dxa"/>
              <w:left w:w="40" w:type="dxa"/>
              <w:bottom w:w="0" w:type="dxa"/>
              <w:right w:w="40" w:type="dxa"/>
            </w:tcMar>
            <w:hideMark/>
          </w:tcPr>
          <w:p w:rsidR="00A556F2" w:rsidRPr="00A556F2" w:rsidRDefault="00A556F2" w:rsidP="00A556F2">
            <w:pPr>
              <w:jc w:val="center"/>
              <w:rPr>
                <w:rFonts w:ascii="Calibri" w:eastAsia="Times New Roman" w:hAnsi="Calibri"/>
                <w:bCs w:val="0"/>
                <w:sz w:val="22"/>
                <w:lang w:eastAsia="es-SV"/>
              </w:rPr>
            </w:pPr>
            <w:r w:rsidRPr="00A556F2">
              <w:rPr>
                <w:rFonts w:ascii="Verdana" w:eastAsia="Times New Roman" w:hAnsi="Verdana"/>
                <w:bCs w:val="0"/>
                <w:color w:val="104160"/>
                <w:sz w:val="16"/>
                <w:szCs w:val="16"/>
                <w:lang w:eastAsia="es-SV"/>
              </w:rPr>
              <w:t>Artículos</w:t>
            </w:r>
          </w:p>
          <w:p w:rsidR="00A556F2" w:rsidRPr="00A556F2" w:rsidRDefault="00A556F2" w:rsidP="00A556F2">
            <w:pPr>
              <w:jc w:val="center"/>
              <w:rPr>
                <w:rFonts w:ascii="Calibri" w:eastAsia="Times New Roman" w:hAnsi="Calibri"/>
                <w:bCs w:val="0"/>
                <w:sz w:val="22"/>
                <w:lang w:eastAsia="es-SV"/>
              </w:rPr>
            </w:pPr>
            <w:r w:rsidRPr="00A556F2">
              <w:rPr>
                <w:rFonts w:ascii="Verdana" w:eastAsia="Times New Roman" w:hAnsi="Verdana"/>
                <w:bCs w:val="0"/>
                <w:color w:val="104160"/>
                <w:sz w:val="16"/>
                <w:szCs w:val="16"/>
                <w:lang w:eastAsia="es-SV"/>
              </w:rPr>
              <w:t> </w:t>
            </w:r>
          </w:p>
        </w:tc>
        <w:tc>
          <w:tcPr>
            <w:tcW w:w="1912" w:type="dxa"/>
            <w:tcMar>
              <w:top w:w="0" w:type="dxa"/>
              <w:left w:w="40" w:type="dxa"/>
              <w:bottom w:w="0" w:type="dxa"/>
              <w:right w:w="40" w:type="dxa"/>
            </w:tcMar>
            <w:hideMark/>
          </w:tcPr>
          <w:p w:rsidR="00A556F2" w:rsidRPr="00A556F2" w:rsidRDefault="00A556F2" w:rsidP="00A556F2">
            <w:pPr>
              <w:jc w:val="center"/>
              <w:rPr>
                <w:rFonts w:ascii="Calibri" w:eastAsia="Times New Roman" w:hAnsi="Calibri"/>
                <w:bCs w:val="0"/>
                <w:sz w:val="22"/>
                <w:lang w:eastAsia="es-SV"/>
              </w:rPr>
            </w:pPr>
            <w:r w:rsidRPr="00A556F2">
              <w:rPr>
                <w:rFonts w:ascii="Verdana" w:eastAsia="Times New Roman" w:hAnsi="Verdana"/>
                <w:bCs w:val="0"/>
                <w:color w:val="104160"/>
                <w:sz w:val="16"/>
                <w:szCs w:val="16"/>
                <w:lang w:eastAsia="es-SV"/>
              </w:rPr>
              <w:t>Cuadros</w:t>
            </w:r>
          </w:p>
          <w:p w:rsidR="00A556F2" w:rsidRPr="00A556F2" w:rsidRDefault="00A556F2" w:rsidP="00A556F2">
            <w:pPr>
              <w:rPr>
                <w:rFonts w:ascii="Calibri" w:eastAsia="Times New Roman" w:hAnsi="Calibri"/>
                <w:bCs w:val="0"/>
                <w:sz w:val="22"/>
                <w:lang w:eastAsia="es-SV"/>
              </w:rPr>
            </w:pPr>
            <w:r w:rsidRPr="00A556F2">
              <w:rPr>
                <w:rFonts w:ascii="Verdana" w:eastAsia="Times New Roman" w:hAnsi="Verdana"/>
                <w:bCs w:val="0"/>
                <w:color w:val="104160"/>
                <w:sz w:val="16"/>
                <w:szCs w:val="16"/>
                <w:lang w:eastAsia="es-SV"/>
              </w:rPr>
              <w:t> </w:t>
            </w:r>
          </w:p>
        </w:tc>
      </w:tr>
    </w:tbl>
    <w:p w:rsidR="00A556F2" w:rsidRPr="00A556F2" w:rsidRDefault="00A556F2" w:rsidP="00A556F2">
      <w:pPr>
        <w:rPr>
          <w:rFonts w:ascii="Calibri" w:eastAsia="Times New Roman" w:hAnsi="Calibri"/>
          <w:bCs w:val="0"/>
          <w:sz w:val="22"/>
          <w:lang w:val="es-ES" w:eastAsia="es-SV"/>
        </w:rPr>
      </w:pPr>
      <w:r w:rsidRPr="00A556F2">
        <w:rPr>
          <w:rFonts w:ascii="Verdana" w:eastAsia="Times New Roman" w:hAnsi="Verdana"/>
          <w:bCs w:val="0"/>
          <w:color w:val="104160"/>
          <w:sz w:val="16"/>
          <w:szCs w:val="16"/>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Verdana" w:eastAsia="Times New Roman" w:hAnsi="Verdana"/>
          <w:bCs w:val="0"/>
          <w:color w:val="104160"/>
          <w:sz w:val="16"/>
          <w:szCs w:val="16"/>
          <w:lang w:val="es-ES" w:eastAsia="es-SV"/>
        </w:rPr>
        <w:t> </w:t>
      </w:r>
    </w:p>
    <w:p w:rsidR="00A556F2" w:rsidRPr="00A556F2" w:rsidRDefault="00A556F2" w:rsidP="00A556F2">
      <w:pPr>
        <w:rPr>
          <w:rFonts w:ascii="Calibri" w:eastAsia="Times New Roman" w:hAnsi="Calibri"/>
          <w:bCs w:val="0"/>
          <w:sz w:val="22"/>
          <w:lang w:val="es-ES" w:eastAsia="es-SV"/>
        </w:rPr>
      </w:pPr>
      <w:r w:rsidRPr="00A556F2">
        <w:rPr>
          <w:rFonts w:ascii="Helv" w:eastAsia="Times New Roman" w:hAnsi="Helv"/>
          <w:b/>
          <w:color w:val="000000"/>
          <w:sz w:val="20"/>
          <w:szCs w:val="20"/>
          <w:lang w:val="es-ES" w:eastAsia="es-SV"/>
        </w:rPr>
        <w:t>Publicación</w:t>
      </w:r>
    </w:p>
    <w:p w:rsidR="00E653AC" w:rsidRDefault="00E653AC"/>
    <w:sectPr w:rsidR="00E653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6F2"/>
    <w:rsid w:val="002177C2"/>
    <w:rsid w:val="00A556F2"/>
    <w:rsid w:val="00E653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4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2613</Words>
  <Characters>14376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Gerardo Ramírez Marinero</dc:creator>
  <cp:lastModifiedBy>Oscar Gerardo Ramírez Marinero</cp:lastModifiedBy>
  <cp:revision>1</cp:revision>
  <dcterms:created xsi:type="dcterms:W3CDTF">2013-08-26T23:09:00Z</dcterms:created>
  <dcterms:modified xsi:type="dcterms:W3CDTF">2013-08-27T03:50:00Z</dcterms:modified>
</cp:coreProperties>
</file>