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53" w:rsidRPr="00205853" w:rsidRDefault="00205853" w:rsidP="00205853">
      <w:pPr>
        <w:ind w:right="44"/>
        <w:rPr>
          <w:rStyle w:val="apple-style-span"/>
          <w:rFonts w:asciiTheme="majorHAnsi" w:hAnsiTheme="majorHAnsi" w:cs="Arial"/>
          <w:b/>
          <w:color w:val="000000"/>
        </w:rPr>
      </w:pPr>
      <w:r w:rsidRPr="00205853">
        <w:rPr>
          <w:rStyle w:val="apple-style-span"/>
          <w:rFonts w:asciiTheme="majorHAnsi" w:hAnsiTheme="majorHAnsi" w:cs="Arial"/>
          <w:b/>
          <w:color w:val="000000"/>
        </w:rPr>
        <w:t>EL RECURSO DE APELACIÓN EN EL ARBITRAJE EN DERECHO</w:t>
      </w:r>
    </w:p>
    <w:p w:rsidR="00205853" w:rsidRPr="00205853" w:rsidRDefault="00205853" w:rsidP="00205853">
      <w:pPr>
        <w:ind w:right="44"/>
        <w:rPr>
          <w:rStyle w:val="apple-style-span"/>
          <w:rFonts w:asciiTheme="majorHAnsi" w:hAnsiTheme="majorHAnsi" w:cs="Arial"/>
          <w:b/>
          <w:i/>
          <w:color w:val="000000"/>
        </w:rPr>
      </w:pPr>
      <w:r w:rsidRPr="00205853">
        <w:rPr>
          <w:rStyle w:val="apple-style-span"/>
          <w:rFonts w:asciiTheme="majorHAnsi" w:hAnsiTheme="majorHAnsi" w:cs="Arial"/>
          <w:b/>
          <w:i/>
          <w:color w:val="000000"/>
        </w:rPr>
        <w:t>1. La reforma legislativa</w:t>
      </w:r>
    </w:p>
    <w:p w:rsidR="00205853" w:rsidRDefault="00205853" w:rsidP="00205853">
      <w:pPr>
        <w:ind w:right="44"/>
        <w:rPr>
          <w:rStyle w:val="apple-style-span"/>
          <w:rFonts w:cs="Arial"/>
          <w:color w:val="000000"/>
        </w:rPr>
      </w:pPr>
      <w:r w:rsidRPr="00205853">
        <w:rPr>
          <w:rStyle w:val="apple-style-span"/>
          <w:rFonts w:cs="Arial"/>
          <w:color w:val="000000"/>
        </w:rPr>
        <w:t xml:space="preserve">Por medio del Decreto Legislativo No. 141 de fecha 1 de octubre de 2009, publicado en el Diario Oficial No. 203, Tomo 385 de fecha 30 de octubre de 2009, se reformó </w:t>
      </w:r>
      <w:smartTag w:uri="urn:schemas-microsoft-com:office:smarttags" w:element="PersonName">
        <w:smartTagPr>
          <w:attr w:name="ProductID" w:val="la Ley"/>
        </w:smartTagPr>
        <w:r w:rsidRPr="00205853">
          <w:rPr>
            <w:rStyle w:val="apple-style-span"/>
            <w:rFonts w:cs="Arial"/>
            <w:color w:val="000000"/>
          </w:rPr>
          <w:t>la Ley</w:t>
        </w:r>
      </w:smartTag>
      <w:r w:rsidRPr="00205853">
        <w:rPr>
          <w:rStyle w:val="apple-style-span"/>
          <w:rFonts w:cs="Arial"/>
          <w:color w:val="000000"/>
        </w:rPr>
        <w:t xml:space="preserve"> de Mediación, Conciliación y Arbitraje (en adelante “</w:t>
      </w:r>
      <w:proofErr w:type="spellStart"/>
      <w:r w:rsidRPr="00205853">
        <w:rPr>
          <w:rStyle w:val="apple-style-span"/>
          <w:rFonts w:cs="Arial"/>
          <w:color w:val="000000"/>
        </w:rPr>
        <w:t>LMCA</w:t>
      </w:r>
      <w:proofErr w:type="spellEnd"/>
      <w:r w:rsidRPr="00205853">
        <w:rPr>
          <w:rStyle w:val="apple-style-span"/>
          <w:rFonts w:cs="Arial"/>
          <w:color w:val="000000"/>
        </w:rPr>
        <w:t xml:space="preserve">”), introduciendo el recurso de </w:t>
      </w:r>
      <w:r w:rsidRPr="00205853">
        <w:rPr>
          <w:rStyle w:val="apple-style-span"/>
          <w:rFonts w:cs="Arial"/>
          <w:i/>
          <w:color w:val="000000"/>
        </w:rPr>
        <w:t>Apelación</w:t>
      </w:r>
      <w:r w:rsidRPr="00205853">
        <w:rPr>
          <w:rStyle w:val="apple-style-span"/>
          <w:rFonts w:cs="Arial"/>
          <w:color w:val="000000"/>
        </w:rPr>
        <w:t xml:space="preserve"> como mecanismo de impugnación del laudo arbitral en el arbitraje en derecho.</w:t>
      </w:r>
    </w:p>
    <w:p w:rsidR="00205853" w:rsidRPr="00205853" w:rsidRDefault="00205853" w:rsidP="00205853">
      <w:pPr>
        <w:ind w:right="44"/>
        <w:rPr>
          <w:rStyle w:val="apple-style-span"/>
          <w:rFonts w:cs="Arial"/>
          <w:color w:val="000000"/>
        </w:rPr>
      </w:pPr>
      <w:r>
        <w:rPr>
          <w:rStyle w:val="apple-style-span"/>
          <w:rFonts w:cs="Arial"/>
          <w:color w:val="000000"/>
        </w:rPr>
        <w:t xml:space="preserve">Posteriormente, por sentencia de la Sala de lo Constitucional en el Proceso de Inconstitucionalidad con número de referencia </w:t>
      </w:r>
      <w:r w:rsidR="004308AC">
        <w:rPr>
          <w:rStyle w:val="apple-style-span"/>
          <w:rFonts w:cs="Arial"/>
          <w:color w:val="000000"/>
        </w:rPr>
        <w:t>11-2010</w:t>
      </w:r>
      <w:r>
        <w:rPr>
          <w:rStyle w:val="apple-style-span"/>
          <w:rFonts w:cs="Arial"/>
          <w:color w:val="000000"/>
        </w:rPr>
        <w:t>, se declaró apegada a los principios constitucionales dicha reforma.</w:t>
      </w:r>
    </w:p>
    <w:p w:rsidR="00205853" w:rsidRPr="00205853" w:rsidRDefault="00205853" w:rsidP="00205853">
      <w:pPr>
        <w:ind w:right="44"/>
      </w:pPr>
      <w:r w:rsidRPr="00205853">
        <w:t xml:space="preserve">La principal objeción de los </w:t>
      </w:r>
      <w:r w:rsidR="006E0A61">
        <w:t>opositores</w:t>
      </w:r>
      <w:r w:rsidRPr="00205853">
        <w:t xml:space="preserve"> a la reforma </w:t>
      </w:r>
      <w:r w:rsidR="007D29EF">
        <w:t>consiste</w:t>
      </w:r>
      <w:r w:rsidRPr="00205853">
        <w:t xml:space="preserve"> en que las partes voluntariamente sustraen la resolución de su controversia de la jurisdicción estatal, pues se trata de un mecanismo de solución de conflictos de naturaleza contractual; razón por la cual, se dice, </w:t>
      </w:r>
      <w:r>
        <w:t xml:space="preserve">con la </w:t>
      </w:r>
      <w:r w:rsidR="006E0A61">
        <w:t>adopción del recurso de apelación</w:t>
      </w:r>
      <w:r>
        <w:t xml:space="preserve"> </w:t>
      </w:r>
      <w:r w:rsidRPr="00205853">
        <w:t xml:space="preserve">la </w:t>
      </w:r>
      <w:r w:rsidR="006E0A61">
        <w:t>decisión</w:t>
      </w:r>
      <w:r w:rsidRPr="00205853">
        <w:t xml:space="preserve"> final sería del órgano jurisdiccional y no fruto de la voluntad de las partes. Así, se reputa el recurso de apelación contrario al art. 23 de </w:t>
      </w:r>
      <w:smartTag w:uri="urn:schemas-microsoft-com:office:smarttags" w:element="PersonName">
        <w:smartTagPr>
          <w:attr w:name="ProductID" w:val="la Constituci￳n"/>
        </w:smartTagPr>
        <w:r w:rsidRPr="00205853">
          <w:t>la Constitución</w:t>
        </w:r>
      </w:smartTag>
      <w:r w:rsidRPr="00205853">
        <w:t xml:space="preserve">, ya que priva </w:t>
      </w:r>
      <w:r w:rsidRPr="00205853">
        <w:rPr>
          <w:i/>
        </w:rPr>
        <w:t>del derecho de terminar sus asuntos civiles o comerciales por arbitramento.</w:t>
      </w:r>
    </w:p>
    <w:p w:rsidR="00205853" w:rsidRPr="00205853" w:rsidRDefault="00205853" w:rsidP="00205853">
      <w:pPr>
        <w:ind w:right="44"/>
        <w:rPr>
          <w:rFonts w:asciiTheme="majorHAnsi" w:hAnsiTheme="majorHAnsi"/>
          <w:b/>
          <w:i/>
        </w:rPr>
      </w:pPr>
      <w:r w:rsidRPr="00205853">
        <w:rPr>
          <w:rFonts w:asciiTheme="majorHAnsi" w:hAnsiTheme="majorHAnsi"/>
          <w:b/>
          <w:i/>
        </w:rPr>
        <w:t>2. Naturaleza jurídica del arbitraje</w:t>
      </w:r>
    </w:p>
    <w:p w:rsidR="00205853" w:rsidRPr="00205853" w:rsidRDefault="00205853" w:rsidP="00205853">
      <w:pPr>
        <w:ind w:right="44"/>
      </w:pPr>
      <w:r w:rsidRPr="00205853">
        <w:t>El principal defecto de la anterior tesis es que no se compadece de la naturaleza jurídica del arbitraje, puesto que la doctrina y la jurisprudencia más recibidas están de acuerdo en que la razón de ser y fundamento del arbitra</w:t>
      </w:r>
      <w:r w:rsidR="006E0A61">
        <w:t>mento</w:t>
      </w:r>
      <w:r w:rsidRPr="00205853">
        <w:t xml:space="preserve"> debemos buscarlos en su condición de </w:t>
      </w:r>
      <w:r w:rsidRPr="00205853">
        <w:rPr>
          <w:i/>
        </w:rPr>
        <w:t>jurisdicción</w:t>
      </w:r>
      <w:r w:rsidRPr="00205853">
        <w:t xml:space="preserve"> y no en la teoría </w:t>
      </w:r>
      <w:proofErr w:type="spellStart"/>
      <w:r w:rsidRPr="00205853">
        <w:t>contractualista</w:t>
      </w:r>
      <w:proofErr w:type="spellEnd"/>
      <w:r w:rsidRPr="00205853">
        <w:t>.</w:t>
      </w:r>
    </w:p>
    <w:p w:rsidR="00205853" w:rsidRPr="00205853" w:rsidRDefault="00205853" w:rsidP="00205853">
      <w:pPr>
        <w:ind w:right="44"/>
        <w:rPr>
          <w:i/>
        </w:rPr>
      </w:pPr>
      <w:r w:rsidRPr="00205853">
        <w:t xml:space="preserve">Al respecto, Roque J. </w:t>
      </w:r>
      <w:proofErr w:type="spellStart"/>
      <w:r w:rsidRPr="00205853">
        <w:t>CAIVANO</w:t>
      </w:r>
      <w:proofErr w:type="spellEnd"/>
      <w:r w:rsidRPr="00205853">
        <w:t xml:space="preserve"> dice: «</w:t>
      </w:r>
      <w:r w:rsidRPr="00205853">
        <w:rPr>
          <w:i/>
        </w:rPr>
        <w:t>Los árbitros son jueces, pero no solamente porque las partes los hayan nombrado como tales, sino porque el Estado ha consentido en reconocerles ese carácter. No es solo la voluntad de las partes la que atribuye jurisdicción a los árbitros. Es también el Estado, como titular de esa jurisdicción, quien lo posibilita a través del ordenamiento jurídico, bajo ciertas condiciones. El acuerdo arbitral opera así como el elemento a través del cual se actúa la disposición legal que permite en forma general desplazar esa potestad, asignándola en forma específica a determinadas personas.</w:t>
      </w:r>
    </w:p>
    <w:p w:rsidR="00205853" w:rsidRPr="00205853" w:rsidRDefault="00205853" w:rsidP="00205853">
      <w:pPr>
        <w:ind w:right="44"/>
      </w:pPr>
      <w:r w:rsidRPr="00205853">
        <w:rPr>
          <w:i/>
        </w:rPr>
        <w:lastRenderedPageBreak/>
        <w:tab/>
        <w:t xml:space="preserve">La cuestión en la que se basa la tesis </w:t>
      </w:r>
      <w:proofErr w:type="spellStart"/>
      <w:r w:rsidRPr="00205853">
        <w:rPr>
          <w:i/>
        </w:rPr>
        <w:t>contractualista</w:t>
      </w:r>
      <w:proofErr w:type="spellEnd"/>
      <w:r w:rsidRPr="00205853">
        <w:rPr>
          <w:i/>
        </w:rPr>
        <w:t xml:space="preserve"> pasa fundamentalmente por pretender que los órganos del Estado son los únicos que pueden ejercer la jurisdicción. Pero olvidan que lo que califica a los jueces del poder judicial como órganos estatales no es solamente el ejercicio de la jurisdicción, sino su pertenencia estructural a uno de los poderes del Estado</w:t>
      </w:r>
      <w:r w:rsidR="006E0A61">
        <w:rPr>
          <w:i/>
        </w:rPr>
        <w:t>;</w:t>
      </w:r>
      <w:r w:rsidRPr="00205853">
        <w:rPr>
          <w:i/>
        </w:rPr>
        <w:t xml:space="preserve"> por esa razón, no existiría impedimento alguno para que esas mismas funciones hayan sido delegadas por el Estado a favor de particulares, como cuando permite -y hasta fomenta- el uso del arbitraje.» </w:t>
      </w:r>
      <w:r w:rsidRPr="00205853">
        <w:t>(</w:t>
      </w:r>
      <w:r w:rsidRPr="00205853">
        <w:rPr>
          <w:i/>
        </w:rPr>
        <w:t>Arbitraje</w:t>
      </w:r>
      <w:r w:rsidRPr="00205853">
        <w:t>, Ad-Hoc, 2000, Pág. 96).</w:t>
      </w:r>
    </w:p>
    <w:p w:rsidR="00205853" w:rsidRPr="00205853" w:rsidRDefault="00205853" w:rsidP="00205853">
      <w:pPr>
        <w:ind w:right="44"/>
        <w:rPr>
          <w:i/>
        </w:rPr>
      </w:pPr>
      <w:r w:rsidRPr="00205853">
        <w:t xml:space="preserve">Por su parte, Julio C. RIVERA expone: </w:t>
      </w:r>
      <w:r w:rsidRPr="00205853">
        <w:rPr>
          <w:i/>
        </w:rPr>
        <w:t>«Hoy en día es universalmente aceptado que los árbitros ejercen la jurisdicción, aunque no con todos sus atributos.</w:t>
      </w:r>
    </w:p>
    <w:p w:rsidR="00205853" w:rsidRPr="00205853" w:rsidRDefault="00205853" w:rsidP="00205853">
      <w:pPr>
        <w:ind w:right="44"/>
      </w:pPr>
      <w:r w:rsidRPr="00205853">
        <w:rPr>
          <w:i/>
        </w:rPr>
        <w:tab/>
        <w:t>La jurisdicción comprende el concomimiento, la decisión y la coerción (</w:t>
      </w:r>
      <w:r w:rsidRPr="00205853">
        <w:t>imperium</w:t>
      </w:r>
      <w:r w:rsidRPr="00205853">
        <w:rPr>
          <w:i/>
        </w:rPr>
        <w:t xml:space="preserve">). Los árbitros ejercen la jurisdicción en tanto conocen y deciden, pero no pueden ejecutar por sí mismos sus decisiones, pues carecen de </w:t>
      </w:r>
      <w:r w:rsidRPr="00205853">
        <w:t>imperium</w:t>
      </w:r>
      <w:r w:rsidRPr="00205853">
        <w:rPr>
          <w:i/>
        </w:rPr>
        <w:t xml:space="preserve">; falencia que se suple con la colaboración de los jueces estatales.» </w:t>
      </w:r>
      <w:r w:rsidRPr="00205853">
        <w:t>(</w:t>
      </w:r>
      <w:r w:rsidRPr="00205853">
        <w:rPr>
          <w:i/>
        </w:rPr>
        <w:t>Arbitraje comercial: internacional y doméstico</w:t>
      </w:r>
      <w:r w:rsidRPr="00205853">
        <w:t xml:space="preserve">, </w:t>
      </w:r>
      <w:proofErr w:type="spellStart"/>
      <w:r w:rsidRPr="00205853">
        <w:t>Lexis</w:t>
      </w:r>
      <w:proofErr w:type="spellEnd"/>
      <w:r w:rsidRPr="00205853">
        <w:t xml:space="preserve"> </w:t>
      </w:r>
      <w:proofErr w:type="spellStart"/>
      <w:r w:rsidRPr="00205853">
        <w:t>Nexis</w:t>
      </w:r>
      <w:proofErr w:type="spellEnd"/>
      <w:r w:rsidRPr="00205853">
        <w:t>, 2007, Págs. 62 y 63).</w:t>
      </w:r>
    </w:p>
    <w:p w:rsidR="00205853" w:rsidRDefault="00205853" w:rsidP="00205853">
      <w:pPr>
        <w:ind w:right="44"/>
      </w:pPr>
      <w:r w:rsidRPr="00205853">
        <w:t xml:space="preserve">Esta explicación calza exactamente con el ordenamiento jurídico salvadoreño y armoniza preceptos constitucionales que aisladamente serían contradictorios </w:t>
      </w:r>
      <w:r w:rsidR="006F0F89">
        <w:t>e</w:t>
      </w:r>
      <w:r w:rsidRPr="00205853">
        <w:t xml:space="preserve"> irreconciliables, debido a que la consagración de los árbitros como órganos legalmente atribuidos de jurisdicción, activados por la voluntad contractual, resuelve la coexistencia </w:t>
      </w:r>
      <w:r>
        <w:t xml:space="preserve">en la Constitución </w:t>
      </w:r>
      <w:r w:rsidRPr="00205853">
        <w:t xml:space="preserve">del </w:t>
      </w:r>
      <w:r w:rsidRPr="00205853">
        <w:rPr>
          <w:i/>
        </w:rPr>
        <w:t>arbitramento</w:t>
      </w:r>
      <w:r w:rsidRPr="00205853">
        <w:t xml:space="preserve"> (art. 23) con la </w:t>
      </w:r>
      <w:r w:rsidRPr="00205853">
        <w:rPr>
          <w:i/>
        </w:rPr>
        <w:t>exclusividad de la jurisdicción</w:t>
      </w:r>
      <w:r w:rsidRPr="00205853">
        <w:t xml:space="preserve"> que ejerce el Órgano Judicial (art. 172.1), puesto que las atribuciones de los órganos del Gobierno son indelegables, pero éstos colaborarán entre sí en el ejercicio de las </w:t>
      </w:r>
      <w:r>
        <w:t>funciones públicas (art. 86.1).</w:t>
      </w:r>
    </w:p>
    <w:p w:rsidR="00205853" w:rsidRPr="00205853" w:rsidRDefault="00205853" w:rsidP="00205853">
      <w:pPr>
        <w:ind w:right="44"/>
        <w:rPr>
          <w:i/>
        </w:rPr>
      </w:pPr>
      <w:r w:rsidRPr="00205853">
        <w:t xml:space="preserve">En conclusión, </w:t>
      </w:r>
      <w:r w:rsidRPr="00205853">
        <w:rPr>
          <w:i/>
        </w:rPr>
        <w:t>«El poder de los árbitros para administrar justicia -en forma genérica- proviene del ordenamiento, que establece una básica asimilación entre su labor y la de los jueces, equiparando inclusive los efectos de sus sentencias. Ello sin mengua del efecto que produce la voluntad de los litigantes cuando escogen en concreto a las personas sobre las que recaerán las designaciones.</w:t>
      </w:r>
    </w:p>
    <w:p w:rsidR="00205853" w:rsidRPr="00205853" w:rsidRDefault="00205853" w:rsidP="00205853">
      <w:pPr>
        <w:ind w:right="44"/>
        <w:rPr>
          <w:i/>
        </w:rPr>
      </w:pPr>
      <w:r w:rsidRPr="00205853">
        <w:rPr>
          <w:i/>
        </w:rPr>
        <w:tab/>
        <w:t>El hecho de que los árbitros no se encuentren establecidos en forma permanente y que no sean funcionarios del Estado, no altera la naturaleza de sus funciones. La ley admite que determinadas contiendas sean sustraídas del conocimiento de los jueces ordinarios, a favor de particulares que gozan de la confianza de los litigantes y para ello habilita un sistema alternativo, al que rodea de una serie de atribuciones que permiten en definitiva afirmar su naturaleza eminentemente jurisdiccional.»</w:t>
      </w:r>
      <w:r w:rsidRPr="00205853">
        <w:t>(</w:t>
      </w:r>
      <w:proofErr w:type="spellStart"/>
      <w:r w:rsidRPr="00205853">
        <w:t>CAIVANO</w:t>
      </w:r>
      <w:proofErr w:type="spellEnd"/>
      <w:r w:rsidRPr="00205853">
        <w:t>, citado, Pág. 99).</w:t>
      </w:r>
    </w:p>
    <w:p w:rsidR="00205853" w:rsidRPr="00205853" w:rsidRDefault="00205853" w:rsidP="00205853">
      <w:pPr>
        <w:ind w:right="44"/>
      </w:pPr>
      <w:r w:rsidRPr="00205853">
        <w:lastRenderedPageBreak/>
        <w:t xml:space="preserve">Por lo tanto, lo que dispone el art. 23 de </w:t>
      </w:r>
      <w:smartTag w:uri="urn:schemas-microsoft-com:office:smarttags" w:element="PersonName">
        <w:smartTagPr>
          <w:attr w:name="ProductID" w:val="la Constituci￳n"/>
        </w:smartTagPr>
        <w:r w:rsidRPr="00205853">
          <w:t>la Constitución</w:t>
        </w:r>
      </w:smartTag>
      <w:r w:rsidRPr="00205853">
        <w:t xml:space="preserve"> es que se reconoce y promueve que las partes voluntariamente activen la jurisdicción que ejercen los árbitros, poniendo en marcha todo el sistema que lo integra legalmente, lo que incluye una posterior revisión jurisdiccional, tal como veremos; de la misma manera que el </w:t>
      </w:r>
      <w:r w:rsidRPr="00205853">
        <w:rPr>
          <w:i/>
        </w:rPr>
        <w:t>derecho de acción</w:t>
      </w:r>
      <w:r w:rsidRPr="00205853">
        <w:t xml:space="preserve"> -que es una especie del </w:t>
      </w:r>
      <w:r w:rsidRPr="00205853">
        <w:rPr>
          <w:i/>
        </w:rPr>
        <w:t>derecho de petición</w:t>
      </w:r>
      <w:r w:rsidRPr="00205853">
        <w:t xml:space="preserve">, consagrado en el art. 18 de </w:t>
      </w:r>
      <w:smartTag w:uri="urn:schemas-microsoft-com:office:smarttags" w:element="PersonName">
        <w:smartTagPr>
          <w:attr w:name="ProductID" w:val="la Constituci￳n-"/>
        </w:smartTagPr>
        <w:r w:rsidRPr="00205853">
          <w:t>la Constitución-</w:t>
        </w:r>
      </w:smartTag>
      <w:r w:rsidRPr="00205853">
        <w:t xml:space="preserve"> pone en marcha la jurisdicción estatal, en todas sus instancias y grados de conocimiento. El hecho que el arbitraje eventualmente termine siendo revisado en sede jurisdiccional no es contrario a la voluntad de las partes cuando escogieron ese mecanismo alterno de solución de controversias, pues el sistema así está diseñado legalmente</w:t>
      </w:r>
      <w:r w:rsidR="006E0A61">
        <w:t xml:space="preserve">, ya que el Órgano Judicial es el que está investido de </w:t>
      </w:r>
      <w:r w:rsidR="006E0A61" w:rsidRPr="006E0A61">
        <w:rPr>
          <w:i/>
        </w:rPr>
        <w:t>imperio</w:t>
      </w:r>
      <w:r w:rsidR="006E0A61">
        <w:t xml:space="preserve"> de una manera exclusiva</w:t>
      </w:r>
      <w:r w:rsidRPr="00205853">
        <w:t>.</w:t>
      </w:r>
    </w:p>
    <w:p w:rsidR="00205853" w:rsidRPr="00205853" w:rsidRDefault="00205853" w:rsidP="00205853">
      <w:pPr>
        <w:ind w:right="44"/>
        <w:rPr>
          <w:i/>
        </w:rPr>
      </w:pPr>
      <w:r w:rsidRPr="00205853">
        <w:t>Esta circunstancia es tan propia del arbitraje que incluso estaba reconocida en la legislación anterior a la entrada en vigencia de la Ley de Mediación</w:t>
      </w:r>
      <w:r w:rsidR="006E0A61">
        <w:t>,</w:t>
      </w:r>
      <w:r w:rsidRPr="00205853">
        <w:t xml:space="preserve"> Conciliación y Arbitraje, en el art. 76 del Código de Procedimientos Civiles, sin que nadie la hubiere refutado por inconstitucional, con el tenor literal siguiente: “</w:t>
      </w:r>
      <w:r w:rsidRPr="00205853">
        <w:rPr>
          <w:i/>
        </w:rPr>
        <w:t>Art. 76.- Dada y autorizada la sentencia o laudo, se pasará con la causa al Juez que hubiera conocido de ella, si no hubiese sido comprometida. Este la notificará a las partes, admitirá los recursos de apelación y nulidad que sean permitidos, la declarará, a solicitud de parte, pasada en autoridad de cosa juzgada, en su caso, y la ejecutará con arreglo a derecho.</w:t>
      </w:r>
    </w:p>
    <w:p w:rsidR="00205853" w:rsidRPr="00205853" w:rsidRDefault="00205853" w:rsidP="00205853">
      <w:pPr>
        <w:ind w:right="44"/>
      </w:pPr>
      <w:r w:rsidRPr="00205853">
        <w:rPr>
          <w:i/>
        </w:rPr>
        <w:t>También admitirá y sustanciará las solicitudes sobre aclaración o reforma de la sentencia o laudo, y devolverá el proceso a los árbitros o arbitradores para que resuelvan lo conveniente.”</w:t>
      </w:r>
    </w:p>
    <w:p w:rsidR="00205853" w:rsidRPr="00205853" w:rsidRDefault="00205853" w:rsidP="00205853">
      <w:pPr>
        <w:ind w:right="44"/>
        <w:rPr>
          <w:rFonts w:asciiTheme="majorHAnsi" w:hAnsiTheme="majorHAnsi"/>
          <w:b/>
          <w:i/>
        </w:rPr>
      </w:pPr>
      <w:r w:rsidRPr="00205853">
        <w:rPr>
          <w:rFonts w:asciiTheme="majorHAnsi" w:hAnsiTheme="majorHAnsi"/>
          <w:b/>
          <w:i/>
        </w:rPr>
        <w:t>3. Control jurisdiccional del proceso y del laudo arbitral</w:t>
      </w:r>
    </w:p>
    <w:p w:rsidR="00205853" w:rsidRPr="00205853" w:rsidRDefault="00205853" w:rsidP="00205853">
      <w:pPr>
        <w:ind w:right="44"/>
      </w:pPr>
      <w:r w:rsidRPr="00205853">
        <w:t xml:space="preserve">Enfatiza RIVERA (citado, Pág. 629), que la regla de la </w:t>
      </w:r>
      <w:r w:rsidRPr="00205853">
        <w:rPr>
          <w:i/>
        </w:rPr>
        <w:t>autonomía del procedimiento arbitral</w:t>
      </w:r>
      <w:r w:rsidRPr="00205853">
        <w:t xml:space="preserve"> constituye uno de los pilares sobre las que está construida esta forma de jurisdicción alterna y requiere que no exista interferencia estatal durante su tramitación; pero ello no es obstáculo para que se dé un </w:t>
      </w:r>
      <w:r w:rsidRPr="00205853">
        <w:rPr>
          <w:i/>
        </w:rPr>
        <w:t>control jurisdiccional posterior</w:t>
      </w:r>
      <w:r w:rsidRPr="00205853">
        <w:t xml:space="preserve"> del laudo y, consecuentemente, del procedimiento en que se dictó.</w:t>
      </w:r>
    </w:p>
    <w:p w:rsidR="00205853" w:rsidRPr="00205853" w:rsidRDefault="00205853" w:rsidP="00205853">
      <w:pPr>
        <w:ind w:right="44"/>
      </w:pPr>
      <w:r w:rsidRPr="00205853">
        <w:t xml:space="preserve">Este control jurisdiccional ocurre en dos momentos diferentes: primero, mediante el franqueo de recursos de acuerdo a la legislación interna, ante los tribunales ordinarios de justicia; y luego, cuando se pretenda la ejecución de un laudo extranjero por el órgano judicial del país requerido. </w:t>
      </w:r>
      <w:r w:rsidR="00C30F98">
        <w:t>Para el caso</w:t>
      </w:r>
      <w:r w:rsidRPr="00205853">
        <w:t xml:space="preserve">, el art. 82 Numerales 1° y 2° </w:t>
      </w:r>
      <w:proofErr w:type="spellStart"/>
      <w:r w:rsidRPr="00205853">
        <w:t>LMCA</w:t>
      </w:r>
      <w:proofErr w:type="spellEnd"/>
      <w:r w:rsidRPr="00205853">
        <w:t xml:space="preserve"> establecen los casos en que se denegará el reconocimiento y ejecución de un laudo extranjero.</w:t>
      </w:r>
    </w:p>
    <w:p w:rsidR="00205853" w:rsidRPr="00205853" w:rsidRDefault="00205853" w:rsidP="00205853">
      <w:pPr>
        <w:ind w:right="44"/>
        <w:rPr>
          <w:i/>
        </w:rPr>
      </w:pPr>
      <w:r w:rsidRPr="00205853">
        <w:lastRenderedPageBreak/>
        <w:t xml:space="preserve">Tenemos así que el poder estatal no prescinden del control jurisdiccional del proceso y laudo arbitrales, incluyendo la existencia del recurso de nulidad, el cual es considerado de carácter irrenunciable, al grado que en algunas legislaciones se articula como acción autónoma. Así, por ejemplo, el art. 34.1 de </w:t>
      </w:r>
      <w:smartTag w:uri="urn:schemas-microsoft-com:office:smarttags" w:element="PersonName">
        <w:smartTagPr>
          <w:attr w:name="ProductID" w:val="la Ley Modelo"/>
        </w:smartTagPr>
        <w:r w:rsidRPr="00205853">
          <w:t>la Ley Modelo</w:t>
        </w:r>
      </w:smartTag>
      <w:r w:rsidRPr="00205853">
        <w:t xml:space="preserve"> de Arbitraje Comercial Internacional de </w:t>
      </w:r>
      <w:smartTag w:uri="urn:schemas-microsoft-com:office:smarttags" w:element="PersonName">
        <w:smartTagPr>
          <w:attr w:name="ProductID" w:val="la Comisi￳n"/>
        </w:smartTagPr>
        <w:r w:rsidRPr="00205853">
          <w:t>la Comisión</w:t>
        </w:r>
      </w:smartTag>
      <w:r w:rsidRPr="00205853">
        <w:t xml:space="preserve"> de las Naciones Unidas para el Derecho Mercantil Internacional (</w:t>
      </w:r>
      <w:proofErr w:type="spellStart"/>
      <w:r w:rsidRPr="00205853">
        <w:t>UNCITRAL</w:t>
      </w:r>
      <w:proofErr w:type="spellEnd"/>
      <w:r w:rsidRPr="00205853">
        <w:t xml:space="preserve">) dispone: </w:t>
      </w:r>
      <w:r w:rsidRPr="00205853">
        <w:rPr>
          <w:i/>
        </w:rPr>
        <w:t>“1) Contra el laudo arbitral sólo podrá recurrirse ante un tribunal mediante una petición de nulidad conforme a los párr. 2° y 3° del presente artículo.”</w:t>
      </w:r>
    </w:p>
    <w:p w:rsidR="00205853" w:rsidRPr="004F44F2" w:rsidRDefault="00205853" w:rsidP="00205853">
      <w:pPr>
        <w:ind w:right="44"/>
        <w:rPr>
          <w:rFonts w:asciiTheme="majorHAnsi" w:hAnsiTheme="majorHAnsi"/>
          <w:b/>
          <w:i/>
        </w:rPr>
      </w:pPr>
      <w:r w:rsidRPr="004F44F2">
        <w:rPr>
          <w:rFonts w:asciiTheme="majorHAnsi" w:hAnsiTheme="majorHAnsi"/>
          <w:b/>
          <w:i/>
        </w:rPr>
        <w:t xml:space="preserve">4. </w:t>
      </w:r>
      <w:r w:rsidR="00AA11A8">
        <w:rPr>
          <w:rFonts w:asciiTheme="majorHAnsi" w:hAnsiTheme="majorHAnsi"/>
          <w:b/>
          <w:i/>
        </w:rPr>
        <w:t>Diferencia entre</w:t>
      </w:r>
      <w:r w:rsidRPr="004F44F2">
        <w:rPr>
          <w:rFonts w:asciiTheme="majorHAnsi" w:hAnsiTheme="majorHAnsi"/>
          <w:b/>
          <w:i/>
        </w:rPr>
        <w:t xml:space="preserve"> el arbitraje en Derecho</w:t>
      </w:r>
      <w:r w:rsidR="00AA11A8">
        <w:rPr>
          <w:rFonts w:asciiTheme="majorHAnsi" w:hAnsiTheme="majorHAnsi"/>
          <w:b/>
          <w:i/>
        </w:rPr>
        <w:t xml:space="preserve"> y el de equidad</w:t>
      </w:r>
    </w:p>
    <w:p w:rsidR="00205853" w:rsidRPr="00205853" w:rsidRDefault="005F5E04" w:rsidP="00272222">
      <w:pPr>
        <w:ind w:right="44"/>
      </w:pPr>
      <w:r>
        <w:t xml:space="preserve">La principal diferencia entre el arbitraje </w:t>
      </w:r>
      <w:r w:rsidR="00337197">
        <w:t>en Derecho</w:t>
      </w:r>
      <w:r>
        <w:t xml:space="preserve"> y </w:t>
      </w:r>
      <w:r w:rsidR="00337197">
        <w:t>el de equidad</w:t>
      </w:r>
      <w:r w:rsidR="00272222">
        <w:t xml:space="preserve">, tal como lo define el artículo 5 </w:t>
      </w:r>
      <w:proofErr w:type="spellStart"/>
      <w:r w:rsidR="00C30F98">
        <w:t>LMCA</w:t>
      </w:r>
      <w:proofErr w:type="spellEnd"/>
      <w:r w:rsidR="00272222">
        <w:t>, es que los árbitros fundamentan su decisión en el derecho positivo vigente.</w:t>
      </w:r>
    </w:p>
    <w:p w:rsidR="00205853" w:rsidRPr="00205853" w:rsidRDefault="00337197" w:rsidP="00205853">
      <w:pPr>
        <w:ind w:right="44"/>
      </w:pPr>
      <w:r>
        <w:t>L</w:t>
      </w:r>
      <w:r w:rsidR="00205853" w:rsidRPr="00205853">
        <w:t xml:space="preserve">os árbitros </w:t>
      </w:r>
      <w:r w:rsidR="00205853" w:rsidRPr="00205853">
        <w:rPr>
          <w:i/>
        </w:rPr>
        <w:t>iuris</w:t>
      </w:r>
      <w:r w:rsidR="00205853" w:rsidRPr="00205853">
        <w:t xml:space="preserve"> deben actuar y resolver de igual manera que el juez, pues este tipo de arbitramento posee aquel carácter jurídico que impone que se deba proceder de conformidad a las normas procesales, siempre que no se hubiere pactado algo diferente. Esto incluye los medios de impugnación; por la cual, no es irrazonable ni arbitrario que el legislador secundario instituya el recurso de apelación para el arbitraje en derecho, pues se deberá actuar como si se tratara de un verdadero proceso judicial, en tanto el compromiso arbitral no disponga otra cosa.</w:t>
      </w:r>
    </w:p>
    <w:p w:rsidR="00205853" w:rsidRPr="00205853" w:rsidRDefault="00205853" w:rsidP="00205853">
      <w:pPr>
        <w:ind w:right="44"/>
        <w:rPr>
          <w:i/>
        </w:rPr>
      </w:pPr>
      <w:r w:rsidRPr="00205853">
        <w:t xml:space="preserve">En este aspecto podemos citar nuevamente a </w:t>
      </w:r>
      <w:proofErr w:type="spellStart"/>
      <w:r w:rsidRPr="00205853">
        <w:t>CAIVANO</w:t>
      </w:r>
      <w:proofErr w:type="spellEnd"/>
      <w:r w:rsidRPr="00205853">
        <w:t xml:space="preserve">: </w:t>
      </w:r>
      <w:r w:rsidRPr="00205853">
        <w:rPr>
          <w:i/>
        </w:rPr>
        <w:t>«La materia recursiva, en general, ha sido legislada en los códigos procesales como uno de los aspectos que deben ser resueltos por las partes en el acuerdo arbitral, brindando -con la excepción antedicha de la nulidad- un amplio marco para la autonomía de la voluntad, al permitir no sólo la renuncia del recurso de apelación, sino también la posibilidad de que se lo condicione al cumplimiento de determinados recaudos.</w:t>
      </w:r>
    </w:p>
    <w:p w:rsidR="00205853" w:rsidRPr="00205853" w:rsidRDefault="00205853" w:rsidP="00205853">
      <w:pPr>
        <w:ind w:right="44"/>
      </w:pPr>
      <w:r w:rsidRPr="00205853">
        <w:rPr>
          <w:i/>
        </w:rPr>
        <w:tab/>
        <w:t>Con las salvedades expuestas, en los regímenes legales del arbitraje, se prevé que los laudos son recurribles cuando han sido dictados por árbitros de Derecho, no obstante que ese recurso puede renunciarse o limitarse. Es decir, que en principio, el laudo es susceptible de apelación, regla que se destruye mediante el pacto en contrario, si las partes renuncian a él o imponen ciertos requisitos de admisibilidad.»</w:t>
      </w:r>
      <w:r w:rsidRPr="00205853">
        <w:t xml:space="preserve"> (Pág. 283).</w:t>
      </w:r>
    </w:p>
    <w:p w:rsidR="00C30F98" w:rsidRDefault="00205853" w:rsidP="00205853">
      <w:pPr>
        <w:ind w:right="44"/>
      </w:pPr>
      <w:r w:rsidRPr="00205853">
        <w:t xml:space="preserve">Por lo anterior, podemos concluir que el establecimiento del recurso de apelación para el específico caso del arbitraje en derecho no es contradictorio del art. 23 de </w:t>
      </w:r>
      <w:smartTag w:uri="urn:schemas-microsoft-com:office:smarttags" w:element="PersonName">
        <w:smartTagPr>
          <w:attr w:name="ProductID" w:val="la Constituci￳n"/>
        </w:smartTagPr>
        <w:r w:rsidRPr="00205853">
          <w:t>la Constitución</w:t>
        </w:r>
      </w:smartTag>
      <w:r w:rsidRPr="00205853">
        <w:t xml:space="preserve">, puesto que su instauración implica que el laudo será apelable sin perjuicio de lo que las partes puedan </w:t>
      </w:r>
      <w:r w:rsidRPr="00205853">
        <w:lastRenderedPageBreak/>
        <w:t>pactar al respecto. Sólo en el caso que las partes nada convengan, es que serán de aplicación las disposiciones legales sobre el recurso; así, en nada se contradice la voluntad contractual, pues las normas legales tienen carácter supletorio.</w:t>
      </w:r>
    </w:p>
    <w:p w:rsidR="00205853" w:rsidRPr="00205853" w:rsidRDefault="00205853" w:rsidP="00205853">
      <w:pPr>
        <w:ind w:right="44"/>
      </w:pPr>
      <w:r w:rsidRPr="00205853">
        <w:t>Solamente quien desconoce el funcionamiento y naturaleza del arbitramento puede alegar la contradicción entre el arbitraje en derecho y el recurso de apelación.</w:t>
      </w:r>
    </w:p>
    <w:p w:rsidR="00E90A4C" w:rsidRPr="00205853" w:rsidRDefault="00E90A4C"/>
    <w:sectPr w:rsidR="00E90A4C" w:rsidRPr="00205853" w:rsidSect="00E90A4C">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9EF" w:rsidRDefault="007D29EF" w:rsidP="007D29EF">
      <w:pPr>
        <w:spacing w:after="0" w:line="240" w:lineRule="auto"/>
      </w:pPr>
      <w:r>
        <w:separator/>
      </w:r>
    </w:p>
  </w:endnote>
  <w:endnote w:type="continuationSeparator" w:id="0">
    <w:p w:rsidR="007D29EF" w:rsidRDefault="007D29EF" w:rsidP="007D2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4688"/>
      <w:docPartObj>
        <w:docPartGallery w:val="Page Numbers (Bottom of Page)"/>
        <w:docPartUnique/>
      </w:docPartObj>
    </w:sdtPr>
    <w:sdtContent>
      <w:p w:rsidR="007D29EF" w:rsidRDefault="00281B37">
        <w:pPr>
          <w:pStyle w:val="Piedepgina"/>
          <w:jc w:val="right"/>
        </w:pPr>
        <w:fldSimple w:instr=" PAGE   \* MERGEFORMAT ">
          <w:r w:rsidR="004308AC">
            <w:rPr>
              <w:noProof/>
            </w:rPr>
            <w:t>1</w:t>
          </w:r>
        </w:fldSimple>
      </w:p>
    </w:sdtContent>
  </w:sdt>
  <w:p w:rsidR="007D29EF" w:rsidRDefault="007D29E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9EF" w:rsidRDefault="007D29EF" w:rsidP="007D29EF">
      <w:pPr>
        <w:spacing w:after="0" w:line="240" w:lineRule="auto"/>
      </w:pPr>
      <w:r>
        <w:separator/>
      </w:r>
    </w:p>
  </w:footnote>
  <w:footnote w:type="continuationSeparator" w:id="0">
    <w:p w:rsidR="007D29EF" w:rsidRDefault="007D29EF" w:rsidP="007D29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footnotePr>
    <w:footnote w:id="-1"/>
    <w:footnote w:id="0"/>
  </w:footnotePr>
  <w:endnotePr>
    <w:endnote w:id="-1"/>
    <w:endnote w:id="0"/>
  </w:endnotePr>
  <w:compat/>
  <w:rsids>
    <w:rsidRoot w:val="00205853"/>
    <w:rsid w:val="00205853"/>
    <w:rsid w:val="00272222"/>
    <w:rsid w:val="00281B37"/>
    <w:rsid w:val="00337197"/>
    <w:rsid w:val="004308AC"/>
    <w:rsid w:val="004F44F2"/>
    <w:rsid w:val="005E53BB"/>
    <w:rsid w:val="005F5E04"/>
    <w:rsid w:val="006007B1"/>
    <w:rsid w:val="006C2343"/>
    <w:rsid w:val="006E0A61"/>
    <w:rsid w:val="006F0F89"/>
    <w:rsid w:val="007D29EF"/>
    <w:rsid w:val="00946847"/>
    <w:rsid w:val="00986339"/>
    <w:rsid w:val="00AA11A8"/>
    <w:rsid w:val="00AE76FA"/>
    <w:rsid w:val="00C30F98"/>
    <w:rsid w:val="00E90A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53"/>
    <w:pPr>
      <w:spacing w:line="360" w:lineRule="auto"/>
      <w:jc w:val="both"/>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205853"/>
  </w:style>
  <w:style w:type="paragraph" w:styleId="Encabezado">
    <w:name w:val="header"/>
    <w:basedOn w:val="Normal"/>
    <w:link w:val="EncabezadoCar"/>
    <w:uiPriority w:val="99"/>
    <w:semiHidden/>
    <w:unhideWhenUsed/>
    <w:rsid w:val="007D29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D29EF"/>
    <w:rPr>
      <w:rFonts w:ascii="Calibri" w:eastAsia="Calibri" w:hAnsi="Calibri" w:cs="Times New Roman"/>
      <w:lang w:val="es-SV"/>
    </w:rPr>
  </w:style>
  <w:style w:type="paragraph" w:styleId="Piedepgina">
    <w:name w:val="footer"/>
    <w:basedOn w:val="Normal"/>
    <w:link w:val="PiedepginaCar"/>
    <w:uiPriority w:val="99"/>
    <w:unhideWhenUsed/>
    <w:rsid w:val="007D29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9EF"/>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9B614A-E5E1-4BBD-9076-81FA5101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BlackCrystal™ v8</dc:creator>
  <cp:keywords/>
  <dc:description/>
  <cp:lastModifiedBy> </cp:lastModifiedBy>
  <cp:revision>4</cp:revision>
  <dcterms:created xsi:type="dcterms:W3CDTF">2012-03-07T23:16:00Z</dcterms:created>
  <dcterms:modified xsi:type="dcterms:W3CDTF">2012-03-08T01:44:00Z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