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A" w:rsidRPr="00417DEA" w:rsidRDefault="00417DEA" w:rsidP="00417DEA">
      <w:pPr>
        <w:jc w:val="center"/>
        <w:rPr>
          <w:b/>
        </w:rPr>
      </w:pPr>
      <w:r w:rsidRPr="00417DEA">
        <w:rPr>
          <w:b/>
        </w:rPr>
        <w:t>Sobre la exigencia legal de la firma del proveedor en las Actas de Recepción</w:t>
      </w:r>
      <w:r>
        <w:rPr>
          <w:b/>
        </w:rPr>
        <w:t xml:space="preserve"> de Bienes, Obras y Servicios, de acuerdo a la normativa de las adquisiciones públicas salvadoreñas</w:t>
      </w:r>
      <w:r w:rsidRPr="00417DEA">
        <w:rPr>
          <w:b/>
        </w:rPr>
        <w:t>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>Co</w:t>
      </w:r>
      <w:r>
        <w:t>ment</w:t>
      </w:r>
      <w:r>
        <w:t>ando</w:t>
      </w:r>
      <w:r>
        <w:t xml:space="preserve"> sobre el tema de la firma del proveedor en las actas de recepción</w:t>
      </w:r>
      <w:r>
        <w:t xml:space="preserve">, </w:t>
      </w:r>
      <w:r>
        <w:t xml:space="preserve"> desde el </w:t>
      </w:r>
      <w:r>
        <w:rPr>
          <w:b/>
          <w:bCs/>
        </w:rPr>
        <w:t>punto de vista jurídico</w:t>
      </w:r>
      <w:r>
        <w:rPr>
          <w:b/>
          <w:bCs/>
        </w:rPr>
        <w:t>,</w:t>
      </w:r>
      <w:r>
        <w:t xml:space="preserve"> </w:t>
      </w:r>
      <w:r>
        <w:t xml:space="preserve">es importante </w:t>
      </w:r>
      <w:r>
        <w:t>explic</w:t>
      </w:r>
      <w:r>
        <w:t>ar l</w:t>
      </w:r>
      <w:r>
        <w:t>o</w:t>
      </w:r>
      <w:r>
        <w:t xml:space="preserve"> siguiente</w:t>
      </w:r>
      <w:r>
        <w:t>: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 xml:space="preserve">Partamos de la base, que nuestro sistema normativo funciona bajo un esquema jerárquico de tipo vertical. Traigo a cuenta la famosa pirámide </w:t>
      </w:r>
      <w:proofErr w:type="spellStart"/>
      <w:r>
        <w:t>kelseniana</w:t>
      </w:r>
      <w:proofErr w:type="spellEnd"/>
      <w:r>
        <w:t>, la cual coloca a la Constitución por encima de toda norma jurídica. A partir de esa norma suprema, encontramos un segundo estrato, denominado leyes secundarias o leyes formales, pues, tienen su origen en un acto eminentemente legislativo. En tercer lugar, encontramos los reglamentos; y todavía es factible de hablar de otras normas de menor jerarquía o de cuarta categoría, por ejemplo,  una ordenanza municipal.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 xml:space="preserve">A partir de esa jerarquía normativa, conocemos el famoso </w:t>
      </w:r>
      <w:r>
        <w:rPr>
          <w:b/>
          <w:bCs/>
        </w:rPr>
        <w:t xml:space="preserve">principio de legalidad, </w:t>
      </w:r>
      <w:r>
        <w:t>que en este caso, se debe analizar a la luz de la administración pública, pues, todos los actos que efect</w:t>
      </w:r>
      <w:r>
        <w:t>úa la administración pública</w:t>
      </w:r>
      <w:r>
        <w:t>, son formal y materialmente actos administrativos, es decir, actos de la administración pública.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 xml:space="preserve">El </w:t>
      </w:r>
      <w:r>
        <w:rPr>
          <w:b/>
          <w:bCs/>
        </w:rPr>
        <w:t xml:space="preserve">principio de legalidad </w:t>
      </w:r>
      <w:r>
        <w:t xml:space="preserve">básicamente lo encontramos conceptualizado en el Art. 86 de la Constitución </w:t>
      </w:r>
      <w:r w:rsidR="005140CB">
        <w:t xml:space="preserve">Salvadoreña, </w:t>
      </w:r>
      <w:r>
        <w:t xml:space="preserve">al señalar, el mismo, que los funcionarios del gobierno (entiéndase toda persona que realiza actos administrativos de parte de la administración pública) son delegados del pueblo y no tienen más facultades que las que expresamente les da la ley. En virtud de la </w:t>
      </w:r>
      <w:r>
        <w:rPr>
          <w:b/>
          <w:bCs/>
        </w:rPr>
        <w:t>sujeción a la ley</w:t>
      </w:r>
      <w:r>
        <w:t>, la administración solo puede actuar cuando la ley la faculte. En ese sentido, toda acción administrativa se nos presenta como un</w:t>
      </w:r>
      <w:r w:rsidR="005140CB">
        <w:t>a</w:t>
      </w:r>
      <w:r>
        <w:t xml:space="preserve"> facultad atribuida previamente por la ley, delimitada y construida por la ley.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 xml:space="preserve">Lo anterior implica que la administración sólo podrá configurar los actos administrativos </w:t>
      </w:r>
      <w:r>
        <w:rPr>
          <w:b/>
          <w:bCs/>
        </w:rPr>
        <w:t>con los requisitos a los que la ley de cobertura</w:t>
      </w:r>
      <w:r>
        <w:t xml:space="preserve"> y en la forma en que la misma los regule.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>El principio de legalidad determina entonces los alcances normativos que puede o debe tener una norma de inferior jerarquía a la ley, tal el caso de los reglamentos. Si la ley hace una remisión a normas reglamentarias, dichas normas reglamentarias deberán cumplir con los siguientes requisitos:</w:t>
      </w:r>
    </w:p>
    <w:p w:rsidR="00417DEA" w:rsidRDefault="00417DEA" w:rsidP="00417DEA">
      <w:pPr>
        <w:jc w:val="both"/>
      </w:pPr>
    </w:p>
    <w:p w:rsidR="00417DEA" w:rsidRDefault="00417DEA" w:rsidP="00417DEA">
      <w:pPr>
        <w:pStyle w:val="Prrafodelista"/>
        <w:numPr>
          <w:ilvl w:val="0"/>
          <w:numId w:val="1"/>
        </w:numPr>
        <w:jc w:val="both"/>
      </w:pPr>
      <w:r>
        <w:t>Solamente en la ley se puede delimitar o determinar los elementos esenciales o mínimos de la conducta o acto jurídico administrativo respectivo. Esa delimitación representa un techo de regulación.</w:t>
      </w:r>
    </w:p>
    <w:p w:rsidR="00417DEA" w:rsidRDefault="00417DEA" w:rsidP="00417DEA">
      <w:pPr>
        <w:pStyle w:val="Prrafodelista"/>
        <w:numPr>
          <w:ilvl w:val="0"/>
          <w:numId w:val="1"/>
        </w:numPr>
        <w:jc w:val="both"/>
      </w:pPr>
      <w:r>
        <w:t xml:space="preserve">La regulación reglamentaria no debe constituir una regulación independiente o </w:t>
      </w:r>
      <w:r>
        <w:rPr>
          <w:b/>
          <w:bCs/>
        </w:rPr>
        <w:t xml:space="preserve">insubordinada </w:t>
      </w:r>
      <w:r>
        <w:t>a la ley. Dicho de otra manera, el reglamento puede desarrollar y dar contenido a la ley, pero no introducir requisitos o elementos más gravosos a la conducta o al acto regulado en la ley.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>Sobre estos temas hay suficiente doctrina y jurisprudencia de la Sala de lo Contencioso Administrativo de la Corte Suprema de Justicia.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>Pues, bien,  aplicando esas reglas generales, al caso concreto, se denota lo siguiente:</w:t>
      </w:r>
    </w:p>
    <w:p w:rsidR="00417DEA" w:rsidRDefault="00417DEA" w:rsidP="00417DEA">
      <w:pPr>
        <w:jc w:val="both"/>
      </w:pPr>
    </w:p>
    <w:p w:rsidR="00417DEA" w:rsidRDefault="00417DEA" w:rsidP="00417DEA">
      <w:pPr>
        <w:pStyle w:val="NormalWeb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La norma secundaria o ley formal, </w:t>
      </w:r>
      <w:r>
        <w:rPr>
          <w:rFonts w:ascii="Arial" w:hAnsi="Arial" w:cs="Arial"/>
          <w:sz w:val="20"/>
          <w:szCs w:val="20"/>
          <w:lang w:val="es-ES"/>
        </w:rPr>
        <w:t>para el caso analizado es la Ley de Adquisiciones y Contrataciones de la Administración Pública (LACAP) que literalmente dice:</w:t>
      </w:r>
    </w:p>
    <w:p w:rsidR="00417DEA" w:rsidRDefault="00417DEA" w:rsidP="00417DEA">
      <w:pPr>
        <w:pStyle w:val="NormalWeb"/>
        <w:spacing w:after="240" w:afterAutospacing="0"/>
        <w:rPr>
          <w:rFonts w:ascii="Arial" w:hAnsi="Arial" w:cs="Arial"/>
          <w:b/>
          <w:bCs/>
          <w:color w:val="0000CC"/>
          <w:sz w:val="18"/>
          <w:szCs w:val="18"/>
          <w:lang w:val="es-ES"/>
        </w:rPr>
      </w:pPr>
      <w:r>
        <w:rPr>
          <w:rFonts w:ascii="Arial" w:hAnsi="Arial" w:cs="Arial"/>
          <w:b/>
          <w:bCs/>
          <w:color w:val="0000CC"/>
          <w:sz w:val="18"/>
          <w:szCs w:val="18"/>
          <w:lang w:val="es-ES"/>
        </w:rPr>
        <w:t>Atribuciones de la UACI</w:t>
      </w:r>
      <w:r>
        <w:rPr>
          <w:b/>
          <w:bCs/>
          <w:color w:val="0000CC"/>
          <w:sz w:val="18"/>
          <w:szCs w:val="18"/>
          <w:lang w:val="es-ES"/>
        </w:rPr>
        <w:br/>
      </w:r>
      <w:r>
        <w:rPr>
          <w:b/>
          <w:bCs/>
          <w:color w:val="0000CC"/>
          <w:sz w:val="18"/>
          <w:szCs w:val="18"/>
          <w:lang w:val="es-ES"/>
        </w:rPr>
        <w:br/>
      </w:r>
      <w:r>
        <w:rPr>
          <w:rFonts w:ascii="Arial" w:hAnsi="Arial" w:cs="Arial"/>
          <w:b/>
          <w:bCs/>
          <w:color w:val="0000CC"/>
          <w:sz w:val="18"/>
          <w:szCs w:val="18"/>
          <w:lang w:val="es-ES"/>
        </w:rPr>
        <w:t>Art. 12.- Corresponde a la Unidad de Adquisiciones y Contrataciones Institucional: …</w:t>
      </w:r>
      <w:r>
        <w:rPr>
          <w:b/>
          <w:bCs/>
          <w:color w:val="0000CC"/>
          <w:sz w:val="18"/>
          <w:szCs w:val="18"/>
          <w:lang w:val="es-ES"/>
        </w:rPr>
        <w:br/>
      </w:r>
      <w:r>
        <w:rPr>
          <w:rFonts w:ascii="Arial" w:hAnsi="Arial" w:cs="Arial"/>
          <w:b/>
          <w:bCs/>
          <w:color w:val="0000CC"/>
          <w:sz w:val="18"/>
          <w:szCs w:val="18"/>
          <w:lang w:val="es-ES"/>
        </w:rPr>
        <w:t>j) Levantar acta de la recepción total o parcial de las adquisiciones o contrataciones de obras, bienes y servicios, conjuntamente con la dependencia solicitante cuando el caso lo requiera, de conformidad a lo establecido en el Reglamento de esta Ley;</w:t>
      </w:r>
    </w:p>
    <w:p w:rsidR="00417DEA" w:rsidRDefault="00417DEA" w:rsidP="00417DEA">
      <w:pPr>
        <w:pStyle w:val="NormalWeb"/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>Analizando la norma anterior, se concluye:</w:t>
      </w:r>
    </w:p>
    <w:p w:rsidR="00417DEA" w:rsidRDefault="00417DEA" w:rsidP="00417DEA">
      <w:pPr>
        <w:pStyle w:val="NormalWeb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>Que el acta de recepción la debe levantar la Unidad de Adquisiciones (como se ha hecho siempre y se hace en la actualidad)</w:t>
      </w:r>
    </w:p>
    <w:p w:rsidR="00417DEA" w:rsidRDefault="00417DEA" w:rsidP="00417DEA">
      <w:pPr>
        <w:pStyle w:val="NormalWeb"/>
        <w:numPr>
          <w:ilvl w:val="0"/>
          <w:numId w:val="2"/>
        </w:numPr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 xml:space="preserve">Que en el acta debe aparecer la </w:t>
      </w:r>
      <w:r>
        <w:rPr>
          <w:rFonts w:ascii="Arial" w:hAnsi="Arial" w:cs="Arial"/>
          <w:sz w:val="20"/>
          <w:szCs w:val="20"/>
          <w:lang w:val="es-ES"/>
        </w:rPr>
        <w:t>aquiescencia</w:t>
      </w:r>
      <w:r>
        <w:rPr>
          <w:rFonts w:ascii="Arial" w:hAnsi="Arial" w:cs="Arial"/>
          <w:color w:val="auto"/>
          <w:sz w:val="20"/>
          <w:szCs w:val="20"/>
          <w:lang w:val="es-ES"/>
        </w:rPr>
        <w:t>, es decir, el consentimiento que exprese haberse recibido a satisfacción los obras, bienes y servicios, de las siguientes personas:</w:t>
      </w:r>
    </w:p>
    <w:p w:rsidR="00417DEA" w:rsidRDefault="00417DEA" w:rsidP="00417DEA">
      <w:pPr>
        <w:pStyle w:val="NormalWeb"/>
        <w:numPr>
          <w:ilvl w:val="1"/>
          <w:numId w:val="2"/>
        </w:numPr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>De un representante de la Unidad de Adquisiciones;</w:t>
      </w:r>
    </w:p>
    <w:p w:rsidR="00417DEA" w:rsidRDefault="00417DEA" w:rsidP="00417DEA">
      <w:pPr>
        <w:pStyle w:val="NormalWeb"/>
        <w:numPr>
          <w:ilvl w:val="1"/>
          <w:numId w:val="2"/>
        </w:numPr>
        <w:rPr>
          <w:rFonts w:ascii="Arial" w:hAnsi="Arial" w:cs="Arial"/>
          <w:color w:val="auto"/>
          <w:sz w:val="20"/>
          <w:szCs w:val="20"/>
          <w:lang w:val="es-ES"/>
        </w:rPr>
      </w:pPr>
      <w:r>
        <w:rPr>
          <w:rFonts w:ascii="Arial" w:hAnsi="Arial" w:cs="Arial"/>
          <w:color w:val="auto"/>
          <w:sz w:val="20"/>
          <w:szCs w:val="20"/>
          <w:lang w:val="es-ES"/>
        </w:rPr>
        <w:t>De un representante de la dependencia solicitante, cuando el caso así lo requiera.</w:t>
      </w:r>
    </w:p>
    <w:p w:rsidR="00417DEA" w:rsidRDefault="00417DEA" w:rsidP="00417DE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 norma reglamentaria </w:t>
      </w:r>
      <w:r>
        <w:rPr>
          <w:rFonts w:ascii="Arial" w:hAnsi="Arial" w:cs="Arial"/>
          <w:sz w:val="20"/>
          <w:szCs w:val="20"/>
        </w:rPr>
        <w:t>o que da contenido al art. 12 de la LACAP, y que corresponde al Art.60 del Reglamento de la LACAP, dice literalmente:</w:t>
      </w:r>
    </w:p>
    <w:p w:rsidR="00417DEA" w:rsidRDefault="00417DEA" w:rsidP="00417DE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ACTA DE RECEPCION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Art. 60.- Se elaborará acta de recepción de todas las adquisiciones que se realicen, la que tendrá como contenido mínimo lo siguiente: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br/>
      </w:r>
      <w:r>
        <w:rPr>
          <w:rFonts w:ascii="Arial" w:hAnsi="Arial" w:cs="Arial"/>
          <w:b/>
          <w:bCs/>
          <w:color w:val="0000CC"/>
          <w:sz w:val="18"/>
          <w:szCs w:val="18"/>
        </w:rPr>
        <w:t>a) Lugar, día y hora de la recepción;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b) Nombre del proveedor o contratista;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c) Fecha y referencia del contrato o de la orden de compra;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d) Especificaciones o características técnicas de la obra, bien o servicio;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e) Nombre y firma de la persona que entrega por parte del proveedor o contratista;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f) Nombre, cargo y firma de las personas que reciben la obra, bien o servicio; y</w:t>
      </w:r>
      <w:r>
        <w:rPr>
          <w:rFonts w:ascii="Times New Roman" w:hAnsi="Times New Roman" w:cs="Times New Roman"/>
          <w:b/>
          <w:bCs/>
          <w:color w:val="0000CC"/>
          <w:sz w:val="18"/>
          <w:szCs w:val="18"/>
        </w:rPr>
        <w:t xml:space="preserve"> </w:t>
      </w:r>
    </w:p>
    <w:p w:rsidR="00417DEA" w:rsidRDefault="00417DEA" w:rsidP="00417DE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0000CC"/>
          <w:sz w:val="18"/>
          <w:szCs w:val="18"/>
        </w:rPr>
      </w:pPr>
      <w:r>
        <w:rPr>
          <w:rFonts w:ascii="Arial" w:hAnsi="Arial" w:cs="Arial"/>
          <w:b/>
          <w:bCs/>
          <w:color w:val="0000CC"/>
          <w:sz w:val="18"/>
          <w:szCs w:val="18"/>
        </w:rPr>
        <w:t>g) Cualquier otra información pertinente.</w:t>
      </w:r>
    </w:p>
    <w:p w:rsidR="00417DEA" w:rsidRDefault="00417DEA" w:rsidP="00417DEA">
      <w:pPr>
        <w:pStyle w:val="NormalWeb"/>
        <w:rPr>
          <w:rFonts w:ascii="Calibri" w:hAnsi="Calibri" w:cs="Calibri"/>
          <w:color w:val="auto"/>
          <w:sz w:val="22"/>
          <w:szCs w:val="22"/>
          <w:lang w:val="es-ES"/>
        </w:rPr>
      </w:pPr>
      <w:r>
        <w:rPr>
          <w:rFonts w:ascii="Calibri" w:hAnsi="Calibri" w:cs="Calibri"/>
          <w:color w:val="auto"/>
          <w:sz w:val="22"/>
          <w:szCs w:val="22"/>
          <w:lang w:val="es-ES"/>
        </w:rPr>
        <w:t>Analizando la norma reglamentaria anterior, se concluye:</w:t>
      </w:r>
    </w:p>
    <w:p w:rsidR="00417DEA" w:rsidRDefault="00417DEA" w:rsidP="00417DEA">
      <w:pPr>
        <w:jc w:val="both"/>
        <w:rPr>
          <w:lang w:val="es-ES"/>
        </w:rPr>
      </w:pPr>
      <w:proofErr w:type="gramStart"/>
      <w:r>
        <w:rPr>
          <w:lang w:val="es-ES"/>
        </w:rPr>
        <w:t>Los</w:t>
      </w:r>
      <w:proofErr w:type="gramEnd"/>
      <w:r>
        <w:rPr>
          <w:lang w:val="es-ES"/>
        </w:rPr>
        <w:t xml:space="preserve"> literales a), b), c), d), f) y g) de acuerdo a las consideraciones arriba expresadas, constituyen regulaciones que desarrollan o dan contenido a la norma secundaria. Sin embargo, </w:t>
      </w:r>
      <w:r>
        <w:rPr>
          <w:b/>
          <w:bCs/>
          <w:lang w:val="es-ES"/>
        </w:rPr>
        <w:t>el literal e)</w:t>
      </w:r>
      <w:r>
        <w:rPr>
          <w:lang w:val="es-ES"/>
        </w:rPr>
        <w:t xml:space="preserve"> no es coherente con esas consideraciones, pues, la firma del proveedor que es un acto o conducta esperada del proveedor no es un requisito previamente establecido en la ley, es decir, en el art. 12 LACAP.</w:t>
      </w:r>
    </w:p>
    <w:p w:rsidR="00417DEA" w:rsidRDefault="00417DEA" w:rsidP="00417DEA">
      <w:pPr>
        <w:jc w:val="both"/>
        <w:rPr>
          <w:lang w:val="es-ES"/>
        </w:rPr>
      </w:pPr>
    </w:p>
    <w:p w:rsidR="00417DEA" w:rsidRDefault="00417DEA" w:rsidP="00417DEA">
      <w:pPr>
        <w:jc w:val="both"/>
        <w:rPr>
          <w:lang w:val="es-ES"/>
        </w:rPr>
      </w:pPr>
      <w:r>
        <w:rPr>
          <w:lang w:val="es-ES"/>
        </w:rPr>
        <w:t>Como hemos manifestado, el Art.12 LACAP solamente establece la comparecencia y aquiescencia de dos personas: 1) Un representante de la UACI y 2) un representante del solicitante. No existe el requisito de la comparecencia de un representante del proveedor.</w:t>
      </w:r>
    </w:p>
    <w:p w:rsidR="00417DEA" w:rsidRDefault="00417DEA" w:rsidP="00417DEA">
      <w:pPr>
        <w:jc w:val="both"/>
        <w:rPr>
          <w:lang w:val="es-ES"/>
        </w:rPr>
      </w:pPr>
    </w:p>
    <w:p w:rsidR="00417DEA" w:rsidRDefault="00417DEA" w:rsidP="00417DEA">
      <w:pPr>
        <w:jc w:val="both"/>
        <w:rPr>
          <w:lang w:val="es-ES"/>
        </w:rPr>
      </w:pPr>
      <w:r>
        <w:rPr>
          <w:lang w:val="es-ES"/>
        </w:rPr>
        <w:t>En todo caso, la firma del proveedor debería entenderse como información adicional pero no como un requisito que invalide el acto administrativo consistente en la recepción de las adquisiciones.</w:t>
      </w:r>
    </w:p>
    <w:p w:rsidR="00417DEA" w:rsidRDefault="00417DEA" w:rsidP="00417DEA">
      <w:pPr>
        <w:jc w:val="both"/>
        <w:rPr>
          <w:lang w:val="es-ES"/>
        </w:rPr>
      </w:pPr>
    </w:p>
    <w:p w:rsidR="00417DEA" w:rsidRDefault="00417DEA" w:rsidP="00417DEA">
      <w:pPr>
        <w:jc w:val="both"/>
      </w:pPr>
      <w:r>
        <w:rPr>
          <w:lang w:val="es-ES"/>
        </w:rPr>
        <w:t xml:space="preserve">EN DEFINITIVA, el literal e) citado, </w:t>
      </w:r>
      <w:r>
        <w:rPr>
          <w:b/>
          <w:bCs/>
          <w:lang w:val="es-ES"/>
        </w:rPr>
        <w:t>en cuanto se refiere a la firma del proveedor,</w:t>
      </w:r>
      <w:r>
        <w:rPr>
          <w:lang w:val="es-ES"/>
        </w:rPr>
        <w:t xml:space="preserve"> debido a que </w:t>
      </w:r>
      <w:r>
        <w:t xml:space="preserve">determina un elemento adicional, que no forma parte de los elementos esenciales establecidos en la ley, es una regulación </w:t>
      </w:r>
      <w:r>
        <w:rPr>
          <w:b/>
          <w:bCs/>
        </w:rPr>
        <w:t xml:space="preserve">insubordinada </w:t>
      </w:r>
      <w:r>
        <w:t>a la ley, es decir, al Art.12 LACAP, ya que introduce un requisito o elemento que hace más gravoso, más burocrático, al acto regulado en la ley.</w:t>
      </w:r>
    </w:p>
    <w:p w:rsidR="00417DEA" w:rsidRDefault="00417DEA" w:rsidP="00417DEA">
      <w:pPr>
        <w:jc w:val="both"/>
      </w:pPr>
    </w:p>
    <w:p w:rsidR="00417DEA" w:rsidRDefault="00417DEA" w:rsidP="00417DEA">
      <w:pPr>
        <w:jc w:val="both"/>
      </w:pPr>
      <w:r>
        <w:t>Por ello, la falta de firma del proveedor no invalida el acta de recepción de las adquisiciones. La ley no exige la comparecencia del proveedor; por lo tanto, reglamento no puede añadir un elemento que la ley previamente no estableció.</w:t>
      </w:r>
    </w:p>
    <w:p w:rsidR="004F77F1" w:rsidRDefault="004F77F1"/>
    <w:p w:rsidR="005140CB" w:rsidRDefault="005140CB">
      <w:r>
        <w:t>San Salvador, 25 de Agosto de 2010.</w:t>
      </w:r>
    </w:p>
    <w:p w:rsidR="005140CB" w:rsidRDefault="005140CB"/>
    <w:p w:rsidR="005140CB" w:rsidRDefault="005140CB">
      <w:r>
        <w:t>Lic. Gustavo A. López R.</w:t>
      </w:r>
    </w:p>
    <w:p w:rsidR="005140CB" w:rsidRDefault="005140CB">
      <w:r>
        <w:t>Abogado &amp; Notario</w:t>
      </w:r>
      <w:bookmarkStart w:id="0" w:name="_GoBack"/>
      <w:bookmarkEnd w:id="0"/>
    </w:p>
    <w:sectPr w:rsidR="00514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7AA0"/>
    <w:multiLevelType w:val="hybridMultilevel"/>
    <w:tmpl w:val="3F2283B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E1D81"/>
    <w:multiLevelType w:val="hybridMultilevel"/>
    <w:tmpl w:val="4F3041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EA"/>
    <w:rsid w:val="00417DEA"/>
    <w:rsid w:val="004F77F1"/>
    <w:rsid w:val="005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EA"/>
    <w:pPr>
      <w:spacing w:after="0" w:line="240" w:lineRule="auto"/>
    </w:pPr>
    <w:rPr>
      <w:rFonts w:ascii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DEA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7D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EA"/>
    <w:pPr>
      <w:spacing w:after="0" w:line="240" w:lineRule="auto"/>
    </w:pPr>
    <w:rPr>
      <w:rFonts w:ascii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DEA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7D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Lopez</dc:creator>
  <cp:lastModifiedBy>Gustavo Lopez</cp:lastModifiedBy>
  <cp:revision>1</cp:revision>
  <dcterms:created xsi:type="dcterms:W3CDTF">2011-08-23T16:15:00Z</dcterms:created>
  <dcterms:modified xsi:type="dcterms:W3CDTF">2011-08-23T16:34:00Z</dcterms:modified>
</cp:coreProperties>
</file>