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9DB" w:rsidRPr="00F368D8" w:rsidRDefault="00BE39DB" w:rsidP="005556FB">
      <w:pPr>
        <w:spacing w:line="360" w:lineRule="auto"/>
        <w:rPr>
          <w:rFonts w:ascii="Arial Narrow" w:hAnsi="Arial Narrow"/>
          <w:b/>
          <w:sz w:val="24"/>
          <w:szCs w:val="24"/>
        </w:rPr>
      </w:pPr>
      <w:r w:rsidRPr="00F368D8">
        <w:rPr>
          <w:rFonts w:ascii="Arial" w:hAnsi="Arial" w:cs="Arial"/>
          <w:noProof/>
          <w:sz w:val="24"/>
        </w:rPr>
        <w:drawing>
          <wp:anchor distT="0" distB="0" distL="114300" distR="114300" simplePos="0" relativeHeight="251664384" behindDoc="1" locked="0" layoutInCell="1" allowOverlap="1" wp14:anchorId="70E571D2" wp14:editId="2D4C86B1">
            <wp:simplePos x="0" y="0"/>
            <wp:positionH relativeFrom="column">
              <wp:posOffset>-400050</wp:posOffset>
            </wp:positionH>
            <wp:positionV relativeFrom="paragraph">
              <wp:posOffset>210185</wp:posOffset>
            </wp:positionV>
            <wp:extent cx="1295400" cy="1685925"/>
            <wp:effectExtent l="0" t="0" r="0" b="0"/>
            <wp:wrapNone/>
            <wp:docPr id="25" name="Imagen 450" descr="Logou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Logoues(1)"/>
                    <pic:cNvPicPr>
                      <a:picLocks noChangeAspect="1" noChangeArrowheads="1"/>
                    </pic:cNvPicPr>
                  </pic:nvPicPr>
                  <pic:blipFill>
                    <a:blip r:embed="rId8" cstate="print"/>
                    <a:srcRect/>
                    <a:stretch>
                      <a:fillRect/>
                    </a:stretch>
                  </pic:blipFill>
                  <pic:spPr bwMode="auto">
                    <a:xfrm>
                      <a:off x="0" y="0"/>
                      <a:ext cx="1295400" cy="1685925"/>
                    </a:xfrm>
                    <a:prstGeom prst="rect">
                      <a:avLst/>
                    </a:prstGeom>
                    <a:noFill/>
                    <a:ln w="9525">
                      <a:noFill/>
                      <a:miter lim="800000"/>
                      <a:headEnd/>
                      <a:tailEnd/>
                    </a:ln>
                  </pic:spPr>
                </pic:pic>
              </a:graphicData>
            </a:graphic>
          </wp:anchor>
        </w:drawing>
      </w:r>
      <w:r w:rsidRPr="00F368D8">
        <w:rPr>
          <w:rFonts w:ascii="Arial" w:hAnsi="Arial" w:cs="Arial"/>
          <w:noProof/>
          <w:sz w:val="24"/>
        </w:rPr>
        <w:drawing>
          <wp:anchor distT="0" distB="0" distL="114300" distR="114300" simplePos="0" relativeHeight="251663360" behindDoc="1" locked="0" layoutInCell="1" allowOverlap="1" wp14:anchorId="6BD80273" wp14:editId="58E2E0EC">
            <wp:simplePos x="0" y="0"/>
            <wp:positionH relativeFrom="column">
              <wp:posOffset>4516755</wp:posOffset>
            </wp:positionH>
            <wp:positionV relativeFrom="paragraph">
              <wp:posOffset>346075</wp:posOffset>
            </wp:positionV>
            <wp:extent cx="1295400" cy="1390650"/>
            <wp:effectExtent l="0" t="0" r="0" b="0"/>
            <wp:wrapNone/>
            <wp:docPr id="24" name="Imagen 451" descr="imagen de la faculta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imagen de la facultad 23"/>
                    <pic:cNvPicPr>
                      <a:picLocks noChangeAspect="1" noChangeArrowheads="1"/>
                    </pic:cNvPicPr>
                  </pic:nvPicPr>
                  <pic:blipFill>
                    <a:blip r:embed="rId9" cstate="print"/>
                    <a:srcRect/>
                    <a:stretch>
                      <a:fillRect/>
                    </a:stretch>
                  </pic:blipFill>
                  <pic:spPr bwMode="auto">
                    <a:xfrm>
                      <a:off x="0" y="0"/>
                      <a:ext cx="1295400" cy="1390650"/>
                    </a:xfrm>
                    <a:prstGeom prst="rect">
                      <a:avLst/>
                    </a:prstGeom>
                    <a:noFill/>
                    <a:ln w="9525">
                      <a:noFill/>
                      <a:miter lim="800000"/>
                      <a:headEnd/>
                      <a:tailEnd/>
                    </a:ln>
                  </pic:spPr>
                </pic:pic>
              </a:graphicData>
            </a:graphic>
          </wp:anchor>
        </w:drawing>
      </w:r>
    </w:p>
    <w:p w:rsidR="00BE39DB" w:rsidRPr="00F368D8" w:rsidRDefault="004F331E" w:rsidP="00BB6B27">
      <w:pPr>
        <w:tabs>
          <w:tab w:val="left" w:pos="2174"/>
          <w:tab w:val="center" w:pos="4252"/>
        </w:tabs>
        <w:spacing w:line="360" w:lineRule="auto"/>
        <w:jc w:val="center"/>
        <w:rPr>
          <w:rFonts w:ascii="Arial Narrow" w:hAnsi="Arial Narrow"/>
          <w:b/>
          <w:sz w:val="24"/>
          <w:szCs w:val="24"/>
        </w:rPr>
      </w:pPr>
      <w:r>
        <w:rPr>
          <w:rFonts w:ascii="Arial Narrow" w:hAnsi="Arial Narrow"/>
          <w:b/>
          <w:noProof/>
          <w:sz w:val="24"/>
          <w:szCs w:val="24"/>
        </w:rPr>
        <mc:AlternateContent>
          <mc:Choice Requires="wps">
            <w:drawing>
              <wp:anchor distT="0" distB="0" distL="114300" distR="114300" simplePos="0" relativeHeight="251688960" behindDoc="0" locked="0" layoutInCell="1" allowOverlap="1">
                <wp:simplePos x="0" y="0"/>
                <wp:positionH relativeFrom="page">
                  <wp:posOffset>10795</wp:posOffset>
                </wp:positionH>
                <wp:positionV relativeFrom="page">
                  <wp:posOffset>-55245</wp:posOffset>
                </wp:positionV>
                <wp:extent cx="7922895" cy="997585"/>
                <wp:effectExtent l="10795" t="11430" r="10160" b="2921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895" cy="997585"/>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F5A97" id="Rectángulo 9" o:spid="_x0000_s1026" style="position:absolute;margin-left:.85pt;margin-top:-4.35pt;width:623.85pt;height:78.5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" fillcolor="#9cc2e5 [1940]" strokecolor="#5b9bd5 [3204]" strokeweight="1pt">
                <v:fill color2="#5b9bd5 [3204]" focus="50%" type="gradient"/>
                <v:shadow on="t" color="#1f4d78 [1604]" offset="1pt"/>
                <w10:wrap anchorx="page" anchory="page"/>
              </v:rect>
            </w:pict>
          </mc:Fallback>
        </mc:AlternateContent>
      </w:r>
      <w:r w:rsidR="00BE39DB" w:rsidRPr="00F368D8">
        <w:rPr>
          <w:rFonts w:ascii="Arial Narrow" w:hAnsi="Arial Narrow"/>
          <w:b/>
          <w:sz w:val="24"/>
          <w:szCs w:val="24"/>
        </w:rPr>
        <w:t>UNIVERSIDAD DE EL SALVADOR</w:t>
      </w:r>
    </w:p>
    <w:p w:rsidR="00BE39DB" w:rsidRPr="00F368D8" w:rsidRDefault="00BE39DB" w:rsidP="00BB6B27">
      <w:pPr>
        <w:spacing w:line="360" w:lineRule="auto"/>
        <w:jc w:val="center"/>
        <w:rPr>
          <w:rFonts w:ascii="Arial Narrow" w:hAnsi="Arial Narrow"/>
          <w:b/>
          <w:sz w:val="24"/>
          <w:szCs w:val="24"/>
        </w:rPr>
      </w:pPr>
      <w:r w:rsidRPr="00F368D8">
        <w:rPr>
          <w:rFonts w:ascii="Arial Narrow" w:hAnsi="Arial Narrow"/>
          <w:b/>
          <w:sz w:val="24"/>
          <w:szCs w:val="24"/>
        </w:rPr>
        <w:t>FACULTAD DE CIENCIAS ECONOMICAS</w:t>
      </w:r>
    </w:p>
    <w:p w:rsidR="00BE39DB" w:rsidRPr="00F368D8" w:rsidRDefault="00F95887" w:rsidP="00BB6B27">
      <w:pPr>
        <w:spacing w:line="360" w:lineRule="auto"/>
        <w:jc w:val="center"/>
        <w:rPr>
          <w:rFonts w:ascii="Arial Narrow" w:hAnsi="Arial Narrow"/>
          <w:b/>
          <w:sz w:val="24"/>
          <w:szCs w:val="24"/>
        </w:rPr>
      </w:pPr>
      <w:r>
        <w:rPr>
          <w:rFonts w:ascii="Arial Narrow" w:hAnsi="Arial Narrow"/>
          <w:b/>
          <w:sz w:val="24"/>
          <w:szCs w:val="24"/>
        </w:rPr>
        <w:t>ESCUELA DE CONTADURIA PÚBLICA</w:t>
      </w:r>
    </w:p>
    <w:p w:rsidR="00BE39DB" w:rsidRPr="00F368D8" w:rsidRDefault="00F02525" w:rsidP="008A4F02">
      <w:pPr>
        <w:tabs>
          <w:tab w:val="left" w:pos="2565"/>
        </w:tabs>
        <w:spacing w:line="360" w:lineRule="auto"/>
        <w:jc w:val="both"/>
        <w:rPr>
          <w:rFonts w:ascii="Arial Narrow" w:hAnsi="Arial Narrow"/>
          <w:b/>
          <w:sz w:val="24"/>
          <w:szCs w:val="24"/>
        </w:rPr>
      </w:pPr>
      <w:r>
        <w:rPr>
          <w:rFonts w:ascii="Arial Narrow" w:hAnsi="Arial Narrow"/>
          <w:b/>
          <w:sz w:val="24"/>
          <w:szCs w:val="24"/>
        </w:rPr>
        <w:tab/>
      </w:r>
    </w:p>
    <w:p w:rsidR="00F95887" w:rsidRDefault="006E4878" w:rsidP="008A4F02">
      <w:pPr>
        <w:spacing w:line="360" w:lineRule="auto"/>
        <w:jc w:val="both"/>
        <w:rPr>
          <w:rFonts w:ascii="Arial Narrow" w:hAnsi="Arial Narrow"/>
          <w:b/>
          <w:sz w:val="24"/>
          <w:szCs w:val="24"/>
        </w:rPr>
      </w:pPr>
      <w:r>
        <w:rPr>
          <w:rFonts w:ascii="Arial Narrow" w:hAnsi="Arial Narrow"/>
          <w:b/>
          <w:noProof/>
          <w:sz w:val="24"/>
          <w:szCs w:val="24"/>
        </w:rPr>
        <w:drawing>
          <wp:anchor distT="0" distB="0" distL="114300" distR="114300" simplePos="0" relativeHeight="251691008" behindDoc="1" locked="0" layoutInCell="1" allowOverlap="1" wp14:anchorId="21AC7050" wp14:editId="6F5D7525">
            <wp:simplePos x="0" y="0"/>
            <wp:positionH relativeFrom="margin">
              <wp:align>right</wp:align>
            </wp:positionH>
            <wp:positionV relativeFrom="paragraph">
              <wp:posOffset>11430</wp:posOffset>
            </wp:positionV>
            <wp:extent cx="5610225" cy="3019425"/>
            <wp:effectExtent l="0" t="0" r="9525" b="952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ey-Orgánica-450x328.jpg"/>
                    <pic:cNvPicPr/>
                  </pic:nvPicPr>
                  <pic:blipFill>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610225" cy="3019425"/>
                    </a:xfrm>
                    <a:prstGeom prst="rect">
                      <a:avLst/>
                    </a:prstGeom>
                  </pic:spPr>
                </pic:pic>
              </a:graphicData>
            </a:graphic>
            <wp14:sizeRelH relativeFrom="page">
              <wp14:pctWidth>0</wp14:pctWidth>
            </wp14:sizeRelH>
            <wp14:sizeRelV relativeFrom="page">
              <wp14:pctHeight>0</wp14:pctHeight>
            </wp14:sizeRelV>
          </wp:anchor>
        </w:drawing>
      </w:r>
      <w:r w:rsidR="00BE39DB" w:rsidRPr="00F368D8">
        <w:rPr>
          <w:rFonts w:ascii="Arial Narrow" w:hAnsi="Arial Narrow"/>
          <w:b/>
          <w:sz w:val="24"/>
          <w:szCs w:val="24"/>
        </w:rPr>
        <w:t xml:space="preserve">CATEDRA: </w:t>
      </w:r>
      <w:r>
        <w:rPr>
          <w:rFonts w:ascii="Arial Narrow" w:hAnsi="Arial Narrow"/>
          <w:b/>
          <w:sz w:val="24"/>
          <w:szCs w:val="24"/>
        </w:rPr>
        <w:t>Contabilidad Financiera V</w:t>
      </w:r>
      <w:r w:rsidR="00F95887">
        <w:rPr>
          <w:rFonts w:ascii="Arial Narrow" w:hAnsi="Arial Narrow"/>
          <w:b/>
          <w:sz w:val="24"/>
          <w:szCs w:val="24"/>
        </w:rPr>
        <w:t xml:space="preserve">                            </w:t>
      </w:r>
      <w:r w:rsidR="00F95887" w:rsidRPr="00F368D8">
        <w:rPr>
          <w:rFonts w:ascii="Arial Narrow" w:hAnsi="Arial Narrow"/>
          <w:b/>
          <w:sz w:val="24"/>
          <w:szCs w:val="24"/>
        </w:rPr>
        <w:t xml:space="preserve">GRUPO TEÓRICO: </w:t>
      </w:r>
      <w:r w:rsidR="00F95887">
        <w:rPr>
          <w:rFonts w:ascii="Arial Narrow" w:hAnsi="Arial Narrow"/>
          <w:b/>
          <w:sz w:val="24"/>
          <w:szCs w:val="24"/>
        </w:rPr>
        <w:t>03</w:t>
      </w:r>
    </w:p>
    <w:p w:rsidR="00F95887" w:rsidRDefault="00F95887" w:rsidP="008A4F02">
      <w:pPr>
        <w:spacing w:line="360" w:lineRule="auto"/>
        <w:jc w:val="both"/>
        <w:rPr>
          <w:rFonts w:ascii="Arial Narrow" w:hAnsi="Arial Narrow"/>
          <w:b/>
          <w:sz w:val="24"/>
          <w:szCs w:val="24"/>
        </w:rPr>
      </w:pPr>
      <w:r>
        <w:rPr>
          <w:rFonts w:ascii="Arial Narrow" w:hAnsi="Arial Narrow"/>
          <w:b/>
          <w:sz w:val="24"/>
          <w:szCs w:val="24"/>
        </w:rPr>
        <w:t>CICLO ACADEMICO: I/2016                                              GRUPO DE TRABAJO: 07</w:t>
      </w:r>
    </w:p>
    <w:p w:rsidR="00F95887" w:rsidRDefault="00BE39DB" w:rsidP="006E4878">
      <w:pPr>
        <w:tabs>
          <w:tab w:val="left" w:pos="3315"/>
          <w:tab w:val="right" w:pos="8838"/>
        </w:tabs>
        <w:spacing w:line="360" w:lineRule="auto"/>
        <w:jc w:val="both"/>
        <w:rPr>
          <w:rFonts w:ascii="Arial Narrow" w:hAnsi="Arial Narrow"/>
          <w:b/>
          <w:sz w:val="24"/>
          <w:szCs w:val="24"/>
        </w:rPr>
      </w:pPr>
      <w:r w:rsidRPr="00F368D8">
        <w:rPr>
          <w:rFonts w:ascii="Arial Narrow" w:hAnsi="Arial Narrow"/>
          <w:b/>
          <w:sz w:val="24"/>
          <w:szCs w:val="24"/>
        </w:rPr>
        <w:t xml:space="preserve">CATEDRATICO: </w:t>
      </w:r>
      <w:r w:rsidR="006E4878">
        <w:rPr>
          <w:rFonts w:ascii="Arial Narrow" w:hAnsi="Arial Narrow"/>
          <w:b/>
          <w:sz w:val="24"/>
          <w:szCs w:val="24"/>
        </w:rPr>
        <w:tab/>
      </w:r>
      <w:r w:rsidR="006E4878">
        <w:rPr>
          <w:rFonts w:ascii="Arial Narrow" w:hAnsi="Arial Narrow"/>
          <w:b/>
          <w:sz w:val="24"/>
          <w:szCs w:val="24"/>
        </w:rPr>
        <w:tab/>
      </w:r>
    </w:p>
    <w:p w:rsidR="00BE39DB" w:rsidRDefault="00D01768" w:rsidP="008A4F02">
      <w:pPr>
        <w:tabs>
          <w:tab w:val="center" w:pos="4252"/>
          <w:tab w:val="left" w:pos="7185"/>
        </w:tabs>
        <w:spacing w:line="360" w:lineRule="auto"/>
        <w:jc w:val="both"/>
        <w:rPr>
          <w:rFonts w:ascii="Arial Narrow" w:hAnsi="Arial Narrow"/>
          <w:b/>
          <w:sz w:val="24"/>
          <w:szCs w:val="24"/>
        </w:rPr>
      </w:pPr>
      <w:r>
        <w:rPr>
          <w:rFonts w:ascii="Arial Narrow" w:hAnsi="Arial Narrow"/>
          <w:b/>
          <w:sz w:val="24"/>
          <w:szCs w:val="24"/>
        </w:rPr>
        <w:tab/>
      </w:r>
      <w:r w:rsidR="00F95887">
        <w:rPr>
          <w:rFonts w:ascii="Arial Narrow" w:hAnsi="Arial Narrow"/>
          <w:b/>
          <w:sz w:val="24"/>
          <w:szCs w:val="24"/>
        </w:rPr>
        <w:t>MSc. Luis Alonso Ramírez Aguilar</w:t>
      </w:r>
      <w:r>
        <w:rPr>
          <w:rFonts w:ascii="Arial Narrow" w:hAnsi="Arial Narrow"/>
          <w:b/>
          <w:sz w:val="24"/>
          <w:szCs w:val="24"/>
        </w:rPr>
        <w:tab/>
      </w:r>
    </w:p>
    <w:p w:rsidR="00F95887" w:rsidRDefault="00F95887" w:rsidP="00BB6B27">
      <w:pPr>
        <w:spacing w:line="360" w:lineRule="auto"/>
        <w:jc w:val="center"/>
        <w:rPr>
          <w:rFonts w:ascii="Arial Narrow" w:hAnsi="Arial Narrow"/>
          <w:b/>
          <w:sz w:val="24"/>
          <w:szCs w:val="24"/>
        </w:rPr>
      </w:pPr>
      <w:r>
        <w:rPr>
          <w:rFonts w:ascii="Arial Narrow" w:hAnsi="Arial Narrow"/>
          <w:b/>
          <w:sz w:val="24"/>
          <w:szCs w:val="24"/>
        </w:rPr>
        <w:t>TEMA:</w:t>
      </w:r>
    </w:p>
    <w:p w:rsidR="00F02525" w:rsidRDefault="00F95887" w:rsidP="00BB6B27">
      <w:pPr>
        <w:spacing w:line="360" w:lineRule="auto"/>
        <w:jc w:val="center"/>
        <w:rPr>
          <w:rFonts w:ascii="Arial Narrow" w:hAnsi="Arial Narrow"/>
          <w:b/>
          <w:sz w:val="24"/>
          <w:szCs w:val="24"/>
        </w:rPr>
      </w:pPr>
      <w:r>
        <w:rPr>
          <w:rFonts w:ascii="Arial Narrow" w:hAnsi="Arial Narrow"/>
          <w:b/>
          <w:sz w:val="24"/>
          <w:szCs w:val="24"/>
        </w:rPr>
        <w:t>An</w:t>
      </w:r>
      <w:r w:rsidR="00BB6B27">
        <w:rPr>
          <w:rFonts w:ascii="Arial Narrow" w:hAnsi="Arial Narrow"/>
          <w:b/>
          <w:sz w:val="24"/>
          <w:szCs w:val="24"/>
        </w:rPr>
        <w:t>álisis de las Normas</w:t>
      </w:r>
      <w:r>
        <w:rPr>
          <w:rFonts w:ascii="Arial Narrow" w:hAnsi="Arial Narrow"/>
          <w:b/>
          <w:sz w:val="24"/>
          <w:szCs w:val="24"/>
        </w:rPr>
        <w:t xml:space="preserve"> Internacional</w:t>
      </w:r>
      <w:r w:rsidR="00BB6B27">
        <w:rPr>
          <w:rFonts w:ascii="Arial Narrow" w:hAnsi="Arial Narrow"/>
          <w:b/>
          <w:sz w:val="24"/>
          <w:szCs w:val="24"/>
        </w:rPr>
        <w:t>es</w:t>
      </w:r>
      <w:r>
        <w:rPr>
          <w:rFonts w:ascii="Arial Narrow" w:hAnsi="Arial Narrow"/>
          <w:b/>
          <w:sz w:val="24"/>
          <w:szCs w:val="24"/>
        </w:rPr>
        <w:t xml:space="preserve"> de Contabilidad</w:t>
      </w:r>
    </w:p>
    <w:p w:rsidR="00BE39DB" w:rsidRPr="00F368D8" w:rsidRDefault="00F95887" w:rsidP="00280F0F">
      <w:pPr>
        <w:spacing w:line="360" w:lineRule="auto"/>
        <w:jc w:val="center"/>
        <w:rPr>
          <w:rFonts w:ascii="Arial Narrow" w:hAnsi="Arial Narrow"/>
          <w:b/>
          <w:sz w:val="24"/>
          <w:szCs w:val="24"/>
        </w:rPr>
      </w:pPr>
      <w:r>
        <w:rPr>
          <w:rFonts w:ascii="Arial Narrow" w:hAnsi="Arial Narrow"/>
          <w:b/>
          <w:sz w:val="24"/>
          <w:szCs w:val="24"/>
        </w:rPr>
        <w:t>(NIC 31, 32, 39)</w:t>
      </w:r>
    </w:p>
    <w:p w:rsidR="00BE39DB" w:rsidRPr="00F368D8" w:rsidRDefault="00BE39DB" w:rsidP="008A4F02">
      <w:pPr>
        <w:tabs>
          <w:tab w:val="center" w:pos="4252"/>
          <w:tab w:val="left" w:pos="5492"/>
        </w:tabs>
        <w:spacing w:line="360" w:lineRule="auto"/>
        <w:jc w:val="both"/>
        <w:rPr>
          <w:rFonts w:ascii="Arial Narrow" w:hAnsi="Arial Narrow"/>
          <w:b/>
          <w:sz w:val="20"/>
          <w:szCs w:val="20"/>
        </w:rPr>
      </w:pPr>
      <w:r w:rsidRPr="00F368D8">
        <w:rPr>
          <w:rFonts w:ascii="Arial Narrow" w:hAnsi="Arial Narrow"/>
          <w:b/>
          <w:sz w:val="24"/>
          <w:szCs w:val="24"/>
        </w:rPr>
        <w:tab/>
        <w:t xml:space="preserve">INTEGRANTES: </w:t>
      </w:r>
      <w:r w:rsidRPr="00F368D8">
        <w:rPr>
          <w:rFonts w:ascii="Arial Narrow" w:hAnsi="Arial Narrow"/>
          <w:b/>
          <w:sz w:val="24"/>
          <w:szCs w:val="24"/>
        </w:rPr>
        <w:tab/>
      </w:r>
    </w:p>
    <w:tbl>
      <w:tblPr>
        <w:tblW w:w="925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97"/>
        <w:gridCol w:w="1559"/>
        <w:gridCol w:w="1701"/>
        <w:gridCol w:w="1701"/>
      </w:tblGrid>
      <w:tr w:rsidR="00BE39DB" w:rsidRPr="00F368D8" w:rsidTr="00CF7D54">
        <w:trPr>
          <w:trHeight w:val="517"/>
        </w:trPr>
        <w:tc>
          <w:tcPr>
            <w:tcW w:w="4297" w:type="dxa"/>
          </w:tcPr>
          <w:p w:rsidR="00BE39DB" w:rsidRPr="00F368D8" w:rsidRDefault="00BE39DB" w:rsidP="008A4F02">
            <w:pPr>
              <w:ind w:left="186"/>
              <w:jc w:val="both"/>
              <w:rPr>
                <w:rFonts w:ascii="Arial Narrow" w:hAnsi="Arial Narrow"/>
                <w:b/>
                <w:sz w:val="20"/>
                <w:szCs w:val="20"/>
              </w:rPr>
            </w:pPr>
          </w:p>
          <w:p w:rsidR="00BE39DB" w:rsidRPr="00F368D8" w:rsidRDefault="00BE39DB" w:rsidP="00BB6B27">
            <w:pPr>
              <w:ind w:left="186"/>
              <w:rPr>
                <w:rFonts w:ascii="Arial Narrow" w:hAnsi="Arial Narrow"/>
                <w:b/>
                <w:sz w:val="20"/>
                <w:szCs w:val="20"/>
              </w:rPr>
            </w:pPr>
            <w:r w:rsidRPr="00F368D8">
              <w:rPr>
                <w:rFonts w:ascii="Arial Narrow" w:hAnsi="Arial Narrow"/>
                <w:b/>
                <w:sz w:val="20"/>
                <w:szCs w:val="20"/>
              </w:rPr>
              <w:t>NOMBRE</w:t>
            </w:r>
          </w:p>
        </w:tc>
        <w:tc>
          <w:tcPr>
            <w:tcW w:w="1559" w:type="dxa"/>
          </w:tcPr>
          <w:p w:rsidR="00BE39DB" w:rsidRPr="00F368D8" w:rsidRDefault="00BE39DB" w:rsidP="008A4F02">
            <w:pPr>
              <w:ind w:left="176"/>
              <w:jc w:val="both"/>
              <w:rPr>
                <w:rFonts w:ascii="Arial Narrow" w:hAnsi="Arial Narrow"/>
                <w:b/>
                <w:sz w:val="20"/>
                <w:szCs w:val="20"/>
              </w:rPr>
            </w:pPr>
          </w:p>
          <w:p w:rsidR="00BE39DB" w:rsidRPr="00F368D8" w:rsidRDefault="00BE39DB" w:rsidP="008A4F02">
            <w:pPr>
              <w:ind w:left="176"/>
              <w:jc w:val="both"/>
              <w:rPr>
                <w:rFonts w:ascii="Arial Narrow" w:hAnsi="Arial Narrow"/>
                <w:b/>
                <w:sz w:val="20"/>
                <w:szCs w:val="20"/>
              </w:rPr>
            </w:pPr>
            <w:r w:rsidRPr="00F368D8">
              <w:rPr>
                <w:rFonts w:ascii="Arial Narrow" w:hAnsi="Arial Narrow"/>
                <w:b/>
                <w:sz w:val="20"/>
                <w:szCs w:val="20"/>
              </w:rPr>
              <w:t>No. CARNET</w:t>
            </w:r>
          </w:p>
        </w:tc>
        <w:tc>
          <w:tcPr>
            <w:tcW w:w="1701" w:type="dxa"/>
          </w:tcPr>
          <w:p w:rsidR="00BE39DB" w:rsidRPr="00F368D8" w:rsidRDefault="00BE39DB" w:rsidP="008A4F02">
            <w:pPr>
              <w:ind w:left="181"/>
              <w:jc w:val="both"/>
              <w:rPr>
                <w:rFonts w:ascii="Arial Narrow" w:hAnsi="Arial Narrow"/>
                <w:b/>
                <w:sz w:val="20"/>
                <w:szCs w:val="20"/>
              </w:rPr>
            </w:pPr>
          </w:p>
          <w:p w:rsidR="00BE39DB" w:rsidRPr="00F368D8" w:rsidRDefault="00BE39DB" w:rsidP="00BB6B27">
            <w:pPr>
              <w:ind w:left="181"/>
              <w:rPr>
                <w:rFonts w:ascii="Arial Narrow" w:hAnsi="Arial Narrow"/>
                <w:b/>
                <w:sz w:val="20"/>
                <w:szCs w:val="20"/>
              </w:rPr>
            </w:pPr>
            <w:r w:rsidRPr="00F368D8">
              <w:rPr>
                <w:rFonts w:ascii="Arial Narrow" w:hAnsi="Arial Narrow"/>
                <w:b/>
                <w:sz w:val="20"/>
                <w:szCs w:val="20"/>
              </w:rPr>
              <w:t>PARTICIPACION</w:t>
            </w:r>
          </w:p>
        </w:tc>
        <w:tc>
          <w:tcPr>
            <w:tcW w:w="1701" w:type="dxa"/>
          </w:tcPr>
          <w:p w:rsidR="00BE39DB" w:rsidRPr="00F368D8" w:rsidRDefault="00BE39DB" w:rsidP="008A4F02">
            <w:pPr>
              <w:ind w:left="181"/>
              <w:jc w:val="both"/>
              <w:rPr>
                <w:rFonts w:ascii="Arial Narrow" w:hAnsi="Arial Narrow"/>
                <w:b/>
                <w:sz w:val="20"/>
                <w:szCs w:val="20"/>
              </w:rPr>
            </w:pPr>
          </w:p>
          <w:p w:rsidR="00BE39DB" w:rsidRPr="00F368D8" w:rsidRDefault="00BE39DB" w:rsidP="00BB6B27">
            <w:pPr>
              <w:ind w:left="181"/>
              <w:jc w:val="center"/>
              <w:rPr>
                <w:rFonts w:ascii="Arial Narrow" w:hAnsi="Arial Narrow"/>
                <w:b/>
                <w:sz w:val="20"/>
                <w:szCs w:val="20"/>
              </w:rPr>
            </w:pPr>
            <w:r w:rsidRPr="00F368D8">
              <w:rPr>
                <w:rFonts w:ascii="Arial Narrow" w:hAnsi="Arial Narrow"/>
                <w:b/>
                <w:sz w:val="20"/>
                <w:szCs w:val="20"/>
              </w:rPr>
              <w:t>FIRMA</w:t>
            </w:r>
          </w:p>
        </w:tc>
      </w:tr>
      <w:tr w:rsidR="00BE39DB" w:rsidRPr="00F368D8" w:rsidTr="00CF7D54">
        <w:trPr>
          <w:trHeight w:val="413"/>
        </w:trPr>
        <w:tc>
          <w:tcPr>
            <w:tcW w:w="4297" w:type="dxa"/>
          </w:tcPr>
          <w:p w:rsidR="00BE39DB" w:rsidRPr="00F368D8" w:rsidRDefault="00BE39DB" w:rsidP="00BB6B27">
            <w:pPr>
              <w:ind w:left="186"/>
              <w:rPr>
                <w:rFonts w:ascii="Arial Narrow" w:hAnsi="Arial Narrow"/>
                <w:b/>
                <w:sz w:val="24"/>
                <w:szCs w:val="24"/>
              </w:rPr>
            </w:pPr>
            <w:r w:rsidRPr="00F368D8">
              <w:rPr>
                <w:rFonts w:ascii="Arial Narrow" w:hAnsi="Arial Narrow"/>
                <w:b/>
                <w:sz w:val="24"/>
                <w:szCs w:val="24"/>
              </w:rPr>
              <w:t>Rojas  Castillo, Francisco Javier</w:t>
            </w:r>
          </w:p>
        </w:tc>
        <w:tc>
          <w:tcPr>
            <w:tcW w:w="1559" w:type="dxa"/>
          </w:tcPr>
          <w:p w:rsidR="00BE39DB" w:rsidRPr="00F368D8" w:rsidRDefault="00BE39DB" w:rsidP="00BB6B27">
            <w:pPr>
              <w:ind w:left="176"/>
              <w:rPr>
                <w:rFonts w:ascii="Arial Narrow" w:hAnsi="Arial Narrow"/>
                <w:b/>
                <w:sz w:val="24"/>
                <w:szCs w:val="24"/>
              </w:rPr>
            </w:pPr>
            <w:r w:rsidRPr="00F368D8">
              <w:rPr>
                <w:rFonts w:ascii="Arial Narrow" w:hAnsi="Arial Narrow"/>
                <w:b/>
                <w:sz w:val="24"/>
                <w:szCs w:val="24"/>
              </w:rPr>
              <w:t>RC10122</w:t>
            </w:r>
          </w:p>
        </w:tc>
        <w:tc>
          <w:tcPr>
            <w:tcW w:w="1701" w:type="dxa"/>
          </w:tcPr>
          <w:p w:rsidR="00BE39DB" w:rsidRPr="00F368D8" w:rsidRDefault="006E4878" w:rsidP="006E4878">
            <w:pPr>
              <w:ind w:left="181"/>
              <w:jc w:val="center"/>
              <w:rPr>
                <w:rFonts w:ascii="Arial Narrow" w:hAnsi="Arial Narrow"/>
                <w:b/>
                <w:sz w:val="24"/>
                <w:szCs w:val="24"/>
              </w:rPr>
            </w:pPr>
            <w:r>
              <w:rPr>
                <w:rFonts w:ascii="Arial Narrow" w:hAnsi="Arial Narrow"/>
                <w:b/>
                <w:sz w:val="24"/>
                <w:szCs w:val="24"/>
              </w:rPr>
              <w:t>100%</w:t>
            </w:r>
          </w:p>
        </w:tc>
        <w:tc>
          <w:tcPr>
            <w:tcW w:w="1701" w:type="dxa"/>
          </w:tcPr>
          <w:p w:rsidR="00BE39DB" w:rsidRPr="00F368D8" w:rsidRDefault="00BE39DB" w:rsidP="008A4F02">
            <w:pPr>
              <w:ind w:left="181"/>
              <w:jc w:val="both"/>
              <w:rPr>
                <w:rFonts w:ascii="Arial Narrow" w:hAnsi="Arial Narrow"/>
                <w:b/>
                <w:sz w:val="24"/>
                <w:szCs w:val="24"/>
              </w:rPr>
            </w:pPr>
          </w:p>
        </w:tc>
      </w:tr>
      <w:tr w:rsidR="00BE39DB" w:rsidRPr="00F368D8" w:rsidTr="00CF7D54">
        <w:trPr>
          <w:trHeight w:val="330"/>
        </w:trPr>
        <w:tc>
          <w:tcPr>
            <w:tcW w:w="4297" w:type="dxa"/>
          </w:tcPr>
          <w:p w:rsidR="00BE39DB" w:rsidRPr="00F368D8" w:rsidRDefault="00F95887" w:rsidP="00BB6B27">
            <w:pPr>
              <w:ind w:left="186"/>
              <w:rPr>
                <w:rFonts w:ascii="Arial Narrow" w:hAnsi="Arial Narrow"/>
                <w:b/>
                <w:sz w:val="24"/>
                <w:szCs w:val="24"/>
              </w:rPr>
            </w:pPr>
            <w:r>
              <w:rPr>
                <w:rFonts w:ascii="Arial Narrow" w:hAnsi="Arial Narrow"/>
                <w:b/>
                <w:sz w:val="24"/>
                <w:szCs w:val="24"/>
              </w:rPr>
              <w:t>Urquilla Henríquez, Armando Israel</w:t>
            </w:r>
          </w:p>
        </w:tc>
        <w:tc>
          <w:tcPr>
            <w:tcW w:w="1559" w:type="dxa"/>
          </w:tcPr>
          <w:p w:rsidR="00BE39DB" w:rsidRPr="00F368D8" w:rsidRDefault="00F95887" w:rsidP="00BB6B27">
            <w:pPr>
              <w:ind w:left="176"/>
              <w:rPr>
                <w:rFonts w:ascii="Arial Narrow" w:hAnsi="Arial Narrow"/>
                <w:b/>
                <w:sz w:val="24"/>
                <w:szCs w:val="24"/>
              </w:rPr>
            </w:pPr>
            <w:r>
              <w:rPr>
                <w:rFonts w:ascii="Arial Narrow" w:hAnsi="Arial Narrow"/>
                <w:b/>
                <w:sz w:val="24"/>
                <w:szCs w:val="24"/>
              </w:rPr>
              <w:t>UH11005</w:t>
            </w:r>
          </w:p>
        </w:tc>
        <w:tc>
          <w:tcPr>
            <w:tcW w:w="1701" w:type="dxa"/>
          </w:tcPr>
          <w:p w:rsidR="00BE39DB" w:rsidRPr="00F368D8" w:rsidRDefault="006E4878" w:rsidP="006E4878">
            <w:pPr>
              <w:ind w:left="181"/>
              <w:jc w:val="center"/>
              <w:rPr>
                <w:rFonts w:ascii="Arial Narrow" w:hAnsi="Arial Narrow"/>
                <w:b/>
                <w:sz w:val="24"/>
                <w:szCs w:val="24"/>
              </w:rPr>
            </w:pPr>
            <w:r>
              <w:rPr>
                <w:rFonts w:ascii="Arial Narrow" w:hAnsi="Arial Narrow"/>
                <w:b/>
                <w:sz w:val="24"/>
                <w:szCs w:val="24"/>
              </w:rPr>
              <w:t>100%</w:t>
            </w:r>
          </w:p>
        </w:tc>
        <w:tc>
          <w:tcPr>
            <w:tcW w:w="1701" w:type="dxa"/>
          </w:tcPr>
          <w:p w:rsidR="00BE39DB" w:rsidRPr="00F368D8" w:rsidRDefault="00BE39DB" w:rsidP="008A4F02">
            <w:pPr>
              <w:ind w:left="181"/>
              <w:jc w:val="both"/>
              <w:rPr>
                <w:rFonts w:ascii="Arial Narrow" w:hAnsi="Arial Narrow"/>
                <w:b/>
                <w:sz w:val="24"/>
                <w:szCs w:val="24"/>
              </w:rPr>
            </w:pPr>
          </w:p>
        </w:tc>
      </w:tr>
      <w:tr w:rsidR="00BE39DB" w:rsidRPr="00F368D8" w:rsidTr="00CF7D54">
        <w:trPr>
          <w:trHeight w:val="330"/>
        </w:trPr>
        <w:tc>
          <w:tcPr>
            <w:tcW w:w="4297" w:type="dxa"/>
          </w:tcPr>
          <w:p w:rsidR="00BE39DB" w:rsidRPr="00F368D8" w:rsidRDefault="00F95887" w:rsidP="00BB6B27">
            <w:pPr>
              <w:ind w:left="186"/>
              <w:rPr>
                <w:rFonts w:ascii="Arial Narrow" w:hAnsi="Arial Narrow"/>
                <w:b/>
                <w:sz w:val="24"/>
                <w:szCs w:val="24"/>
              </w:rPr>
            </w:pPr>
            <w:r>
              <w:rPr>
                <w:rFonts w:ascii="Arial Narrow" w:hAnsi="Arial Narrow"/>
                <w:b/>
                <w:sz w:val="24"/>
                <w:szCs w:val="24"/>
              </w:rPr>
              <w:t>Peña Portillo, Jorge Jovanny</w:t>
            </w:r>
          </w:p>
        </w:tc>
        <w:tc>
          <w:tcPr>
            <w:tcW w:w="1559" w:type="dxa"/>
          </w:tcPr>
          <w:p w:rsidR="00BE39DB" w:rsidRPr="00F368D8" w:rsidRDefault="00F95887" w:rsidP="00BB6B27">
            <w:pPr>
              <w:ind w:left="176"/>
              <w:rPr>
                <w:rFonts w:ascii="Arial Narrow" w:hAnsi="Arial Narrow"/>
                <w:b/>
                <w:sz w:val="24"/>
                <w:szCs w:val="24"/>
              </w:rPr>
            </w:pPr>
            <w:r>
              <w:rPr>
                <w:rFonts w:ascii="Arial Narrow" w:hAnsi="Arial Narrow"/>
                <w:b/>
                <w:sz w:val="24"/>
                <w:szCs w:val="24"/>
              </w:rPr>
              <w:t>PP11012</w:t>
            </w:r>
          </w:p>
        </w:tc>
        <w:tc>
          <w:tcPr>
            <w:tcW w:w="1701" w:type="dxa"/>
          </w:tcPr>
          <w:p w:rsidR="00BE39DB" w:rsidRPr="00F368D8" w:rsidRDefault="006E4878" w:rsidP="006E4878">
            <w:pPr>
              <w:ind w:left="181"/>
              <w:jc w:val="center"/>
              <w:rPr>
                <w:rFonts w:ascii="Arial Narrow" w:hAnsi="Arial Narrow"/>
                <w:b/>
                <w:sz w:val="24"/>
                <w:szCs w:val="24"/>
              </w:rPr>
            </w:pPr>
            <w:r>
              <w:rPr>
                <w:rFonts w:ascii="Arial Narrow" w:hAnsi="Arial Narrow"/>
                <w:b/>
                <w:sz w:val="24"/>
                <w:szCs w:val="24"/>
              </w:rPr>
              <w:t>100%</w:t>
            </w:r>
          </w:p>
        </w:tc>
        <w:tc>
          <w:tcPr>
            <w:tcW w:w="1701" w:type="dxa"/>
          </w:tcPr>
          <w:p w:rsidR="00BE39DB" w:rsidRPr="00F368D8" w:rsidRDefault="00BE39DB" w:rsidP="008A4F02">
            <w:pPr>
              <w:ind w:left="181"/>
              <w:jc w:val="both"/>
              <w:rPr>
                <w:rFonts w:ascii="Arial Narrow" w:hAnsi="Arial Narrow"/>
                <w:b/>
                <w:sz w:val="24"/>
                <w:szCs w:val="24"/>
              </w:rPr>
            </w:pPr>
          </w:p>
        </w:tc>
      </w:tr>
      <w:tr w:rsidR="00BE39DB" w:rsidRPr="00F368D8" w:rsidTr="00CF7D54">
        <w:trPr>
          <w:trHeight w:val="330"/>
        </w:trPr>
        <w:tc>
          <w:tcPr>
            <w:tcW w:w="4297" w:type="dxa"/>
          </w:tcPr>
          <w:p w:rsidR="00BE39DB" w:rsidRPr="00F368D8" w:rsidRDefault="00F95887" w:rsidP="00BB6B27">
            <w:pPr>
              <w:ind w:left="186"/>
              <w:rPr>
                <w:rFonts w:ascii="Arial Narrow" w:hAnsi="Arial Narrow"/>
                <w:b/>
                <w:sz w:val="24"/>
                <w:szCs w:val="24"/>
              </w:rPr>
            </w:pPr>
            <w:r>
              <w:rPr>
                <w:rFonts w:ascii="Arial Narrow" w:hAnsi="Arial Narrow"/>
                <w:b/>
                <w:sz w:val="24"/>
                <w:szCs w:val="24"/>
              </w:rPr>
              <w:t>Palacios Blanco, Daniel Alejandro</w:t>
            </w:r>
          </w:p>
        </w:tc>
        <w:tc>
          <w:tcPr>
            <w:tcW w:w="1559" w:type="dxa"/>
          </w:tcPr>
          <w:p w:rsidR="00BE39DB" w:rsidRPr="00F368D8" w:rsidRDefault="00F95887" w:rsidP="00BB6B27">
            <w:pPr>
              <w:ind w:left="176"/>
              <w:rPr>
                <w:rFonts w:ascii="Arial Narrow" w:hAnsi="Arial Narrow"/>
                <w:b/>
                <w:sz w:val="24"/>
                <w:szCs w:val="24"/>
              </w:rPr>
            </w:pPr>
            <w:r>
              <w:rPr>
                <w:rFonts w:ascii="Arial Narrow" w:hAnsi="Arial Narrow"/>
                <w:b/>
                <w:sz w:val="24"/>
                <w:szCs w:val="24"/>
              </w:rPr>
              <w:t>PB13007</w:t>
            </w:r>
          </w:p>
        </w:tc>
        <w:tc>
          <w:tcPr>
            <w:tcW w:w="1701" w:type="dxa"/>
          </w:tcPr>
          <w:p w:rsidR="00BE39DB" w:rsidRPr="00F368D8" w:rsidRDefault="006E4878" w:rsidP="006E4878">
            <w:pPr>
              <w:ind w:left="181"/>
              <w:jc w:val="center"/>
              <w:rPr>
                <w:rFonts w:ascii="Arial Narrow" w:hAnsi="Arial Narrow"/>
                <w:b/>
                <w:sz w:val="24"/>
                <w:szCs w:val="24"/>
              </w:rPr>
            </w:pPr>
            <w:r>
              <w:rPr>
                <w:rFonts w:ascii="Arial Narrow" w:hAnsi="Arial Narrow"/>
                <w:b/>
                <w:sz w:val="24"/>
                <w:szCs w:val="24"/>
              </w:rPr>
              <w:t>100%</w:t>
            </w:r>
          </w:p>
        </w:tc>
        <w:tc>
          <w:tcPr>
            <w:tcW w:w="1701" w:type="dxa"/>
          </w:tcPr>
          <w:p w:rsidR="00BE39DB" w:rsidRPr="00F368D8" w:rsidRDefault="00BE39DB" w:rsidP="008A4F02">
            <w:pPr>
              <w:ind w:left="181"/>
              <w:jc w:val="both"/>
              <w:rPr>
                <w:rFonts w:ascii="Arial Narrow" w:hAnsi="Arial Narrow"/>
                <w:b/>
                <w:sz w:val="24"/>
                <w:szCs w:val="24"/>
              </w:rPr>
            </w:pPr>
          </w:p>
        </w:tc>
      </w:tr>
      <w:tr w:rsidR="00BE39DB" w:rsidRPr="00F368D8" w:rsidTr="00CF7D54">
        <w:trPr>
          <w:trHeight w:val="330"/>
        </w:trPr>
        <w:tc>
          <w:tcPr>
            <w:tcW w:w="4297" w:type="dxa"/>
          </w:tcPr>
          <w:p w:rsidR="00BE39DB" w:rsidRPr="00F368D8" w:rsidRDefault="00F95887" w:rsidP="00BB6B27">
            <w:pPr>
              <w:ind w:left="186"/>
              <w:rPr>
                <w:rFonts w:ascii="Arial Narrow" w:hAnsi="Arial Narrow"/>
                <w:b/>
                <w:sz w:val="24"/>
                <w:szCs w:val="24"/>
              </w:rPr>
            </w:pPr>
            <w:r>
              <w:rPr>
                <w:rFonts w:ascii="Arial Narrow" w:hAnsi="Arial Narrow"/>
                <w:b/>
                <w:sz w:val="24"/>
                <w:szCs w:val="24"/>
              </w:rPr>
              <w:t>Teos López, Christian Omar</w:t>
            </w:r>
          </w:p>
        </w:tc>
        <w:tc>
          <w:tcPr>
            <w:tcW w:w="1559" w:type="dxa"/>
          </w:tcPr>
          <w:p w:rsidR="00BE39DB" w:rsidRPr="00F368D8" w:rsidRDefault="00F95887" w:rsidP="00BB6B27">
            <w:pPr>
              <w:ind w:left="176"/>
              <w:rPr>
                <w:rFonts w:ascii="Arial Narrow" w:hAnsi="Arial Narrow"/>
                <w:b/>
                <w:sz w:val="24"/>
                <w:szCs w:val="24"/>
              </w:rPr>
            </w:pPr>
            <w:r>
              <w:rPr>
                <w:rFonts w:ascii="Arial Narrow" w:hAnsi="Arial Narrow"/>
                <w:b/>
                <w:sz w:val="24"/>
                <w:szCs w:val="24"/>
              </w:rPr>
              <w:t>TL13004</w:t>
            </w:r>
          </w:p>
        </w:tc>
        <w:tc>
          <w:tcPr>
            <w:tcW w:w="1701" w:type="dxa"/>
          </w:tcPr>
          <w:p w:rsidR="00BE39DB" w:rsidRPr="00F368D8" w:rsidRDefault="006E4878" w:rsidP="006E4878">
            <w:pPr>
              <w:ind w:left="181"/>
              <w:jc w:val="center"/>
              <w:rPr>
                <w:rFonts w:ascii="Arial Narrow" w:hAnsi="Arial Narrow"/>
                <w:b/>
                <w:sz w:val="24"/>
                <w:szCs w:val="24"/>
              </w:rPr>
            </w:pPr>
            <w:r>
              <w:rPr>
                <w:rFonts w:ascii="Arial Narrow" w:hAnsi="Arial Narrow"/>
                <w:b/>
                <w:sz w:val="24"/>
                <w:szCs w:val="24"/>
              </w:rPr>
              <w:t>100%</w:t>
            </w:r>
          </w:p>
        </w:tc>
        <w:tc>
          <w:tcPr>
            <w:tcW w:w="1701" w:type="dxa"/>
          </w:tcPr>
          <w:p w:rsidR="00BE39DB" w:rsidRPr="00F368D8" w:rsidRDefault="00BE39DB" w:rsidP="008A4F02">
            <w:pPr>
              <w:ind w:left="181"/>
              <w:jc w:val="both"/>
              <w:rPr>
                <w:rFonts w:ascii="Arial Narrow" w:hAnsi="Arial Narrow"/>
                <w:b/>
                <w:sz w:val="24"/>
                <w:szCs w:val="24"/>
              </w:rPr>
            </w:pPr>
          </w:p>
        </w:tc>
      </w:tr>
      <w:tr w:rsidR="00280F0F" w:rsidRPr="00F368D8" w:rsidTr="00CF7D54">
        <w:trPr>
          <w:trHeight w:val="330"/>
        </w:trPr>
        <w:tc>
          <w:tcPr>
            <w:tcW w:w="4297" w:type="dxa"/>
          </w:tcPr>
          <w:p w:rsidR="00280F0F" w:rsidRDefault="0056133A" w:rsidP="00BB6B27">
            <w:pPr>
              <w:ind w:left="186"/>
              <w:rPr>
                <w:rFonts w:ascii="Arial Narrow" w:hAnsi="Arial Narrow"/>
                <w:b/>
                <w:sz w:val="24"/>
                <w:szCs w:val="24"/>
              </w:rPr>
            </w:pPr>
            <w:r>
              <w:rPr>
                <w:rFonts w:ascii="Arial Narrow" w:hAnsi="Arial Narrow"/>
                <w:b/>
                <w:sz w:val="24"/>
                <w:szCs w:val="24"/>
              </w:rPr>
              <w:t>Montes Alfaro, Samuel Argenis</w:t>
            </w:r>
          </w:p>
        </w:tc>
        <w:tc>
          <w:tcPr>
            <w:tcW w:w="1559" w:type="dxa"/>
          </w:tcPr>
          <w:p w:rsidR="00280F0F" w:rsidRDefault="0056133A" w:rsidP="00BB6B27">
            <w:pPr>
              <w:ind w:left="176"/>
              <w:rPr>
                <w:rFonts w:ascii="Arial Narrow" w:hAnsi="Arial Narrow"/>
                <w:b/>
                <w:sz w:val="24"/>
                <w:szCs w:val="24"/>
              </w:rPr>
            </w:pPr>
            <w:r>
              <w:rPr>
                <w:rFonts w:ascii="Arial Narrow" w:hAnsi="Arial Narrow"/>
                <w:b/>
                <w:sz w:val="24"/>
                <w:szCs w:val="24"/>
              </w:rPr>
              <w:t>MA09079</w:t>
            </w:r>
          </w:p>
        </w:tc>
        <w:tc>
          <w:tcPr>
            <w:tcW w:w="1701" w:type="dxa"/>
          </w:tcPr>
          <w:p w:rsidR="00280F0F" w:rsidRDefault="006E4878" w:rsidP="006E4878">
            <w:pPr>
              <w:ind w:left="181"/>
              <w:jc w:val="center"/>
              <w:rPr>
                <w:rFonts w:ascii="Arial Narrow" w:hAnsi="Arial Narrow"/>
                <w:b/>
                <w:sz w:val="24"/>
                <w:szCs w:val="24"/>
              </w:rPr>
            </w:pPr>
            <w:r>
              <w:rPr>
                <w:rFonts w:ascii="Arial Narrow" w:hAnsi="Arial Narrow"/>
                <w:b/>
                <w:sz w:val="24"/>
                <w:szCs w:val="24"/>
              </w:rPr>
              <w:t>100%</w:t>
            </w:r>
          </w:p>
        </w:tc>
        <w:tc>
          <w:tcPr>
            <w:tcW w:w="1701" w:type="dxa"/>
          </w:tcPr>
          <w:p w:rsidR="00280F0F" w:rsidRPr="00F368D8" w:rsidRDefault="00280F0F" w:rsidP="008A4F02">
            <w:pPr>
              <w:ind w:left="181"/>
              <w:jc w:val="both"/>
              <w:rPr>
                <w:rFonts w:ascii="Arial Narrow" w:hAnsi="Arial Narrow"/>
                <w:b/>
                <w:sz w:val="24"/>
                <w:szCs w:val="24"/>
              </w:rPr>
            </w:pPr>
          </w:p>
        </w:tc>
      </w:tr>
    </w:tbl>
    <w:p w:rsidR="001F1F8A" w:rsidRPr="005556FB" w:rsidRDefault="004F331E" w:rsidP="004F331E">
      <w:pPr>
        <w:tabs>
          <w:tab w:val="left" w:pos="3684"/>
        </w:tabs>
        <w:spacing w:line="360" w:lineRule="auto"/>
        <w:jc w:val="center"/>
        <w:rPr>
          <w:rFonts w:ascii="Arial Narrow" w:hAnsi="Arial Narrow"/>
          <w:b/>
          <w:sz w:val="24"/>
          <w:szCs w:val="24"/>
        </w:rPr>
        <w:sectPr w:rsidR="001F1F8A" w:rsidRPr="005556FB" w:rsidSect="005556FB">
          <w:headerReference w:type="default" r:id="rId12"/>
          <w:footerReference w:type="default" r:id="rId13"/>
          <w:headerReference w:type="first" r:id="rId14"/>
          <w:footerReference w:type="first" r:id="rId15"/>
          <w:pgSz w:w="12240" w:h="15840" w:code="1"/>
          <w:pgMar w:top="1417" w:right="1701" w:bottom="1417" w:left="1701" w:header="708" w:footer="708" w:gutter="0"/>
          <w:pgBorders w:display="notFirstPage" w:offsetFrom="page">
            <w:top w:val="thinThickMediumGap" w:sz="24" w:space="24" w:color="2E74B5" w:themeColor="accent1" w:themeShade="BF"/>
            <w:left w:val="thinThickMediumGap" w:sz="24" w:space="24" w:color="2E74B5" w:themeColor="accent1" w:themeShade="BF"/>
            <w:bottom w:val="thickThinMediumGap" w:sz="24" w:space="24" w:color="2E74B5" w:themeColor="accent1" w:themeShade="BF"/>
            <w:right w:val="thickThinMediumGap" w:sz="24" w:space="24" w:color="2E74B5" w:themeColor="accent1" w:themeShade="BF"/>
          </w:pgBorders>
          <w:pgNumType w:chapStyle="1"/>
          <w:cols w:space="708"/>
          <w:titlePg/>
          <w:docGrid w:linePitch="360"/>
        </w:sectPr>
      </w:pPr>
      <w:r>
        <w:rPr>
          <w:rFonts w:ascii="Arial Narrow" w:hAnsi="Arial Narrow"/>
          <w:b/>
          <w:noProof/>
          <w:sz w:val="24"/>
          <w:szCs w:val="24"/>
        </w:rPr>
        <mc:AlternateContent>
          <mc:Choice Requires="wps">
            <w:drawing>
              <wp:anchor distT="0" distB="0" distL="114300" distR="114300" simplePos="0" relativeHeight="251689984" behindDoc="0" locked="0" layoutInCell="1" allowOverlap="1" wp14:anchorId="6CFC8263" wp14:editId="2E22F33F">
                <wp:simplePos x="0" y="0"/>
                <wp:positionH relativeFrom="page">
                  <wp:posOffset>10795</wp:posOffset>
                </wp:positionH>
                <wp:positionV relativeFrom="page">
                  <wp:posOffset>9030970</wp:posOffset>
                </wp:positionV>
                <wp:extent cx="7922895" cy="997585"/>
                <wp:effectExtent l="10795" t="10795" r="10160" b="2984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895" cy="997585"/>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7324F" id="Rectángulo 17" o:spid="_x0000_s1026" style="position:absolute;margin-left:.85pt;margin-top:711.1pt;width:623.85pt;height:78.5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" fillcolor="#9cc2e5 [1940]" strokecolor="#5b9bd5 [3204]" strokeweight="1pt">
                <v:fill color2="#5b9bd5 [3204]" focus="50%" type="gradient"/>
                <v:shadow on="t" color="#1f4d78 [1604]" offset="1pt"/>
                <w10:wrap anchorx="page" anchory="page"/>
              </v:rect>
            </w:pict>
          </mc:Fallback>
        </mc:AlternateContent>
      </w:r>
      <w:r w:rsidR="00BE39DB" w:rsidRPr="00F368D8">
        <w:rPr>
          <w:rFonts w:ascii="Arial Narrow" w:hAnsi="Arial Narrow"/>
          <w:b/>
          <w:sz w:val="24"/>
          <w:szCs w:val="24"/>
        </w:rPr>
        <w:t xml:space="preserve">Ciudad Universitaria, San Salvador, El Salvador, </w:t>
      </w:r>
      <w:r w:rsidR="00F95887">
        <w:rPr>
          <w:rFonts w:ascii="Arial Narrow" w:hAnsi="Arial Narrow"/>
          <w:b/>
          <w:sz w:val="24"/>
          <w:szCs w:val="24"/>
        </w:rPr>
        <w:t>15</w:t>
      </w:r>
      <w:r w:rsidR="00F84F25">
        <w:rPr>
          <w:rFonts w:ascii="Arial Narrow" w:hAnsi="Arial Narrow"/>
          <w:b/>
          <w:sz w:val="24"/>
          <w:szCs w:val="24"/>
        </w:rPr>
        <w:t xml:space="preserve"> de Jun</w:t>
      </w:r>
      <w:r w:rsidR="00F95887">
        <w:rPr>
          <w:rFonts w:ascii="Arial Narrow" w:hAnsi="Arial Narrow"/>
          <w:b/>
          <w:sz w:val="24"/>
          <w:szCs w:val="24"/>
        </w:rPr>
        <w:t>io de 2016</w:t>
      </w:r>
      <w:r w:rsidR="005556FB">
        <w:rPr>
          <w:rFonts w:ascii="Arial Narrow" w:hAnsi="Arial Narrow"/>
          <w:b/>
          <w:sz w:val="24"/>
          <w:szCs w:val="24"/>
        </w:rPr>
        <w:t>.</w:t>
      </w:r>
    </w:p>
    <w:p w:rsidR="00B72F54" w:rsidRDefault="00B72F54" w:rsidP="00B72F54">
      <w:pPr>
        <w:pStyle w:val="Sinespaciado"/>
        <w:spacing w:line="360" w:lineRule="auto"/>
        <w:jc w:val="center"/>
        <w:rPr>
          <w:rFonts w:ascii="Arial Narrow" w:hAnsi="Arial Narrow"/>
          <w:b/>
          <w:sz w:val="24"/>
          <w:szCs w:val="24"/>
        </w:rPr>
      </w:pPr>
      <w:r>
        <w:rPr>
          <w:rFonts w:ascii="Arial Narrow" w:hAnsi="Arial Narrow"/>
          <w:b/>
          <w:sz w:val="24"/>
          <w:szCs w:val="24"/>
        </w:rPr>
        <w:lastRenderedPageBreak/>
        <w:t>INIDICE</w:t>
      </w: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Pr="00F307BC" w:rsidRDefault="00B72F54" w:rsidP="00B72F54">
      <w:pPr>
        <w:pStyle w:val="Sinespaciado"/>
        <w:spacing w:line="360" w:lineRule="auto"/>
        <w:jc w:val="center"/>
        <w:rPr>
          <w:rFonts w:ascii="Arial Narrow" w:hAnsi="Arial Narrow"/>
          <w:b/>
          <w:sz w:val="24"/>
          <w:szCs w:val="24"/>
        </w:rPr>
      </w:pPr>
      <w:r w:rsidRPr="00F307BC">
        <w:rPr>
          <w:rFonts w:ascii="Arial Narrow" w:hAnsi="Arial Narrow"/>
          <w:b/>
          <w:sz w:val="24"/>
          <w:szCs w:val="24"/>
        </w:rPr>
        <w:t>RESUMEN</w:t>
      </w:r>
    </w:p>
    <w:p w:rsidR="00B72F54" w:rsidRPr="00F307BC" w:rsidRDefault="00B72F54" w:rsidP="00B72F54">
      <w:pPr>
        <w:pStyle w:val="Sinespaciado"/>
        <w:spacing w:line="360" w:lineRule="auto"/>
        <w:jc w:val="both"/>
        <w:rPr>
          <w:rFonts w:ascii="Arial Narrow" w:hAnsi="Arial Narrow"/>
          <w:sz w:val="24"/>
          <w:szCs w:val="24"/>
        </w:rPr>
      </w:pPr>
    </w:p>
    <w:p w:rsidR="00B72F54" w:rsidRPr="00F307BC" w:rsidRDefault="00B72F54" w:rsidP="00B72F54">
      <w:pPr>
        <w:pStyle w:val="Sinespaciado"/>
        <w:spacing w:line="360" w:lineRule="auto"/>
        <w:jc w:val="both"/>
        <w:rPr>
          <w:rFonts w:ascii="Arial Narrow" w:hAnsi="Arial Narrow"/>
          <w:sz w:val="24"/>
          <w:szCs w:val="24"/>
        </w:rPr>
      </w:pPr>
    </w:p>
    <w:p w:rsidR="00B72F54" w:rsidRDefault="00B72F54" w:rsidP="00B72F54">
      <w:pPr>
        <w:pStyle w:val="Sinespaciado"/>
        <w:spacing w:line="360" w:lineRule="auto"/>
        <w:jc w:val="both"/>
        <w:rPr>
          <w:rFonts w:ascii="Arial Narrow" w:hAnsi="Arial Narrow"/>
          <w:sz w:val="24"/>
          <w:szCs w:val="24"/>
        </w:rPr>
      </w:pPr>
      <w:r w:rsidRPr="00F307BC">
        <w:rPr>
          <w:rFonts w:ascii="Arial Narrow" w:hAnsi="Arial Narrow"/>
          <w:sz w:val="24"/>
          <w:szCs w:val="24"/>
        </w:rPr>
        <w:t>La globalización ha empezado a sentirse en El Salvador, a través del flujo de capitales extranjeros que se están dando en la economía nacional actualmente.</w:t>
      </w:r>
      <w:r>
        <w:rPr>
          <w:rFonts w:ascii="Arial Narrow" w:hAnsi="Arial Narrow"/>
          <w:sz w:val="24"/>
          <w:szCs w:val="24"/>
        </w:rPr>
        <w:t xml:space="preserve"> </w:t>
      </w:r>
      <w:r w:rsidRPr="00F307BC">
        <w:rPr>
          <w:rFonts w:ascii="Arial Narrow" w:hAnsi="Arial Narrow"/>
          <w:sz w:val="24"/>
          <w:szCs w:val="24"/>
        </w:rPr>
        <w:t>Lo anterior ha dado como resultado principalmente; cambios tecnológicos, económicos y sociales.</w:t>
      </w:r>
    </w:p>
    <w:p w:rsidR="00B72F54" w:rsidRPr="00F307BC" w:rsidRDefault="00B72F54" w:rsidP="00B72F54">
      <w:pPr>
        <w:pStyle w:val="Sinespaciado"/>
        <w:spacing w:line="360" w:lineRule="auto"/>
        <w:jc w:val="both"/>
        <w:rPr>
          <w:rFonts w:ascii="Arial Narrow" w:hAnsi="Arial Narrow"/>
          <w:sz w:val="24"/>
          <w:szCs w:val="24"/>
        </w:rPr>
      </w:pPr>
    </w:p>
    <w:p w:rsidR="00B72F54" w:rsidRPr="00F307BC" w:rsidRDefault="00B72F54" w:rsidP="00B72F54">
      <w:pPr>
        <w:pStyle w:val="Sinespaciado"/>
        <w:spacing w:line="360" w:lineRule="auto"/>
        <w:jc w:val="both"/>
        <w:rPr>
          <w:rFonts w:ascii="Arial Narrow" w:hAnsi="Arial Narrow"/>
          <w:sz w:val="24"/>
          <w:szCs w:val="24"/>
        </w:rPr>
      </w:pPr>
      <w:r w:rsidRPr="00F307BC">
        <w:rPr>
          <w:rFonts w:ascii="Arial Narrow" w:hAnsi="Arial Narrow"/>
          <w:sz w:val="24"/>
          <w:szCs w:val="24"/>
        </w:rPr>
        <w:t>Los campos profesionales no serán la excepción y por ende, se verán afectados entre ellos principalmente es la profesión de la Contaduría pública, a través de las incorporaciones y aplicaciones de las normativas internaciones de contabilidad actuales y sus actualizaciones</w:t>
      </w:r>
    </w:p>
    <w:p w:rsidR="00B72F54" w:rsidRDefault="00B72F54" w:rsidP="00B72F54">
      <w:pPr>
        <w:pStyle w:val="Sinespaciado"/>
        <w:spacing w:line="360" w:lineRule="auto"/>
        <w:jc w:val="both"/>
        <w:rPr>
          <w:rFonts w:ascii="Arial Narrow" w:hAnsi="Arial Narrow"/>
          <w:sz w:val="24"/>
          <w:szCs w:val="24"/>
        </w:rPr>
      </w:pPr>
      <w:r w:rsidRPr="00F307BC">
        <w:rPr>
          <w:rFonts w:ascii="Arial Narrow" w:hAnsi="Arial Narrow"/>
          <w:sz w:val="24"/>
          <w:szCs w:val="24"/>
        </w:rPr>
        <w:t>El presente trabajo que preparamos está enfocado en las normas internacionales de contabilidad siguientes:</w:t>
      </w:r>
    </w:p>
    <w:p w:rsidR="00B72F54" w:rsidRPr="00F307BC" w:rsidRDefault="00B72F54" w:rsidP="00B72F54">
      <w:pPr>
        <w:pStyle w:val="Sinespaciado"/>
        <w:spacing w:line="360" w:lineRule="auto"/>
        <w:jc w:val="both"/>
        <w:rPr>
          <w:rFonts w:ascii="Arial Narrow" w:hAnsi="Arial Narrow"/>
          <w:sz w:val="24"/>
          <w:szCs w:val="24"/>
        </w:rPr>
      </w:pPr>
    </w:p>
    <w:p w:rsidR="00B72F54" w:rsidRPr="00F307BC" w:rsidRDefault="00B72F54" w:rsidP="00B72F54">
      <w:pPr>
        <w:pStyle w:val="Sinespaciado"/>
        <w:spacing w:line="360" w:lineRule="auto"/>
        <w:jc w:val="both"/>
        <w:rPr>
          <w:rFonts w:ascii="Arial Narrow" w:hAnsi="Arial Narrow"/>
          <w:sz w:val="24"/>
          <w:szCs w:val="24"/>
        </w:rPr>
      </w:pPr>
      <w:r w:rsidRPr="00F307BC">
        <w:rPr>
          <w:rFonts w:ascii="Arial Narrow" w:hAnsi="Arial Narrow"/>
          <w:sz w:val="24"/>
          <w:szCs w:val="24"/>
        </w:rPr>
        <w:t>Norma Internacional de Contabilidad (NIC) 31 Negocios en conjunto</w:t>
      </w:r>
    </w:p>
    <w:p w:rsidR="00B72F54" w:rsidRPr="00F307BC" w:rsidRDefault="00B72F54" w:rsidP="00B72F54">
      <w:pPr>
        <w:pStyle w:val="Sinespaciado"/>
        <w:spacing w:line="360" w:lineRule="auto"/>
        <w:jc w:val="both"/>
        <w:rPr>
          <w:rFonts w:ascii="Arial Narrow" w:hAnsi="Arial Narrow"/>
          <w:sz w:val="24"/>
          <w:szCs w:val="24"/>
        </w:rPr>
      </w:pPr>
      <w:r w:rsidRPr="00F307BC">
        <w:rPr>
          <w:rFonts w:ascii="Arial Narrow" w:hAnsi="Arial Narrow"/>
          <w:sz w:val="24"/>
          <w:szCs w:val="24"/>
        </w:rPr>
        <w:t>Norma Internacional de Contabilidad (NIC) 32 Instrumentos Financieros</w:t>
      </w:r>
    </w:p>
    <w:p w:rsidR="00B72F54" w:rsidRPr="00F307BC" w:rsidRDefault="00B72F54" w:rsidP="00B72F54">
      <w:pPr>
        <w:pStyle w:val="Sinespaciado"/>
        <w:spacing w:line="360" w:lineRule="auto"/>
        <w:jc w:val="both"/>
        <w:rPr>
          <w:rFonts w:ascii="Arial Narrow" w:hAnsi="Arial Narrow"/>
          <w:sz w:val="24"/>
          <w:szCs w:val="24"/>
        </w:rPr>
      </w:pPr>
      <w:r w:rsidRPr="00F307BC">
        <w:rPr>
          <w:rFonts w:ascii="Arial Narrow" w:hAnsi="Arial Narrow"/>
          <w:sz w:val="24"/>
          <w:szCs w:val="24"/>
        </w:rPr>
        <w:t>Norma Internacional de Contabilidad (NIC) 39 32 Instrumentos Financieros (Reconocimiento y Medición)</w:t>
      </w:r>
    </w:p>
    <w:p w:rsidR="00B72F54" w:rsidRPr="00F307BC" w:rsidRDefault="00B72F54" w:rsidP="00B72F54">
      <w:pPr>
        <w:pStyle w:val="Sinespaciado"/>
        <w:spacing w:line="360" w:lineRule="auto"/>
        <w:jc w:val="both"/>
        <w:rPr>
          <w:rFonts w:ascii="Arial Narrow" w:hAnsi="Arial Narrow"/>
          <w:sz w:val="24"/>
          <w:szCs w:val="24"/>
        </w:rPr>
      </w:pPr>
    </w:p>
    <w:p w:rsidR="00B72F54" w:rsidRPr="00F307BC" w:rsidRDefault="00B72F54" w:rsidP="00B72F54">
      <w:pPr>
        <w:pStyle w:val="Sinespaciado"/>
        <w:spacing w:line="360" w:lineRule="auto"/>
        <w:jc w:val="both"/>
        <w:rPr>
          <w:rFonts w:ascii="Arial Narrow" w:hAnsi="Arial Narrow"/>
          <w:sz w:val="24"/>
          <w:szCs w:val="24"/>
        </w:rPr>
      </w:pPr>
      <w:r w:rsidRPr="00F307BC">
        <w:rPr>
          <w:rFonts w:ascii="Arial Narrow" w:hAnsi="Arial Narrow"/>
          <w:sz w:val="24"/>
          <w:szCs w:val="24"/>
        </w:rPr>
        <w:t xml:space="preserve">Analizándolas y </w:t>
      </w:r>
      <w:r>
        <w:rPr>
          <w:rFonts w:ascii="Arial Narrow" w:hAnsi="Arial Narrow"/>
          <w:sz w:val="24"/>
          <w:szCs w:val="24"/>
        </w:rPr>
        <w:t xml:space="preserve">con ejemplos específicos, </w:t>
      </w:r>
      <w:r w:rsidRPr="00F307BC">
        <w:rPr>
          <w:rFonts w:ascii="Arial Narrow" w:hAnsi="Arial Narrow"/>
          <w:sz w:val="24"/>
          <w:szCs w:val="24"/>
        </w:rPr>
        <w:t>para la aplicación de estos cambios que con ellos trae la globalización.</w:t>
      </w:r>
    </w:p>
    <w:p w:rsidR="00B72F54" w:rsidRPr="00F307BC" w:rsidRDefault="00B72F54" w:rsidP="00B72F54">
      <w:pPr>
        <w:pStyle w:val="Sinespaciado"/>
        <w:spacing w:line="360" w:lineRule="auto"/>
        <w:jc w:val="both"/>
        <w:rPr>
          <w:rFonts w:ascii="Arial Narrow" w:hAnsi="Arial Narrow"/>
          <w:sz w:val="24"/>
          <w:szCs w:val="24"/>
        </w:rPr>
      </w:pPr>
    </w:p>
    <w:p w:rsidR="00B72F54" w:rsidRPr="00F307BC" w:rsidRDefault="00B72F54" w:rsidP="00B72F54">
      <w:pPr>
        <w:pStyle w:val="Sinespaciado"/>
        <w:spacing w:line="360" w:lineRule="auto"/>
        <w:jc w:val="both"/>
        <w:rPr>
          <w:rFonts w:ascii="Arial Narrow" w:hAnsi="Arial Narrow"/>
          <w:sz w:val="24"/>
          <w:szCs w:val="24"/>
        </w:rPr>
      </w:pPr>
    </w:p>
    <w:p w:rsidR="00B72F54" w:rsidRPr="00F307BC" w:rsidRDefault="00B72F54" w:rsidP="00B72F54">
      <w:pPr>
        <w:pStyle w:val="Sinespaciado"/>
        <w:spacing w:line="360" w:lineRule="auto"/>
        <w:jc w:val="both"/>
        <w:rPr>
          <w:rFonts w:ascii="Arial Narrow" w:hAnsi="Arial Narrow"/>
          <w:sz w:val="24"/>
          <w:szCs w:val="24"/>
        </w:rPr>
      </w:pPr>
    </w:p>
    <w:p w:rsidR="00B72F54" w:rsidRPr="00F307BC" w:rsidRDefault="00B72F54" w:rsidP="00B72F54">
      <w:pPr>
        <w:pStyle w:val="Sinespaciado"/>
        <w:spacing w:line="360" w:lineRule="auto"/>
        <w:jc w:val="both"/>
        <w:rPr>
          <w:rFonts w:ascii="Arial Narrow" w:hAnsi="Arial Narrow"/>
          <w:sz w:val="24"/>
          <w:szCs w:val="24"/>
        </w:rPr>
      </w:pPr>
    </w:p>
    <w:p w:rsidR="00B72F54" w:rsidRPr="00F307BC" w:rsidRDefault="00B72F54" w:rsidP="00B72F54">
      <w:pPr>
        <w:pStyle w:val="Sinespaciado"/>
        <w:spacing w:line="360" w:lineRule="auto"/>
        <w:jc w:val="both"/>
        <w:rPr>
          <w:rFonts w:ascii="Arial Narrow" w:hAnsi="Arial Narrow"/>
          <w:sz w:val="24"/>
          <w:szCs w:val="24"/>
        </w:rPr>
      </w:pPr>
    </w:p>
    <w:p w:rsidR="00B72F54" w:rsidRPr="00F307BC" w:rsidRDefault="00B72F54" w:rsidP="00B72F54">
      <w:pPr>
        <w:pStyle w:val="Sinespaciado"/>
        <w:spacing w:line="360" w:lineRule="auto"/>
        <w:jc w:val="both"/>
        <w:rPr>
          <w:rFonts w:ascii="Arial Narrow" w:hAnsi="Arial Narrow"/>
          <w:sz w:val="24"/>
          <w:szCs w:val="24"/>
        </w:rPr>
      </w:pPr>
    </w:p>
    <w:p w:rsidR="00B72F54" w:rsidRPr="00F307BC" w:rsidRDefault="00B72F54" w:rsidP="00B72F54">
      <w:pPr>
        <w:pStyle w:val="Sinespaciado"/>
        <w:spacing w:line="360" w:lineRule="auto"/>
        <w:jc w:val="both"/>
        <w:rPr>
          <w:rFonts w:ascii="Arial Narrow" w:hAnsi="Arial Narrow"/>
          <w:sz w:val="24"/>
          <w:szCs w:val="24"/>
        </w:rPr>
      </w:pPr>
    </w:p>
    <w:p w:rsidR="00B72F54" w:rsidRDefault="00B72F54" w:rsidP="00B72F54">
      <w:pPr>
        <w:pStyle w:val="Sinespaciado"/>
        <w:spacing w:line="360" w:lineRule="auto"/>
        <w:jc w:val="both"/>
        <w:rPr>
          <w:rFonts w:ascii="Arial Narrow" w:hAnsi="Arial Narrow"/>
          <w:sz w:val="24"/>
          <w:szCs w:val="24"/>
        </w:rPr>
      </w:pPr>
    </w:p>
    <w:p w:rsidR="00B72F54" w:rsidRDefault="00B72F54" w:rsidP="00B72F54">
      <w:pPr>
        <w:pStyle w:val="Sinespaciado"/>
        <w:spacing w:line="360" w:lineRule="auto"/>
        <w:jc w:val="center"/>
        <w:rPr>
          <w:rFonts w:ascii="Arial Narrow" w:hAnsi="Arial Narrow"/>
          <w:b/>
          <w:sz w:val="24"/>
          <w:szCs w:val="24"/>
        </w:rPr>
      </w:pPr>
      <w:r w:rsidRPr="00B72F54">
        <w:rPr>
          <w:rFonts w:ascii="Arial Narrow" w:hAnsi="Arial Narrow"/>
          <w:b/>
          <w:sz w:val="24"/>
          <w:szCs w:val="24"/>
        </w:rPr>
        <w:lastRenderedPageBreak/>
        <w:t>INTRODUCCION</w:t>
      </w: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Pr="00B72F54" w:rsidRDefault="00B72F54" w:rsidP="00B72F54">
      <w:pPr>
        <w:pStyle w:val="Sinespaciado"/>
        <w:spacing w:line="360" w:lineRule="auto"/>
        <w:jc w:val="center"/>
        <w:rPr>
          <w:rFonts w:ascii="Arial Narrow" w:hAnsi="Arial Narrow"/>
          <w:b/>
          <w:sz w:val="24"/>
          <w:szCs w:val="24"/>
        </w:rPr>
      </w:pPr>
    </w:p>
    <w:p w:rsidR="00B72F54" w:rsidRPr="00F307BC" w:rsidRDefault="00B72F54" w:rsidP="00B72F54">
      <w:pPr>
        <w:pStyle w:val="Sinespaciado"/>
        <w:spacing w:line="360" w:lineRule="auto"/>
        <w:jc w:val="both"/>
        <w:rPr>
          <w:rFonts w:ascii="Arial Narrow" w:hAnsi="Arial Narrow"/>
          <w:sz w:val="24"/>
          <w:szCs w:val="24"/>
        </w:rPr>
      </w:pPr>
    </w:p>
    <w:p w:rsidR="00B72F54" w:rsidRPr="00F307BC" w:rsidRDefault="00B72F54" w:rsidP="00B72F54">
      <w:pPr>
        <w:pStyle w:val="Sinespaciado"/>
        <w:spacing w:line="360" w:lineRule="auto"/>
        <w:jc w:val="both"/>
        <w:rPr>
          <w:rFonts w:ascii="Arial Narrow" w:hAnsi="Arial Narrow"/>
          <w:sz w:val="24"/>
          <w:szCs w:val="24"/>
        </w:rPr>
      </w:pPr>
    </w:p>
    <w:p w:rsidR="00B72F54" w:rsidRPr="00F307BC" w:rsidRDefault="00B72F54" w:rsidP="00B72F54">
      <w:pPr>
        <w:pStyle w:val="Sinespaciado"/>
        <w:spacing w:line="360" w:lineRule="auto"/>
        <w:jc w:val="both"/>
        <w:rPr>
          <w:rFonts w:ascii="Arial Narrow" w:hAnsi="Arial Narrow"/>
          <w:sz w:val="24"/>
          <w:szCs w:val="24"/>
        </w:rPr>
      </w:pPr>
    </w:p>
    <w:p w:rsidR="00B72F54" w:rsidRDefault="00B72F54" w:rsidP="00B72F54">
      <w:pPr>
        <w:pStyle w:val="Sinespaciado"/>
        <w:spacing w:line="360" w:lineRule="auto"/>
        <w:jc w:val="center"/>
        <w:rPr>
          <w:rFonts w:ascii="Arial Narrow" w:hAnsi="Arial Narrow"/>
          <w:b/>
          <w:sz w:val="24"/>
          <w:szCs w:val="24"/>
        </w:rPr>
      </w:pPr>
    </w:p>
    <w:p w:rsidR="00B72F54" w:rsidRPr="00F307BC" w:rsidRDefault="00B72F54" w:rsidP="00B72F54">
      <w:pPr>
        <w:pStyle w:val="Sinespaciado"/>
        <w:spacing w:line="360" w:lineRule="auto"/>
        <w:jc w:val="center"/>
        <w:rPr>
          <w:rFonts w:ascii="Arial Narrow" w:hAnsi="Arial Narrow"/>
          <w:b/>
          <w:sz w:val="24"/>
          <w:szCs w:val="24"/>
        </w:rPr>
      </w:pPr>
      <w:r w:rsidRPr="00F307BC">
        <w:rPr>
          <w:rFonts w:ascii="Arial Narrow" w:hAnsi="Arial Narrow"/>
          <w:b/>
          <w:sz w:val="24"/>
          <w:szCs w:val="24"/>
        </w:rPr>
        <w:t>OBJETIVO GENERAL</w:t>
      </w:r>
    </w:p>
    <w:p w:rsidR="00B72F54" w:rsidRPr="00F307BC" w:rsidRDefault="00B72F54" w:rsidP="00B72F54">
      <w:pPr>
        <w:pStyle w:val="Sinespaciado"/>
        <w:spacing w:line="360" w:lineRule="auto"/>
        <w:jc w:val="both"/>
        <w:rPr>
          <w:rFonts w:ascii="Arial Narrow" w:hAnsi="Arial Narrow"/>
          <w:sz w:val="24"/>
          <w:szCs w:val="24"/>
        </w:rPr>
      </w:pPr>
    </w:p>
    <w:p w:rsidR="00B72F54" w:rsidRPr="00F307BC" w:rsidRDefault="00B72F54" w:rsidP="00B72F54">
      <w:pPr>
        <w:pStyle w:val="Sinespaciado"/>
        <w:spacing w:line="360" w:lineRule="auto"/>
        <w:jc w:val="both"/>
        <w:rPr>
          <w:rFonts w:ascii="Arial Narrow" w:hAnsi="Arial Narrow"/>
          <w:sz w:val="24"/>
          <w:szCs w:val="24"/>
        </w:rPr>
      </w:pPr>
    </w:p>
    <w:p w:rsidR="00B72F54" w:rsidRPr="00F307BC" w:rsidRDefault="00B72F54" w:rsidP="00B72F54">
      <w:pPr>
        <w:pStyle w:val="Sinespaciado"/>
        <w:spacing w:line="360" w:lineRule="auto"/>
        <w:jc w:val="both"/>
        <w:rPr>
          <w:rFonts w:ascii="Arial Narrow" w:hAnsi="Arial Narrow"/>
          <w:sz w:val="24"/>
          <w:szCs w:val="24"/>
        </w:rPr>
      </w:pPr>
    </w:p>
    <w:p w:rsidR="00B72F54" w:rsidRPr="00F307BC" w:rsidRDefault="00B72F54" w:rsidP="00B72F54">
      <w:pPr>
        <w:pStyle w:val="Sinespaciado"/>
        <w:spacing w:line="360" w:lineRule="auto"/>
        <w:jc w:val="both"/>
        <w:rPr>
          <w:rFonts w:ascii="Arial Narrow" w:hAnsi="Arial Narrow"/>
          <w:sz w:val="24"/>
          <w:szCs w:val="24"/>
        </w:rPr>
      </w:pPr>
    </w:p>
    <w:p w:rsidR="00B72F54" w:rsidRPr="00F307BC" w:rsidRDefault="00B72F54" w:rsidP="00B72F54">
      <w:pPr>
        <w:pStyle w:val="Sinespaciado"/>
        <w:spacing w:line="360" w:lineRule="auto"/>
        <w:jc w:val="both"/>
        <w:rPr>
          <w:rFonts w:ascii="Arial Narrow" w:hAnsi="Arial Narrow"/>
          <w:sz w:val="24"/>
          <w:szCs w:val="24"/>
        </w:rPr>
      </w:pPr>
    </w:p>
    <w:p w:rsidR="00B72F54" w:rsidRPr="00F307BC" w:rsidRDefault="00B72F54" w:rsidP="00B72F54">
      <w:pPr>
        <w:pStyle w:val="Sinespaciado"/>
        <w:spacing w:line="360" w:lineRule="auto"/>
        <w:jc w:val="both"/>
        <w:rPr>
          <w:rFonts w:ascii="Arial Narrow" w:hAnsi="Arial Narrow"/>
          <w:sz w:val="24"/>
          <w:szCs w:val="24"/>
        </w:rPr>
      </w:pPr>
    </w:p>
    <w:p w:rsidR="00B72F54" w:rsidRPr="00F307BC" w:rsidRDefault="00B72F54" w:rsidP="00B72F54">
      <w:pPr>
        <w:pStyle w:val="Sinespaciado"/>
        <w:spacing w:line="360" w:lineRule="auto"/>
        <w:jc w:val="both"/>
        <w:rPr>
          <w:rFonts w:ascii="Arial Narrow" w:hAnsi="Arial Narrow"/>
          <w:sz w:val="24"/>
          <w:szCs w:val="24"/>
        </w:rPr>
      </w:pPr>
    </w:p>
    <w:p w:rsidR="00B72F54" w:rsidRPr="00F307BC" w:rsidRDefault="00B72F54" w:rsidP="00B72F54">
      <w:pPr>
        <w:pStyle w:val="Sinespaciado"/>
        <w:spacing w:line="360" w:lineRule="auto"/>
        <w:jc w:val="both"/>
        <w:rPr>
          <w:rFonts w:ascii="Arial Narrow" w:hAnsi="Arial Narrow"/>
          <w:sz w:val="24"/>
          <w:szCs w:val="24"/>
        </w:rPr>
      </w:pPr>
    </w:p>
    <w:p w:rsidR="00B72F54" w:rsidRPr="00F307BC" w:rsidRDefault="00B72F54" w:rsidP="00B72F54">
      <w:pPr>
        <w:pStyle w:val="Sinespaciado"/>
        <w:spacing w:line="360" w:lineRule="auto"/>
        <w:jc w:val="both"/>
        <w:rPr>
          <w:rFonts w:ascii="Arial Narrow" w:hAnsi="Arial Narrow"/>
          <w:sz w:val="24"/>
          <w:szCs w:val="24"/>
        </w:rPr>
      </w:pPr>
    </w:p>
    <w:p w:rsidR="00B72F54" w:rsidRPr="00F307BC" w:rsidRDefault="00B72F54" w:rsidP="00B72F54">
      <w:pPr>
        <w:pStyle w:val="Sinespaciado"/>
        <w:spacing w:line="360" w:lineRule="auto"/>
        <w:jc w:val="center"/>
        <w:rPr>
          <w:rFonts w:ascii="Arial Narrow" w:hAnsi="Arial Narrow"/>
          <w:b/>
          <w:sz w:val="24"/>
          <w:szCs w:val="24"/>
        </w:rPr>
      </w:pPr>
      <w:r w:rsidRPr="00F307BC">
        <w:rPr>
          <w:rFonts w:ascii="Arial Narrow" w:hAnsi="Arial Narrow"/>
          <w:b/>
          <w:sz w:val="24"/>
          <w:szCs w:val="24"/>
        </w:rPr>
        <w:t>OBJETIVOS ESPECÍFICOS:</w:t>
      </w:r>
    </w:p>
    <w:p w:rsidR="00B72F54" w:rsidRPr="00F307BC" w:rsidRDefault="00B72F54" w:rsidP="00B72F54">
      <w:pPr>
        <w:pStyle w:val="Sinespaciado"/>
        <w:spacing w:line="360" w:lineRule="auto"/>
        <w:jc w:val="both"/>
        <w:rPr>
          <w:rFonts w:ascii="Arial Narrow" w:hAnsi="Arial Narrow"/>
          <w:sz w:val="24"/>
          <w:szCs w:val="24"/>
        </w:rPr>
      </w:pPr>
    </w:p>
    <w:p w:rsidR="00B72F54" w:rsidRPr="00F307BC" w:rsidRDefault="00B72F54" w:rsidP="00B72F54">
      <w:pPr>
        <w:pStyle w:val="Sinespaciado"/>
        <w:spacing w:line="360" w:lineRule="auto"/>
        <w:jc w:val="both"/>
        <w:rPr>
          <w:rFonts w:ascii="Arial Narrow" w:hAnsi="Arial Narrow"/>
          <w:sz w:val="24"/>
          <w:szCs w:val="24"/>
        </w:rPr>
      </w:pPr>
    </w:p>
    <w:p w:rsidR="00B72F54" w:rsidRPr="00F307BC" w:rsidRDefault="00B72F54" w:rsidP="00B72F54">
      <w:pPr>
        <w:pStyle w:val="Sinespaciado"/>
        <w:numPr>
          <w:ilvl w:val="0"/>
          <w:numId w:val="13"/>
        </w:numPr>
        <w:spacing w:line="360" w:lineRule="auto"/>
        <w:jc w:val="both"/>
        <w:rPr>
          <w:rFonts w:ascii="Arial Narrow" w:hAnsi="Arial Narrow"/>
          <w:sz w:val="24"/>
          <w:szCs w:val="24"/>
        </w:rPr>
      </w:pPr>
      <w:r w:rsidRPr="00F307BC">
        <w:rPr>
          <w:rFonts w:ascii="Arial Narrow" w:hAnsi="Arial Narrow"/>
          <w:sz w:val="24"/>
          <w:szCs w:val="24"/>
        </w:rPr>
        <w:t xml:space="preserve"> </w:t>
      </w:r>
      <w:r w:rsidRPr="00F307BC">
        <w:rPr>
          <w:rFonts w:ascii="Arial Narrow" w:hAnsi="Arial Narrow" w:cs="Arial"/>
          <w:color w:val="000000"/>
          <w:sz w:val="24"/>
          <w:szCs w:val="24"/>
          <w:shd w:val="clear" w:color="auto" w:fill="FFFFFF"/>
        </w:rPr>
        <w:t>Regular el tratamiento contable de las inversiones en negocios conjuntos, con independencia de la estructura o la forma jurídica bajo la cual tienen lugar las actividades de la entidad</w:t>
      </w:r>
      <w:r>
        <w:rPr>
          <w:rFonts w:ascii="Arial Narrow" w:hAnsi="Arial Narrow"/>
          <w:sz w:val="24"/>
          <w:szCs w:val="24"/>
        </w:rPr>
        <w:t>.</w:t>
      </w:r>
    </w:p>
    <w:p w:rsidR="00B72F54" w:rsidRPr="00F307BC" w:rsidRDefault="00B72F54" w:rsidP="00B72F54">
      <w:pPr>
        <w:pStyle w:val="Sinespaciado"/>
        <w:spacing w:line="360" w:lineRule="auto"/>
        <w:jc w:val="both"/>
        <w:rPr>
          <w:rFonts w:ascii="Arial Narrow" w:hAnsi="Arial Narrow"/>
          <w:sz w:val="24"/>
          <w:szCs w:val="24"/>
        </w:rPr>
      </w:pPr>
    </w:p>
    <w:p w:rsidR="00B72F54" w:rsidRPr="00F307BC" w:rsidRDefault="00B72F54" w:rsidP="00B72F54">
      <w:pPr>
        <w:pStyle w:val="Sinespaciado"/>
        <w:numPr>
          <w:ilvl w:val="0"/>
          <w:numId w:val="13"/>
        </w:numPr>
        <w:spacing w:line="360" w:lineRule="auto"/>
        <w:jc w:val="both"/>
        <w:rPr>
          <w:rFonts w:ascii="Arial Narrow" w:hAnsi="Arial Narrow"/>
          <w:sz w:val="24"/>
          <w:szCs w:val="24"/>
        </w:rPr>
      </w:pPr>
      <w:r w:rsidRPr="00F307BC">
        <w:rPr>
          <w:rFonts w:ascii="Arial Narrow" w:hAnsi="Arial Narrow"/>
          <w:sz w:val="24"/>
          <w:szCs w:val="24"/>
        </w:rPr>
        <w:t>Mejorar la comprensión de los usuarios de los estados financieros sobre la relevancia de los instrumentos financieros en la posición financiera, los rendimientos y los </w:t>
      </w:r>
      <w:hyperlink r:id="rId16" w:history="1">
        <w:r w:rsidRPr="00F307BC">
          <w:rPr>
            <w:rFonts w:ascii="Arial Narrow" w:hAnsi="Arial Narrow"/>
            <w:sz w:val="24"/>
            <w:szCs w:val="24"/>
          </w:rPr>
          <w:t>flujos de efectivo</w:t>
        </w:r>
      </w:hyperlink>
      <w:r w:rsidRPr="00F307BC">
        <w:rPr>
          <w:rFonts w:ascii="Arial Narrow" w:hAnsi="Arial Narrow"/>
          <w:sz w:val="24"/>
          <w:szCs w:val="24"/>
        </w:rPr>
        <w:t> que ésta espera obtener.</w:t>
      </w:r>
    </w:p>
    <w:p w:rsidR="00B72F54" w:rsidRPr="00F307BC" w:rsidRDefault="00B72F54" w:rsidP="00B72F54">
      <w:pPr>
        <w:pStyle w:val="Sinespaciado"/>
        <w:spacing w:line="360" w:lineRule="auto"/>
        <w:jc w:val="both"/>
        <w:rPr>
          <w:rFonts w:ascii="Arial Narrow" w:hAnsi="Arial Narrow"/>
          <w:sz w:val="24"/>
          <w:szCs w:val="24"/>
        </w:rPr>
      </w:pPr>
    </w:p>
    <w:p w:rsidR="00B72F54" w:rsidRPr="00F307BC" w:rsidRDefault="00B72F54" w:rsidP="00B72F54">
      <w:pPr>
        <w:pStyle w:val="Sinespaciado"/>
        <w:numPr>
          <w:ilvl w:val="0"/>
          <w:numId w:val="13"/>
        </w:numPr>
        <w:spacing w:line="360" w:lineRule="auto"/>
        <w:jc w:val="both"/>
        <w:rPr>
          <w:rFonts w:ascii="Arial Narrow" w:hAnsi="Arial Narrow"/>
          <w:sz w:val="24"/>
          <w:szCs w:val="24"/>
        </w:rPr>
      </w:pPr>
      <w:r w:rsidRPr="00F307BC">
        <w:rPr>
          <w:rFonts w:ascii="Arial Narrow" w:hAnsi="Arial Narrow"/>
          <w:sz w:val="24"/>
          <w:szCs w:val="24"/>
        </w:rPr>
        <w:t>Establecer los principios contables para el reconocimiento, medición y revelación de información referente a los instrumentos financieros, en los est</w:t>
      </w:r>
      <w:r>
        <w:rPr>
          <w:rFonts w:ascii="Arial Narrow" w:hAnsi="Arial Narrow"/>
          <w:sz w:val="24"/>
          <w:szCs w:val="24"/>
        </w:rPr>
        <w:t>ados financieros de las empresas</w:t>
      </w:r>
      <w:r w:rsidRPr="00F307BC">
        <w:rPr>
          <w:rFonts w:ascii="Arial Narrow" w:hAnsi="Arial Narrow" w:cs="Arial"/>
          <w:color w:val="000000"/>
          <w:sz w:val="24"/>
          <w:szCs w:val="24"/>
          <w:shd w:val="clear" w:color="auto" w:fill="FFFFFF"/>
        </w:rPr>
        <w:t>.</w:t>
      </w:r>
      <w:r w:rsidRPr="00F307BC">
        <w:rPr>
          <w:rFonts w:ascii="Arial Narrow" w:hAnsi="Arial Narrow" w:cs="Arial"/>
          <w:color w:val="000000"/>
          <w:sz w:val="24"/>
          <w:szCs w:val="24"/>
        </w:rPr>
        <w:br/>
      </w:r>
    </w:p>
    <w:p w:rsidR="00B72F54" w:rsidRPr="00F307BC" w:rsidRDefault="00B72F54" w:rsidP="00B72F54">
      <w:pPr>
        <w:pStyle w:val="Sinespaciado"/>
        <w:spacing w:line="360" w:lineRule="auto"/>
        <w:jc w:val="both"/>
        <w:rPr>
          <w:rFonts w:ascii="Arial Narrow" w:hAnsi="Arial Narrow" w:cs="Arial"/>
          <w:color w:val="000000"/>
          <w:sz w:val="24"/>
          <w:szCs w:val="24"/>
        </w:rPr>
      </w:pPr>
    </w:p>
    <w:p w:rsidR="00B72F54" w:rsidRDefault="00B72F54" w:rsidP="00B72F54">
      <w:pPr>
        <w:pStyle w:val="Sinespaciado"/>
        <w:spacing w:line="360" w:lineRule="auto"/>
        <w:jc w:val="both"/>
        <w:rPr>
          <w:rFonts w:ascii="Arial Narrow" w:hAnsi="Arial Narrow" w:cs="Arial"/>
          <w:color w:val="000000"/>
          <w:sz w:val="24"/>
          <w:szCs w:val="24"/>
        </w:rPr>
      </w:pPr>
    </w:p>
    <w:p w:rsidR="00B72F54" w:rsidRPr="00F307BC" w:rsidRDefault="00B72F54" w:rsidP="00B72F54">
      <w:pPr>
        <w:pStyle w:val="Sinespaciado"/>
        <w:spacing w:line="360" w:lineRule="auto"/>
        <w:jc w:val="both"/>
        <w:rPr>
          <w:rFonts w:ascii="Arial Narrow" w:hAnsi="Arial Narrow" w:cs="Arial"/>
          <w:color w:val="000000"/>
          <w:sz w:val="24"/>
          <w:szCs w:val="24"/>
        </w:rPr>
      </w:pPr>
    </w:p>
    <w:p w:rsidR="00574445" w:rsidRDefault="00574445" w:rsidP="009D0CA1">
      <w:pPr>
        <w:jc w:val="center"/>
        <w:rPr>
          <w:rFonts w:ascii="Arial Narrow" w:hAnsi="Arial Narrow"/>
          <w:b/>
          <w:bCs/>
          <w:sz w:val="28"/>
          <w:szCs w:val="28"/>
          <w:u w:val="single"/>
        </w:rPr>
      </w:pPr>
      <w:r>
        <w:rPr>
          <w:rFonts w:ascii="Arial Narrow" w:hAnsi="Arial Narrow"/>
          <w:b/>
          <w:bCs/>
          <w:sz w:val="28"/>
          <w:szCs w:val="28"/>
          <w:u w:val="single"/>
        </w:rPr>
        <w:lastRenderedPageBreak/>
        <w:t>PARTE I: ANALISIS DE LA NORMATIVA INTERNACIONAL DE CONTABILIDAD</w:t>
      </w:r>
    </w:p>
    <w:p w:rsidR="008A4F02" w:rsidRPr="008344FE" w:rsidRDefault="008A4F02" w:rsidP="008A4F02">
      <w:pPr>
        <w:rPr>
          <w:rFonts w:ascii="Arial Narrow" w:hAnsi="Arial Narrow"/>
          <w:b/>
          <w:bCs/>
          <w:sz w:val="24"/>
          <w:szCs w:val="24"/>
          <w:u w:val="single"/>
        </w:rPr>
      </w:pPr>
      <w:r w:rsidRPr="008344FE">
        <w:rPr>
          <w:rFonts w:ascii="Arial Narrow" w:hAnsi="Arial Narrow"/>
          <w:b/>
          <w:bCs/>
          <w:sz w:val="24"/>
          <w:szCs w:val="24"/>
          <w:u w:val="single"/>
        </w:rPr>
        <w:t>Norma Internacional de Contabilidad Nº 31 (NIC 31).</w:t>
      </w:r>
    </w:p>
    <w:p w:rsidR="008A4F02" w:rsidRDefault="00774A56" w:rsidP="008A4F02">
      <w:pPr>
        <w:rPr>
          <w:rFonts w:ascii="Arial Narrow" w:hAnsi="Arial Narrow"/>
          <w:bCs/>
          <w:sz w:val="24"/>
          <w:szCs w:val="24"/>
        </w:rPr>
      </w:pPr>
      <w:r>
        <w:rPr>
          <w:rFonts w:ascii="Arial Narrow" w:hAnsi="Arial Narrow"/>
          <w:bCs/>
          <w:sz w:val="24"/>
          <w:szCs w:val="24"/>
        </w:rPr>
        <w:t xml:space="preserve">Participaciones en negocios conjuntos. </w:t>
      </w:r>
      <w:r w:rsidRPr="008A4F02">
        <w:rPr>
          <w:rFonts w:ascii="Arial Narrow" w:hAnsi="Arial Narrow"/>
          <w:bCs/>
          <w:sz w:val="24"/>
          <w:szCs w:val="24"/>
        </w:rPr>
        <w:t>(Entro en vigencia el 01 de enero de 2005).</w:t>
      </w:r>
    </w:p>
    <w:p w:rsidR="00774A56" w:rsidRDefault="00774A56" w:rsidP="00B464C6">
      <w:pPr>
        <w:spacing w:line="360" w:lineRule="auto"/>
        <w:jc w:val="both"/>
        <w:rPr>
          <w:rFonts w:ascii="Arial Narrow" w:hAnsi="Arial Narrow"/>
          <w:bCs/>
          <w:sz w:val="24"/>
          <w:szCs w:val="24"/>
        </w:rPr>
      </w:pPr>
      <w:r>
        <w:rPr>
          <w:rFonts w:ascii="Arial Narrow" w:hAnsi="Arial Narrow"/>
          <w:bCs/>
          <w:sz w:val="24"/>
          <w:szCs w:val="24"/>
        </w:rPr>
        <w:t>Un negocio conjunto lo definiríamos cuando hay actividades que se controlan conjuntamente o cuando una entidad es controlada conjuntamente por dos o más entidades, un ejemplo cuando una empresa forma un consorcio para realizar una actividad determinada.</w:t>
      </w:r>
    </w:p>
    <w:p w:rsidR="00774A56" w:rsidRDefault="005556FB" w:rsidP="00B464C6">
      <w:pPr>
        <w:spacing w:line="360" w:lineRule="auto"/>
        <w:jc w:val="both"/>
        <w:rPr>
          <w:rFonts w:ascii="Arial Narrow" w:hAnsi="Arial Narrow"/>
          <w:bCs/>
          <w:sz w:val="24"/>
          <w:szCs w:val="24"/>
        </w:rPr>
      </w:pPr>
      <w:r>
        <w:rPr>
          <w:rFonts w:ascii="Arial Narrow" w:hAnsi="Arial Narrow"/>
          <w:bCs/>
          <w:noProof/>
          <w:sz w:val="24"/>
          <w:szCs w:val="24"/>
        </w:rPr>
        <w:drawing>
          <wp:anchor distT="0" distB="0" distL="114300" distR="114300" simplePos="0" relativeHeight="251675648" behindDoc="0" locked="0" layoutInCell="1" allowOverlap="1" wp14:anchorId="55F462C2" wp14:editId="1B7D8D96">
            <wp:simplePos x="0" y="0"/>
            <wp:positionH relativeFrom="margin">
              <wp:align>right</wp:align>
            </wp:positionH>
            <wp:positionV relativeFrom="margin">
              <wp:posOffset>2044700</wp:posOffset>
            </wp:positionV>
            <wp:extent cx="2070735" cy="1875790"/>
            <wp:effectExtent l="76200" t="76200" r="139065" b="12446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erdo-negocios.jpg"/>
                    <pic:cNvPicPr/>
                  </pic:nvPicPr>
                  <pic:blipFill>
                    <a:blip r:embed="rId17">
                      <a:extLst>
                        <a:ext uri="{28A0092B-C50C-407E-A947-70E740481C1C}">
                          <a14:useLocalDpi xmlns:a14="http://schemas.microsoft.com/office/drawing/2010/main" val="0"/>
                        </a:ext>
                      </a:extLst>
                    </a:blip>
                    <a:stretch>
                      <a:fillRect/>
                    </a:stretch>
                  </pic:blipFill>
                  <pic:spPr>
                    <a:xfrm>
                      <a:off x="0" y="0"/>
                      <a:ext cx="2070735" cy="1875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74A56">
        <w:rPr>
          <w:rFonts w:ascii="Arial Narrow" w:hAnsi="Arial Narrow"/>
          <w:bCs/>
          <w:sz w:val="24"/>
          <w:szCs w:val="24"/>
        </w:rPr>
        <w:t xml:space="preserve">El alcance </w:t>
      </w:r>
      <w:r w:rsidR="007164BB">
        <w:rPr>
          <w:rFonts w:ascii="Arial Narrow" w:hAnsi="Arial Narrow"/>
          <w:bCs/>
          <w:sz w:val="24"/>
          <w:szCs w:val="24"/>
        </w:rPr>
        <w:t>t</w:t>
      </w:r>
      <w:r w:rsidR="00774A56">
        <w:rPr>
          <w:rFonts w:ascii="Arial Narrow" w:hAnsi="Arial Narrow"/>
          <w:bCs/>
          <w:sz w:val="24"/>
          <w:szCs w:val="24"/>
        </w:rPr>
        <w:t>rata sobre la contabilización de las participaciones en negocios conjuntos e informar a: los activos, pasivos y gastos con independencia de las actividades que realicen.</w:t>
      </w:r>
    </w:p>
    <w:p w:rsidR="00774A56" w:rsidRDefault="00774A56" w:rsidP="00B464C6">
      <w:pPr>
        <w:spacing w:line="360" w:lineRule="auto"/>
        <w:jc w:val="both"/>
        <w:rPr>
          <w:rFonts w:ascii="Arial Narrow" w:hAnsi="Arial Narrow"/>
          <w:bCs/>
          <w:sz w:val="24"/>
          <w:szCs w:val="24"/>
        </w:rPr>
      </w:pPr>
      <w:r>
        <w:rPr>
          <w:rFonts w:ascii="Arial Narrow" w:hAnsi="Arial Narrow"/>
          <w:bCs/>
          <w:sz w:val="24"/>
          <w:szCs w:val="24"/>
        </w:rPr>
        <w:t>Esta normativa no se aplica a entidades de capital de riesgo ni tampoco a instituciones de inversión colectiva entre las entidades están los fondos de inversión y fondos de seguros ligados a inversiones.</w:t>
      </w:r>
    </w:p>
    <w:p w:rsidR="00774A56" w:rsidRDefault="00774A56" w:rsidP="00B464C6">
      <w:pPr>
        <w:spacing w:line="360" w:lineRule="auto"/>
        <w:jc w:val="both"/>
        <w:rPr>
          <w:rFonts w:ascii="Arial Narrow" w:hAnsi="Arial Narrow"/>
          <w:bCs/>
          <w:sz w:val="24"/>
          <w:szCs w:val="24"/>
        </w:rPr>
      </w:pPr>
      <w:r>
        <w:rPr>
          <w:rFonts w:ascii="Arial Narrow" w:hAnsi="Arial Narrow"/>
          <w:bCs/>
          <w:sz w:val="24"/>
          <w:szCs w:val="24"/>
        </w:rPr>
        <w:t>La definición relevante de la NIC es:</w:t>
      </w:r>
    </w:p>
    <w:p w:rsidR="00774A56" w:rsidRDefault="00774A56" w:rsidP="00B464C6">
      <w:pPr>
        <w:spacing w:line="360" w:lineRule="auto"/>
        <w:jc w:val="both"/>
        <w:rPr>
          <w:rFonts w:ascii="Arial Narrow" w:hAnsi="Arial Narrow"/>
          <w:bCs/>
          <w:sz w:val="24"/>
          <w:szCs w:val="24"/>
        </w:rPr>
      </w:pPr>
      <w:r>
        <w:rPr>
          <w:rFonts w:ascii="Arial Narrow" w:hAnsi="Arial Narrow"/>
          <w:bCs/>
          <w:sz w:val="24"/>
          <w:szCs w:val="24"/>
        </w:rPr>
        <w:t>Entenderemos como control que es el poder de dirigir las políticas financieras y de operación de una entidad, con el fin de obtener beneficios en sus actividades.</w:t>
      </w:r>
    </w:p>
    <w:p w:rsidR="00774A56" w:rsidRDefault="00774A56" w:rsidP="00B464C6">
      <w:pPr>
        <w:spacing w:line="360" w:lineRule="auto"/>
        <w:jc w:val="both"/>
        <w:rPr>
          <w:rFonts w:ascii="Arial Narrow" w:hAnsi="Arial Narrow"/>
          <w:bCs/>
          <w:sz w:val="24"/>
          <w:szCs w:val="24"/>
        </w:rPr>
      </w:pPr>
      <w:r>
        <w:rPr>
          <w:rFonts w:ascii="Arial Narrow" w:hAnsi="Arial Narrow"/>
          <w:bCs/>
          <w:sz w:val="24"/>
          <w:szCs w:val="24"/>
        </w:rPr>
        <w:t>El control conjunto: Un acuerdo para compartir el control sobre una actividad económica que se da cuando las decisiones estratégicas requieren</w:t>
      </w:r>
      <w:r w:rsidR="000E5F19">
        <w:rPr>
          <w:rFonts w:ascii="Arial Narrow" w:hAnsi="Arial Narrow"/>
          <w:bCs/>
          <w:sz w:val="24"/>
          <w:szCs w:val="24"/>
        </w:rPr>
        <w:t xml:space="preserve"> el consentimiento unánime de las partes.</w:t>
      </w:r>
    </w:p>
    <w:p w:rsidR="000E5F19" w:rsidRDefault="000E5F19" w:rsidP="00B464C6">
      <w:pPr>
        <w:spacing w:line="360" w:lineRule="auto"/>
        <w:jc w:val="both"/>
        <w:rPr>
          <w:rFonts w:ascii="Arial Narrow" w:hAnsi="Arial Narrow"/>
          <w:bCs/>
          <w:sz w:val="24"/>
          <w:szCs w:val="24"/>
        </w:rPr>
      </w:pPr>
      <w:r>
        <w:rPr>
          <w:rFonts w:ascii="Arial Narrow" w:hAnsi="Arial Narrow"/>
          <w:bCs/>
          <w:sz w:val="24"/>
          <w:szCs w:val="24"/>
        </w:rPr>
        <w:t>Consolidación proporcional: Métodos de contabilización que en los estados de cada participante se incluye su porción de activos, pasivos, gastos e ingresos de la entidad controlada.</w:t>
      </w:r>
    </w:p>
    <w:p w:rsidR="00E53599" w:rsidRDefault="000E5F19" w:rsidP="00B464C6">
      <w:pPr>
        <w:spacing w:line="360" w:lineRule="auto"/>
        <w:jc w:val="both"/>
        <w:rPr>
          <w:rFonts w:ascii="Arial Narrow" w:hAnsi="Arial Narrow"/>
          <w:bCs/>
          <w:sz w:val="24"/>
          <w:szCs w:val="24"/>
        </w:rPr>
      </w:pPr>
      <w:r>
        <w:rPr>
          <w:rFonts w:ascii="Arial Narrow" w:hAnsi="Arial Narrow"/>
          <w:bCs/>
          <w:sz w:val="24"/>
          <w:szCs w:val="24"/>
        </w:rPr>
        <w:t>Estados financieros separados: Son estados financieros de un inversionista, en su asociada  en la que contabilizan a partir de las cantidades directamente invertidas y no en función de los resultados de los beneficios del activo.</w:t>
      </w:r>
    </w:p>
    <w:p w:rsidR="000E5F19" w:rsidRDefault="000E5F19" w:rsidP="00B464C6">
      <w:pPr>
        <w:spacing w:line="360" w:lineRule="auto"/>
        <w:jc w:val="both"/>
        <w:rPr>
          <w:rFonts w:ascii="Arial Narrow" w:hAnsi="Arial Narrow"/>
          <w:bCs/>
          <w:sz w:val="24"/>
          <w:szCs w:val="24"/>
        </w:rPr>
      </w:pPr>
      <w:r>
        <w:rPr>
          <w:rFonts w:ascii="Arial Narrow" w:hAnsi="Arial Narrow"/>
          <w:bCs/>
          <w:sz w:val="24"/>
          <w:szCs w:val="24"/>
        </w:rPr>
        <w:lastRenderedPageBreak/>
        <w:t>Influencia significativa: Poder de invertir en las decisiones de política financiera y de operación de la participada, sin llegar a tener el control absoluto ni el control conjunto de la misma.</w:t>
      </w:r>
    </w:p>
    <w:p w:rsidR="000E5F19" w:rsidRDefault="000E5F19" w:rsidP="00B464C6">
      <w:pPr>
        <w:spacing w:line="360" w:lineRule="auto"/>
        <w:jc w:val="both"/>
        <w:rPr>
          <w:rFonts w:ascii="Arial Narrow" w:hAnsi="Arial Narrow"/>
          <w:bCs/>
          <w:sz w:val="24"/>
          <w:szCs w:val="24"/>
        </w:rPr>
      </w:pPr>
      <w:r>
        <w:rPr>
          <w:rFonts w:ascii="Arial Narrow" w:hAnsi="Arial Narrow"/>
          <w:bCs/>
          <w:sz w:val="24"/>
          <w:szCs w:val="24"/>
        </w:rPr>
        <w:t>Inversionista en un negocio conjunto: Es una parte implicada en el negocio conjunto que no toma parte en el control conjunto sobre el mismo.</w:t>
      </w:r>
    </w:p>
    <w:p w:rsidR="000E5F19" w:rsidRPr="00B464C6" w:rsidRDefault="000E5F19" w:rsidP="00B464C6">
      <w:pPr>
        <w:spacing w:line="360" w:lineRule="auto"/>
        <w:jc w:val="both"/>
        <w:rPr>
          <w:rFonts w:ascii="Arial Narrow" w:hAnsi="Arial Narrow"/>
          <w:b/>
          <w:bCs/>
          <w:sz w:val="24"/>
          <w:szCs w:val="24"/>
        </w:rPr>
      </w:pPr>
      <w:r w:rsidRPr="00B464C6">
        <w:rPr>
          <w:rFonts w:ascii="Arial Narrow" w:hAnsi="Arial Narrow"/>
          <w:bCs/>
          <w:sz w:val="24"/>
          <w:szCs w:val="24"/>
        </w:rPr>
        <w:t xml:space="preserve">Método de la participación: Es un método de contabilización según </w:t>
      </w:r>
      <w:r w:rsidR="005720FF" w:rsidRPr="00B464C6">
        <w:rPr>
          <w:rFonts w:ascii="Arial Narrow" w:hAnsi="Arial Narrow"/>
          <w:bCs/>
          <w:sz w:val="24"/>
          <w:szCs w:val="24"/>
        </w:rPr>
        <w:t>el</w:t>
      </w:r>
      <w:r w:rsidRPr="00B464C6">
        <w:rPr>
          <w:rFonts w:ascii="Arial Narrow" w:hAnsi="Arial Narrow"/>
          <w:bCs/>
          <w:sz w:val="24"/>
          <w:szCs w:val="24"/>
        </w:rPr>
        <w:t xml:space="preserve"> cual se registra inicialmente al coste y es ajustada posteriormente en función de los cambios que experimenta</w:t>
      </w:r>
    </w:p>
    <w:p w:rsidR="008A4F02" w:rsidRPr="00B464C6" w:rsidRDefault="00DB607F" w:rsidP="00B464C6">
      <w:pPr>
        <w:spacing w:line="360" w:lineRule="auto"/>
        <w:jc w:val="both"/>
        <w:rPr>
          <w:rFonts w:ascii="Arial Narrow" w:hAnsi="Arial Narrow"/>
          <w:bCs/>
          <w:iCs/>
          <w:color w:val="000000"/>
          <w:sz w:val="24"/>
          <w:szCs w:val="24"/>
        </w:rPr>
      </w:pPr>
      <w:r w:rsidRPr="00B464C6">
        <w:rPr>
          <w:rFonts w:ascii="Arial Narrow" w:hAnsi="Arial Narrow"/>
          <w:bCs/>
          <w:iCs/>
          <w:color w:val="000000"/>
          <w:sz w:val="24"/>
          <w:szCs w:val="24"/>
        </w:rPr>
        <w:t>Un negocio conjunto es un acuerdo contractual en virtud del cual dos o más partícipes emprenden una actividad económica que se somete a control conjunto.</w:t>
      </w:r>
    </w:p>
    <w:p w:rsidR="00DB607F" w:rsidRPr="00B464C6" w:rsidRDefault="00B464C6" w:rsidP="00B464C6">
      <w:pPr>
        <w:spacing w:line="360" w:lineRule="auto"/>
        <w:jc w:val="both"/>
        <w:rPr>
          <w:rFonts w:ascii="Arial Narrow" w:hAnsi="Arial Narrow"/>
          <w:bCs/>
          <w:sz w:val="24"/>
          <w:szCs w:val="24"/>
        </w:rPr>
      </w:pPr>
      <w:r w:rsidRPr="00B464C6">
        <w:rPr>
          <w:rFonts w:ascii="Arial Narrow" w:hAnsi="Arial Narrow"/>
          <w:bCs/>
          <w:iCs/>
          <w:color w:val="000000"/>
          <w:sz w:val="24"/>
          <w:szCs w:val="24"/>
        </w:rPr>
        <w:t xml:space="preserve">Participante: Es </w:t>
      </w:r>
      <w:r w:rsidR="00DB607F" w:rsidRPr="00B464C6">
        <w:rPr>
          <w:rFonts w:ascii="Arial Narrow" w:hAnsi="Arial Narrow"/>
          <w:bCs/>
          <w:iCs/>
          <w:color w:val="000000"/>
          <w:sz w:val="24"/>
          <w:szCs w:val="24"/>
        </w:rPr>
        <w:t>una de las partes implicadas en un negocio conjunto que tiene control conjunto sobre el mismo.</w:t>
      </w:r>
    </w:p>
    <w:p w:rsidR="008A4F02" w:rsidRPr="00B464C6" w:rsidRDefault="00C629B9" w:rsidP="00B464C6">
      <w:pPr>
        <w:spacing w:line="360" w:lineRule="auto"/>
        <w:jc w:val="both"/>
        <w:rPr>
          <w:rFonts w:ascii="Arial Narrow" w:hAnsi="Arial Narrow"/>
          <w:bCs/>
          <w:sz w:val="24"/>
          <w:szCs w:val="24"/>
        </w:rPr>
      </w:pPr>
      <w:r>
        <w:rPr>
          <w:rFonts w:ascii="Arial Narrow" w:hAnsi="Arial Narrow"/>
          <w:bCs/>
          <w:noProof/>
          <w:sz w:val="24"/>
          <w:szCs w:val="24"/>
        </w:rPr>
        <w:drawing>
          <wp:anchor distT="0" distB="0" distL="114300" distR="114300" simplePos="0" relativeHeight="251676672" behindDoc="0" locked="0" layoutInCell="1" allowOverlap="1" wp14:anchorId="5BDE656A" wp14:editId="7DE56A1F">
            <wp:simplePos x="0" y="0"/>
            <wp:positionH relativeFrom="margin">
              <wp:posOffset>-635</wp:posOffset>
            </wp:positionH>
            <wp:positionV relativeFrom="margin">
              <wp:posOffset>2691130</wp:posOffset>
            </wp:positionV>
            <wp:extent cx="2129790" cy="1958340"/>
            <wp:effectExtent l="76200" t="76200" r="137160" b="13716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tadosFinancieros.jpg"/>
                    <pic:cNvPicPr/>
                  </pic:nvPicPr>
                  <pic:blipFill>
                    <a:blip r:embed="rId18">
                      <a:extLst>
                        <a:ext uri="{28A0092B-C50C-407E-A947-70E740481C1C}">
                          <a14:useLocalDpi xmlns:a14="http://schemas.microsoft.com/office/drawing/2010/main" val="0"/>
                        </a:ext>
                      </a:extLst>
                    </a:blip>
                    <a:stretch>
                      <a:fillRect/>
                    </a:stretch>
                  </pic:blipFill>
                  <pic:spPr>
                    <a:xfrm>
                      <a:off x="0" y="0"/>
                      <a:ext cx="2129790" cy="1958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464C6" w:rsidRPr="00B464C6">
        <w:rPr>
          <w:rFonts w:ascii="Arial Narrow" w:hAnsi="Arial Narrow"/>
          <w:bCs/>
          <w:sz w:val="24"/>
          <w:szCs w:val="24"/>
        </w:rPr>
        <w:t>Los estados financieros separados</w:t>
      </w:r>
      <w:r w:rsidR="00B464C6">
        <w:rPr>
          <w:rFonts w:ascii="Arial Narrow" w:hAnsi="Arial Narrow"/>
          <w:bCs/>
          <w:sz w:val="24"/>
          <w:szCs w:val="24"/>
        </w:rPr>
        <w:t xml:space="preserve"> llevan consigo estados financieros adicionales a los estados financieros consolidados y se deben de contabilizar utilizando el método de participación, los estados financieros en los participantes en los negocios conjuntos se consolidan proporcionalmente.</w:t>
      </w:r>
    </w:p>
    <w:p w:rsidR="008A4F02" w:rsidRPr="00B50AC0" w:rsidRDefault="00B464C6" w:rsidP="00B50AC0">
      <w:pPr>
        <w:spacing w:line="360" w:lineRule="auto"/>
        <w:jc w:val="both"/>
        <w:rPr>
          <w:rFonts w:ascii="Arial Narrow" w:hAnsi="Arial Narrow"/>
          <w:bCs/>
          <w:sz w:val="24"/>
          <w:szCs w:val="24"/>
        </w:rPr>
      </w:pPr>
      <w:r>
        <w:rPr>
          <w:rFonts w:ascii="Arial Narrow" w:hAnsi="Arial Narrow"/>
          <w:bCs/>
          <w:sz w:val="24"/>
          <w:szCs w:val="24"/>
        </w:rPr>
        <w:t>Se consideran estados financieros separados aquellos en los que se presenta con los estados financieros consolidados (se presentan adicionalmente), a los estados financieros en los que las inversiones se contabilizan utilizando en método de participación, los estados financieros en que las participaciones en los negocios conjuntos que se consolidan en forma proporcional.</w:t>
      </w:r>
    </w:p>
    <w:p w:rsidR="008A4F02" w:rsidRPr="00B50AC0" w:rsidRDefault="00B50AC0" w:rsidP="00B50AC0">
      <w:pPr>
        <w:spacing w:line="360" w:lineRule="auto"/>
        <w:jc w:val="both"/>
        <w:rPr>
          <w:rFonts w:ascii="Arial Narrow" w:hAnsi="Arial Narrow"/>
          <w:bCs/>
          <w:sz w:val="24"/>
          <w:szCs w:val="24"/>
        </w:rPr>
      </w:pPr>
      <w:r w:rsidRPr="00B50AC0">
        <w:rPr>
          <w:rFonts w:ascii="Arial Narrow" w:hAnsi="Arial Narrow"/>
          <w:bCs/>
          <w:sz w:val="24"/>
          <w:szCs w:val="24"/>
        </w:rPr>
        <w:t>Negocios conjuntos</w:t>
      </w:r>
      <w:r>
        <w:rPr>
          <w:rFonts w:ascii="Arial Narrow" w:hAnsi="Arial Narrow"/>
          <w:bCs/>
          <w:sz w:val="24"/>
          <w:szCs w:val="24"/>
        </w:rPr>
        <w:t>:</w:t>
      </w:r>
    </w:p>
    <w:p w:rsidR="00B50AC0" w:rsidRPr="00B50AC0" w:rsidRDefault="00B50AC0" w:rsidP="00B50AC0">
      <w:pPr>
        <w:spacing w:line="240" w:lineRule="auto"/>
        <w:jc w:val="both"/>
        <w:rPr>
          <w:rFonts w:ascii="Arial Narrow" w:hAnsi="Arial Narrow"/>
          <w:bCs/>
        </w:rPr>
      </w:pPr>
      <w:r>
        <w:rPr>
          <w:rFonts w:ascii="Arial Narrow" w:hAnsi="Arial Narrow"/>
          <w:bCs/>
          <w:noProof/>
          <w:sz w:val="24"/>
          <w:szCs w:val="24"/>
        </w:rPr>
        <mc:AlternateContent>
          <mc:Choice Requires="wps">
            <w:drawing>
              <wp:anchor distT="0" distB="0" distL="114300" distR="114300" simplePos="0" relativeHeight="251674624" behindDoc="0" locked="0" layoutInCell="1" allowOverlap="1" wp14:anchorId="26B15B14" wp14:editId="7CFFD3CC">
                <wp:simplePos x="0" y="0"/>
                <wp:positionH relativeFrom="column">
                  <wp:posOffset>3258766</wp:posOffset>
                </wp:positionH>
                <wp:positionV relativeFrom="paragraph">
                  <wp:posOffset>9796</wp:posOffset>
                </wp:positionV>
                <wp:extent cx="45719" cy="778213"/>
                <wp:effectExtent l="0" t="0" r="31115" b="22225"/>
                <wp:wrapNone/>
                <wp:docPr id="14" name="Cerrar llave 14"/>
                <wp:cNvGraphicFramePr/>
                <a:graphic xmlns:a="http://schemas.openxmlformats.org/drawingml/2006/main">
                  <a:graphicData uri="http://schemas.microsoft.com/office/word/2010/wordprocessingShape">
                    <wps:wsp>
                      <wps:cNvSpPr/>
                      <wps:spPr>
                        <a:xfrm>
                          <a:off x="0" y="0"/>
                          <a:ext cx="45719" cy="778213"/>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AB85DC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4" o:spid="_x0000_s1026" type="#_x0000_t88" style="position:absolute;margin-left:256.6pt;margin-top:.75pt;width:3.6pt;height:61.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" adj="106" strokecolor="#5b9bd5 [3204]" strokeweight=".5pt">
                <v:stroke joinstyle="miter"/>
              </v:shape>
            </w:pict>
          </mc:Fallback>
        </mc:AlternateContent>
      </w:r>
      <w:r>
        <w:rPr>
          <w:rFonts w:ascii="Arial Narrow" w:hAnsi="Arial Narrow"/>
          <w:bCs/>
          <w:noProof/>
          <w:sz w:val="24"/>
          <w:szCs w:val="24"/>
        </w:rPr>
        <mc:AlternateContent>
          <mc:Choice Requires="wps">
            <w:drawing>
              <wp:anchor distT="0" distB="0" distL="114300" distR="114300" simplePos="0" relativeHeight="251672576" behindDoc="0" locked="0" layoutInCell="1" allowOverlap="1" wp14:anchorId="0D4E4EDD" wp14:editId="10343434">
                <wp:simplePos x="0" y="0"/>
                <wp:positionH relativeFrom="column">
                  <wp:posOffset>826486</wp:posOffset>
                </wp:positionH>
                <wp:positionV relativeFrom="paragraph">
                  <wp:posOffset>35668</wp:posOffset>
                </wp:positionV>
                <wp:extent cx="45719" cy="778213"/>
                <wp:effectExtent l="0" t="0" r="31115" b="22225"/>
                <wp:wrapNone/>
                <wp:docPr id="12" name="Cerrar llave 12"/>
                <wp:cNvGraphicFramePr/>
                <a:graphic xmlns:a="http://schemas.openxmlformats.org/drawingml/2006/main">
                  <a:graphicData uri="http://schemas.microsoft.com/office/word/2010/wordprocessingShape">
                    <wps:wsp>
                      <wps:cNvSpPr/>
                      <wps:spPr>
                        <a:xfrm>
                          <a:off x="0" y="0"/>
                          <a:ext cx="45719" cy="778213"/>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F8F699" id="Cerrar llave 12" o:spid="_x0000_s1026" type="#_x0000_t88" style="position:absolute;margin-left:65.1pt;margin-top:2.8pt;width:3.6pt;height:61.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" adj="106" strokecolor="#5b9bd5 [3204]" strokeweight=".5pt">
                <v:stroke joinstyle="miter"/>
              </v:shape>
            </w:pict>
          </mc:Fallback>
        </mc:AlternateContent>
      </w:r>
      <w:r w:rsidRPr="00B50AC0">
        <w:rPr>
          <w:rFonts w:ascii="Arial Narrow" w:hAnsi="Arial Narrow"/>
          <w:bCs/>
          <w:sz w:val="24"/>
          <w:szCs w:val="24"/>
        </w:rPr>
        <w:t>O</w:t>
      </w:r>
      <w:r w:rsidRPr="00B50AC0">
        <w:rPr>
          <w:rFonts w:ascii="Arial Narrow" w:hAnsi="Arial Narrow"/>
          <w:bCs/>
        </w:rPr>
        <w:t>peraciones</w:t>
      </w:r>
    </w:p>
    <w:p w:rsidR="00B50AC0" w:rsidRPr="00B50AC0" w:rsidRDefault="00B50AC0" w:rsidP="00B50AC0">
      <w:pPr>
        <w:tabs>
          <w:tab w:val="left" w:pos="2007"/>
          <w:tab w:val="left" w:pos="5683"/>
        </w:tabs>
        <w:spacing w:line="240" w:lineRule="auto"/>
        <w:jc w:val="both"/>
        <w:rPr>
          <w:rFonts w:ascii="Arial Narrow" w:hAnsi="Arial Narrow"/>
          <w:bCs/>
        </w:rPr>
      </w:pPr>
      <w:r w:rsidRPr="00B50AC0">
        <w:rPr>
          <w:rFonts w:ascii="Arial Narrow" w:hAnsi="Arial Narrow"/>
          <w:bCs/>
        </w:rPr>
        <w:t>Activos</w:t>
      </w:r>
      <w:r w:rsidRPr="00B50AC0">
        <w:rPr>
          <w:rFonts w:ascii="Arial Narrow" w:hAnsi="Arial Narrow"/>
          <w:bCs/>
        </w:rPr>
        <w:tab/>
        <w:t xml:space="preserve">Controlados en forma conjunta                      - Arreglo contractual y control </w:t>
      </w:r>
      <w:r>
        <w:rPr>
          <w:rFonts w:ascii="Arial Narrow" w:hAnsi="Arial Narrow"/>
          <w:bCs/>
        </w:rPr>
        <w:t>conjunt</w:t>
      </w:r>
      <w:r w:rsidRPr="00B50AC0">
        <w:rPr>
          <w:rFonts w:ascii="Arial Narrow" w:hAnsi="Arial Narrow"/>
          <w:bCs/>
        </w:rPr>
        <w:t>o</w:t>
      </w:r>
    </w:p>
    <w:p w:rsidR="00B50AC0" w:rsidRPr="00B50AC0" w:rsidRDefault="00B50AC0" w:rsidP="00B50AC0">
      <w:pPr>
        <w:spacing w:line="240" w:lineRule="auto"/>
        <w:jc w:val="both"/>
        <w:rPr>
          <w:rFonts w:ascii="Arial Narrow" w:hAnsi="Arial Narrow"/>
          <w:bCs/>
        </w:rPr>
      </w:pPr>
      <w:r w:rsidRPr="00B50AC0">
        <w:rPr>
          <w:rFonts w:ascii="Arial Narrow" w:hAnsi="Arial Narrow"/>
          <w:bCs/>
        </w:rPr>
        <w:t>Entidades</w:t>
      </w:r>
    </w:p>
    <w:p w:rsidR="005556FB" w:rsidRDefault="00BF2458" w:rsidP="006449BC">
      <w:pPr>
        <w:spacing w:line="360" w:lineRule="auto"/>
        <w:jc w:val="both"/>
        <w:rPr>
          <w:rFonts w:ascii="Arial Narrow" w:hAnsi="Arial Narrow"/>
          <w:bCs/>
          <w:sz w:val="24"/>
          <w:szCs w:val="24"/>
        </w:rPr>
      </w:pPr>
      <w:r>
        <w:rPr>
          <w:rFonts w:ascii="Arial Narrow" w:hAnsi="Arial Narrow"/>
          <w:bCs/>
          <w:sz w:val="24"/>
          <w:szCs w:val="24"/>
        </w:rPr>
        <w:lastRenderedPageBreak/>
        <w:t>Las formas de negocios conjuntos</w:t>
      </w:r>
      <w:r w:rsidR="003B03E8">
        <w:rPr>
          <w:rFonts w:ascii="Arial Narrow" w:hAnsi="Arial Narrow"/>
          <w:bCs/>
          <w:sz w:val="24"/>
          <w:szCs w:val="24"/>
        </w:rPr>
        <w:t xml:space="preserve"> son las operaciones controladas de forma conjunta, activos controlados de forma conjunta, entidades controladas de forma conjunta.</w:t>
      </w:r>
    </w:p>
    <w:p w:rsidR="003B03E8" w:rsidRDefault="003B03E8" w:rsidP="006449BC">
      <w:pPr>
        <w:spacing w:line="360" w:lineRule="auto"/>
        <w:jc w:val="both"/>
        <w:rPr>
          <w:rFonts w:ascii="Arial Narrow" w:hAnsi="Arial Narrow"/>
          <w:bCs/>
          <w:sz w:val="24"/>
          <w:szCs w:val="24"/>
        </w:rPr>
      </w:pPr>
      <w:r>
        <w:rPr>
          <w:rFonts w:ascii="Arial Narrow" w:hAnsi="Arial Narrow"/>
          <w:bCs/>
          <w:sz w:val="24"/>
          <w:szCs w:val="24"/>
        </w:rPr>
        <w:t>Las características comunes es que tienen dos o más participantes ligados por un acuerdo contractual o el acuerdo contractual establecen la existencia del control conjunto. Los casos en que no se da el control conjunto es cuando se encuentra en un proceso concursal o de reorganización legal, o bien cuando opere bajo importantes restricciones a largo plazo que coinciden su capacidad para transferir fondos al participante.</w:t>
      </w:r>
    </w:p>
    <w:p w:rsidR="003B03E8" w:rsidRDefault="00E53599" w:rsidP="006449BC">
      <w:pPr>
        <w:spacing w:line="360" w:lineRule="auto"/>
        <w:jc w:val="both"/>
        <w:rPr>
          <w:rFonts w:ascii="Arial Narrow" w:hAnsi="Arial Narrow"/>
          <w:bCs/>
          <w:sz w:val="24"/>
          <w:szCs w:val="24"/>
        </w:rPr>
      </w:pPr>
      <w:r>
        <w:rPr>
          <w:rFonts w:ascii="Arial Narrow" w:hAnsi="Arial Narrow"/>
          <w:bCs/>
          <w:noProof/>
          <w:sz w:val="24"/>
          <w:szCs w:val="24"/>
        </w:rPr>
        <w:drawing>
          <wp:anchor distT="0" distB="0" distL="114300" distR="114300" simplePos="0" relativeHeight="251677696" behindDoc="0" locked="0" layoutInCell="1" allowOverlap="1" wp14:anchorId="477232D7" wp14:editId="031549A9">
            <wp:simplePos x="0" y="0"/>
            <wp:positionH relativeFrom="margin">
              <wp:align>right</wp:align>
            </wp:positionH>
            <wp:positionV relativeFrom="margin">
              <wp:posOffset>2199005</wp:posOffset>
            </wp:positionV>
            <wp:extent cx="2119630" cy="1090295"/>
            <wp:effectExtent l="76200" t="76200" r="128270" b="12890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rato_articul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19630" cy="1090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3B03E8">
        <w:rPr>
          <w:rFonts w:ascii="Arial Narrow" w:hAnsi="Arial Narrow"/>
          <w:bCs/>
          <w:sz w:val="24"/>
          <w:szCs w:val="24"/>
        </w:rPr>
        <w:t>Acuerdo contractual: No son negocios conjuntos las actividades que no cuenten con un acuerdo contractual donde se establezcan ese control conjunto y se distinguen las que implican control conjunto de las actividades de inversiones asociadas denominada “influencia significativa”</w:t>
      </w:r>
      <w:r w:rsidR="006449BC">
        <w:rPr>
          <w:rFonts w:ascii="Arial Narrow" w:hAnsi="Arial Narrow"/>
          <w:bCs/>
          <w:sz w:val="24"/>
          <w:szCs w:val="24"/>
        </w:rPr>
        <w:t>.</w:t>
      </w:r>
    </w:p>
    <w:p w:rsidR="006449BC" w:rsidRDefault="006449BC" w:rsidP="006449BC">
      <w:pPr>
        <w:spacing w:line="360" w:lineRule="auto"/>
        <w:jc w:val="both"/>
        <w:rPr>
          <w:rFonts w:ascii="Arial Narrow" w:hAnsi="Arial Narrow"/>
          <w:bCs/>
          <w:sz w:val="24"/>
          <w:szCs w:val="24"/>
        </w:rPr>
      </w:pPr>
      <w:r>
        <w:rPr>
          <w:rFonts w:ascii="Arial Narrow" w:hAnsi="Arial Narrow"/>
          <w:bCs/>
          <w:sz w:val="24"/>
          <w:szCs w:val="24"/>
        </w:rPr>
        <w:t>Un acuerdo contractual y la necesidad de formalizarlo por escrito pueden manifestarse mediante un contrato entre los participantes o mediante las actas de las reuniones mantenidas entre ellos, ningún participante por si solo está en posición de controlar la actividad desarrollada.</w:t>
      </w:r>
    </w:p>
    <w:p w:rsidR="006449BC" w:rsidRDefault="00200BBD" w:rsidP="003B03E8">
      <w:pPr>
        <w:spacing w:line="360" w:lineRule="auto"/>
        <w:jc w:val="both"/>
        <w:rPr>
          <w:rFonts w:ascii="Arial Narrow" w:hAnsi="Arial Narrow"/>
          <w:bCs/>
          <w:sz w:val="24"/>
          <w:szCs w:val="24"/>
        </w:rPr>
      </w:pPr>
      <w:r>
        <w:rPr>
          <w:rFonts w:ascii="Arial Narrow" w:hAnsi="Arial Narrow"/>
          <w:bCs/>
          <w:sz w:val="24"/>
          <w:szCs w:val="24"/>
        </w:rPr>
        <w:t>Basándonos en el hecho de que un arreglo contractual pueden estar incorporados en artículos y otros reglamentos como la actividad, duración y obligaciones, nombramiento del director y derechos a voto, la contribución de los socios en el capital, el reparto entre los participantes, de los ingresos y gastos. Y ningún participante por si solo está en posición de controlar la actividad desarrollada.</w:t>
      </w:r>
    </w:p>
    <w:p w:rsidR="00C629B9" w:rsidRDefault="00200BBD" w:rsidP="003B03E8">
      <w:pPr>
        <w:spacing w:line="360" w:lineRule="auto"/>
        <w:jc w:val="both"/>
        <w:rPr>
          <w:rFonts w:ascii="Arial Narrow" w:hAnsi="Arial Narrow"/>
          <w:bCs/>
          <w:sz w:val="24"/>
          <w:szCs w:val="24"/>
        </w:rPr>
      </w:pPr>
      <w:r>
        <w:rPr>
          <w:rFonts w:ascii="Arial Narrow" w:hAnsi="Arial Narrow"/>
          <w:bCs/>
          <w:sz w:val="24"/>
          <w:szCs w:val="24"/>
        </w:rPr>
        <w:t>La obligación radica en los gerentes y en las diferentes asignaciones así como también del administrador ya que se puede designar a uno de los participantes a este deben fijársele políticas del negocio mediante un acuerdo contractual. Si hablamos de un participante se tendría que colocar en un acuerdo de políticas financieras y de operación del negocio, si es mediante un gerente a administrador debe de recibirse y aplicar políticas financieras y de operación, si el gerente determina sus políticas pierde su carácter de negocio conjunto.</w:t>
      </w:r>
    </w:p>
    <w:p w:rsidR="00A91291" w:rsidRDefault="00A91291" w:rsidP="003B03E8">
      <w:pPr>
        <w:spacing w:line="360" w:lineRule="auto"/>
        <w:jc w:val="both"/>
        <w:rPr>
          <w:rFonts w:ascii="Arial Narrow" w:hAnsi="Arial Narrow"/>
          <w:bCs/>
          <w:sz w:val="24"/>
          <w:szCs w:val="24"/>
        </w:rPr>
      </w:pPr>
      <w:r>
        <w:rPr>
          <w:rFonts w:ascii="Arial Narrow" w:hAnsi="Arial Narrow"/>
          <w:bCs/>
          <w:sz w:val="24"/>
          <w:szCs w:val="24"/>
        </w:rPr>
        <w:lastRenderedPageBreak/>
        <w:t>La ope</w:t>
      </w:r>
      <w:r w:rsidR="00B83614">
        <w:rPr>
          <w:rFonts w:ascii="Arial Narrow" w:hAnsi="Arial Narrow"/>
          <w:bCs/>
          <w:sz w:val="24"/>
          <w:szCs w:val="24"/>
        </w:rPr>
        <w:t>ratividad de un negocio conjunto, como ejemplo: puede ser la construcción de una aeronave:</w:t>
      </w:r>
    </w:p>
    <w:p w:rsidR="00B83614" w:rsidRDefault="00B83614" w:rsidP="00B83614">
      <w:pPr>
        <w:pStyle w:val="Prrafodelista"/>
        <w:numPr>
          <w:ilvl w:val="0"/>
          <w:numId w:val="3"/>
        </w:numPr>
        <w:spacing w:line="360" w:lineRule="auto"/>
        <w:jc w:val="both"/>
        <w:rPr>
          <w:rFonts w:ascii="Arial Narrow" w:hAnsi="Arial Narrow"/>
          <w:bCs/>
          <w:sz w:val="24"/>
          <w:szCs w:val="24"/>
        </w:rPr>
      </w:pPr>
      <w:r>
        <w:rPr>
          <w:rFonts w:ascii="Arial Narrow" w:hAnsi="Arial Narrow"/>
          <w:bCs/>
          <w:sz w:val="24"/>
          <w:szCs w:val="24"/>
        </w:rPr>
        <w:t>Cada participante llevara una fase distinta del proceso de fabricación.</w:t>
      </w:r>
    </w:p>
    <w:p w:rsidR="00C629B9" w:rsidRPr="00E53599" w:rsidRDefault="00B83614" w:rsidP="00B83614">
      <w:pPr>
        <w:pStyle w:val="Prrafodelista"/>
        <w:numPr>
          <w:ilvl w:val="0"/>
          <w:numId w:val="3"/>
        </w:numPr>
        <w:spacing w:line="360" w:lineRule="auto"/>
        <w:jc w:val="both"/>
        <w:rPr>
          <w:rFonts w:ascii="Arial Narrow" w:hAnsi="Arial Narrow"/>
          <w:bCs/>
          <w:sz w:val="24"/>
          <w:szCs w:val="24"/>
        </w:rPr>
      </w:pPr>
      <w:r>
        <w:rPr>
          <w:rFonts w:ascii="Arial Narrow" w:hAnsi="Arial Narrow"/>
          <w:bCs/>
          <w:sz w:val="24"/>
          <w:szCs w:val="24"/>
        </w:rPr>
        <w:t>Soportara sus propios costos y obtendrá una parte de los ingresos ordinarios.</w:t>
      </w:r>
    </w:p>
    <w:p w:rsidR="00B83614" w:rsidRPr="00B83614" w:rsidRDefault="00B83614" w:rsidP="00B83614">
      <w:pPr>
        <w:spacing w:line="360" w:lineRule="auto"/>
        <w:jc w:val="both"/>
        <w:rPr>
          <w:rFonts w:ascii="Arial Narrow" w:hAnsi="Arial Narrow"/>
          <w:bCs/>
          <w:sz w:val="24"/>
          <w:szCs w:val="24"/>
        </w:rPr>
      </w:pPr>
      <w:r>
        <w:rPr>
          <w:rFonts w:ascii="Arial Narrow" w:hAnsi="Arial Narrow"/>
          <w:bCs/>
          <w:sz w:val="24"/>
          <w:szCs w:val="24"/>
        </w:rPr>
        <w:t>Siendo así una estructura financiera separada donde suponiendo que existen dos participantes asignaremos las tareas de “participante A”, usar sus propios activos fijos, sus inventarios, incurren en sus propios gastos y pasivos, obtiene su propio financiamiento, y el “participante B” usa sus propios activos fijos, sus propios inventarios, incurre en sus propios gastos y pasivos, obtiene sus propios financiamiento pero ambos deben generar ingresos por la venta de productos ingresos-gastos en compartido.</w:t>
      </w:r>
      <w:r w:rsidR="001362A3">
        <w:rPr>
          <w:rFonts w:ascii="Arial Narrow" w:hAnsi="Arial Narrow"/>
          <w:bCs/>
          <w:sz w:val="24"/>
          <w:szCs w:val="24"/>
        </w:rPr>
        <w:t xml:space="preserve"> </w:t>
      </w:r>
      <w:r>
        <w:rPr>
          <w:rFonts w:ascii="Arial Narrow" w:hAnsi="Arial Narrow"/>
          <w:bCs/>
          <w:sz w:val="24"/>
          <w:szCs w:val="24"/>
        </w:rPr>
        <w:t>Los elementos de los estados financieros de cada participante son: los activos que están bajo su control, pasivo en los que ha incurrido, gastos que ha incurrido, ingresos obtenidos de la venta de los bienes. Sus registros contables podría no ser necesario llevar registros, no obstante se podrían elaborar informes.</w:t>
      </w:r>
    </w:p>
    <w:p w:rsidR="00200BBD" w:rsidRDefault="00860652" w:rsidP="00860652">
      <w:pPr>
        <w:spacing w:line="360" w:lineRule="auto"/>
        <w:jc w:val="both"/>
        <w:rPr>
          <w:rFonts w:ascii="Arial Narrow" w:hAnsi="Arial Narrow"/>
          <w:bCs/>
          <w:sz w:val="24"/>
          <w:szCs w:val="24"/>
        </w:rPr>
      </w:pPr>
      <w:r>
        <w:rPr>
          <w:rFonts w:ascii="Arial Narrow" w:hAnsi="Arial Narrow"/>
          <w:bCs/>
          <w:sz w:val="24"/>
          <w:szCs w:val="24"/>
        </w:rPr>
        <w:t>Los activos controlados de forma conjunta</w:t>
      </w:r>
    </w:p>
    <w:p w:rsidR="00860652" w:rsidRDefault="00860652" w:rsidP="00860652">
      <w:pPr>
        <w:spacing w:line="360" w:lineRule="auto"/>
        <w:jc w:val="both"/>
        <w:rPr>
          <w:rFonts w:ascii="Arial Narrow" w:hAnsi="Arial Narrow"/>
          <w:bCs/>
          <w:sz w:val="24"/>
          <w:szCs w:val="24"/>
        </w:rPr>
      </w:pPr>
      <w:r>
        <w:rPr>
          <w:rFonts w:ascii="Arial Narrow" w:hAnsi="Arial Narrow"/>
          <w:bCs/>
          <w:sz w:val="24"/>
          <w:szCs w:val="24"/>
        </w:rPr>
        <w:t>El control conjunto de un activo: El activo puede ser aportado o comprado, cada participante usa el activo, cada participante toma parte de la producción, cada participante asume la porción de gastos.</w:t>
      </w:r>
    </w:p>
    <w:p w:rsidR="00860652" w:rsidRPr="00EA49B9" w:rsidRDefault="00860652" w:rsidP="00EA49B9">
      <w:pPr>
        <w:spacing w:line="360" w:lineRule="auto"/>
        <w:jc w:val="both"/>
        <w:rPr>
          <w:rFonts w:ascii="Arial Narrow" w:hAnsi="Arial Narrow"/>
          <w:bCs/>
          <w:sz w:val="24"/>
          <w:szCs w:val="24"/>
        </w:rPr>
      </w:pPr>
      <w:r>
        <w:rPr>
          <w:rFonts w:ascii="Arial Narrow" w:hAnsi="Arial Narrow"/>
          <w:bCs/>
          <w:sz w:val="24"/>
          <w:szCs w:val="24"/>
        </w:rPr>
        <w:t xml:space="preserve">Las empresas que explotan recursos minerales con las de tipo caso oleoducto donde cada participante utiliza un oleoducto para transportar su propia producción y los de tipo propiedad de inversión donde </w:t>
      </w:r>
      <w:r w:rsidRPr="00EA49B9">
        <w:rPr>
          <w:rFonts w:ascii="Arial Narrow" w:hAnsi="Arial Narrow"/>
          <w:bCs/>
          <w:sz w:val="24"/>
          <w:szCs w:val="24"/>
        </w:rPr>
        <w:t>cada una de ellas obtiene una parte de los alquileres recibidos y soporta una parte de los gastos.</w:t>
      </w:r>
    </w:p>
    <w:p w:rsidR="00860652" w:rsidRPr="00EA49B9" w:rsidRDefault="00860652" w:rsidP="00EA49B9">
      <w:pPr>
        <w:spacing w:line="360" w:lineRule="auto"/>
        <w:jc w:val="both"/>
        <w:rPr>
          <w:rFonts w:ascii="Arial Narrow" w:hAnsi="Arial Narrow"/>
          <w:bCs/>
          <w:sz w:val="24"/>
          <w:szCs w:val="24"/>
        </w:rPr>
      </w:pPr>
      <w:r w:rsidRPr="00EA49B9">
        <w:rPr>
          <w:rFonts w:ascii="Arial Narrow" w:hAnsi="Arial Narrow"/>
          <w:bCs/>
          <w:sz w:val="24"/>
          <w:szCs w:val="24"/>
        </w:rPr>
        <w:t>Reconocimiento por parte de los participantes en sus estados financieros</w:t>
      </w:r>
    </w:p>
    <w:p w:rsidR="00860652" w:rsidRPr="00EA49B9" w:rsidRDefault="00860652" w:rsidP="00EA49B9">
      <w:pPr>
        <w:pStyle w:val="Prrafodelista"/>
        <w:numPr>
          <w:ilvl w:val="0"/>
          <w:numId w:val="3"/>
        </w:numPr>
        <w:spacing w:line="360" w:lineRule="auto"/>
        <w:jc w:val="both"/>
        <w:rPr>
          <w:rFonts w:ascii="Arial Narrow" w:hAnsi="Arial Narrow"/>
          <w:bCs/>
          <w:sz w:val="24"/>
          <w:szCs w:val="24"/>
        </w:rPr>
      </w:pPr>
      <w:r w:rsidRPr="00EA49B9">
        <w:rPr>
          <w:rFonts w:ascii="Arial Narrow" w:hAnsi="Arial Narrow"/>
          <w:bCs/>
          <w:sz w:val="24"/>
          <w:szCs w:val="24"/>
        </w:rPr>
        <w:t>Su porción de los activos controlados de forma conjunta.</w:t>
      </w:r>
    </w:p>
    <w:p w:rsidR="00860652" w:rsidRPr="00EA49B9" w:rsidRDefault="00860652" w:rsidP="00EA49B9">
      <w:pPr>
        <w:pStyle w:val="Prrafodelista"/>
        <w:numPr>
          <w:ilvl w:val="0"/>
          <w:numId w:val="3"/>
        </w:numPr>
        <w:spacing w:line="360" w:lineRule="auto"/>
        <w:jc w:val="both"/>
        <w:rPr>
          <w:rFonts w:ascii="Arial Narrow" w:hAnsi="Arial Narrow"/>
          <w:bCs/>
          <w:sz w:val="24"/>
          <w:szCs w:val="24"/>
        </w:rPr>
      </w:pPr>
      <w:r w:rsidRPr="00EA49B9">
        <w:rPr>
          <w:rFonts w:ascii="Arial Narrow" w:hAnsi="Arial Narrow"/>
          <w:bCs/>
          <w:sz w:val="24"/>
          <w:szCs w:val="24"/>
        </w:rPr>
        <w:t>Parte de los pasivos en los que haya incurrido.</w:t>
      </w:r>
    </w:p>
    <w:p w:rsidR="00860652" w:rsidRPr="00EA49B9" w:rsidRDefault="00860652" w:rsidP="00EA49B9">
      <w:pPr>
        <w:pStyle w:val="Prrafodelista"/>
        <w:numPr>
          <w:ilvl w:val="0"/>
          <w:numId w:val="3"/>
        </w:numPr>
        <w:spacing w:line="360" w:lineRule="auto"/>
        <w:jc w:val="both"/>
        <w:rPr>
          <w:rFonts w:ascii="Arial Narrow" w:hAnsi="Arial Narrow"/>
          <w:bCs/>
          <w:sz w:val="24"/>
          <w:szCs w:val="24"/>
        </w:rPr>
      </w:pPr>
      <w:r w:rsidRPr="00EA49B9">
        <w:rPr>
          <w:rFonts w:ascii="Arial Narrow" w:hAnsi="Arial Narrow"/>
          <w:bCs/>
          <w:iCs/>
          <w:color w:val="000000"/>
          <w:sz w:val="24"/>
          <w:szCs w:val="24"/>
        </w:rPr>
        <w:t>Parte de los pasivos en los que haya incurrido conjuntamente con los otros partícipes.</w:t>
      </w:r>
    </w:p>
    <w:p w:rsidR="00860652" w:rsidRPr="00EA49B9" w:rsidRDefault="00860652" w:rsidP="00EA49B9">
      <w:pPr>
        <w:pStyle w:val="Prrafodelista"/>
        <w:numPr>
          <w:ilvl w:val="0"/>
          <w:numId w:val="3"/>
        </w:numPr>
        <w:spacing w:line="360" w:lineRule="auto"/>
        <w:jc w:val="both"/>
        <w:rPr>
          <w:rFonts w:ascii="Arial Narrow" w:hAnsi="Arial Narrow"/>
          <w:bCs/>
          <w:sz w:val="24"/>
          <w:szCs w:val="24"/>
        </w:rPr>
      </w:pPr>
      <w:r w:rsidRPr="00EA49B9">
        <w:rPr>
          <w:rFonts w:ascii="Arial Narrow" w:hAnsi="Arial Narrow"/>
          <w:bCs/>
          <w:iCs/>
          <w:color w:val="000000"/>
          <w:sz w:val="24"/>
          <w:szCs w:val="24"/>
        </w:rPr>
        <w:t>Cualquier ingreso por la venta o uso de su parte de la producción del negocio conjunto.</w:t>
      </w:r>
    </w:p>
    <w:p w:rsidR="00860652" w:rsidRPr="00E53599" w:rsidRDefault="00860652" w:rsidP="00EA49B9">
      <w:pPr>
        <w:pStyle w:val="Prrafodelista"/>
        <w:numPr>
          <w:ilvl w:val="0"/>
          <w:numId w:val="3"/>
        </w:numPr>
        <w:autoSpaceDE w:val="0"/>
        <w:autoSpaceDN w:val="0"/>
        <w:adjustRightInd w:val="0"/>
        <w:spacing w:after="120" w:line="360" w:lineRule="auto"/>
        <w:jc w:val="both"/>
        <w:rPr>
          <w:rFonts w:ascii="Arial Narrow" w:eastAsiaTheme="minorHAnsi" w:hAnsi="Arial Narrow" w:cs="Times New Roman"/>
          <w:color w:val="000000"/>
          <w:sz w:val="24"/>
          <w:szCs w:val="24"/>
          <w:lang w:val="es-SV" w:eastAsia="en-US"/>
        </w:rPr>
      </w:pPr>
      <w:r w:rsidRPr="00EA49B9">
        <w:rPr>
          <w:rFonts w:ascii="Arial Narrow" w:eastAsiaTheme="minorHAnsi" w:hAnsi="Arial Narrow" w:cs="Times New Roman"/>
          <w:bCs/>
          <w:iCs/>
          <w:color w:val="000000"/>
          <w:sz w:val="24"/>
          <w:szCs w:val="24"/>
          <w:lang w:val="es-SV" w:eastAsia="en-US"/>
        </w:rPr>
        <w:t xml:space="preserve">Cualquier gasto en que haya incurrido en relación con su participación en el negocio conjunto. </w:t>
      </w:r>
    </w:p>
    <w:p w:rsidR="00E53599" w:rsidRDefault="00E53599" w:rsidP="00E53599">
      <w:pPr>
        <w:pStyle w:val="Prrafodelista"/>
        <w:autoSpaceDE w:val="0"/>
        <w:autoSpaceDN w:val="0"/>
        <w:adjustRightInd w:val="0"/>
        <w:spacing w:after="120" w:line="360" w:lineRule="auto"/>
        <w:jc w:val="both"/>
        <w:rPr>
          <w:rFonts w:ascii="Arial Narrow" w:eastAsiaTheme="minorHAnsi" w:hAnsi="Arial Narrow" w:cs="Times New Roman"/>
          <w:bCs/>
          <w:iCs/>
          <w:color w:val="000000"/>
          <w:sz w:val="24"/>
          <w:szCs w:val="24"/>
          <w:lang w:val="es-SV" w:eastAsia="en-US"/>
        </w:rPr>
      </w:pPr>
    </w:p>
    <w:p w:rsidR="00E53599" w:rsidRPr="00EA49B9" w:rsidRDefault="00E53599" w:rsidP="00E53599">
      <w:pPr>
        <w:pStyle w:val="Prrafodelista"/>
        <w:autoSpaceDE w:val="0"/>
        <w:autoSpaceDN w:val="0"/>
        <w:adjustRightInd w:val="0"/>
        <w:spacing w:after="120" w:line="360" w:lineRule="auto"/>
        <w:jc w:val="both"/>
        <w:rPr>
          <w:rFonts w:ascii="Arial Narrow" w:eastAsiaTheme="minorHAnsi" w:hAnsi="Arial Narrow" w:cs="Times New Roman"/>
          <w:color w:val="000000"/>
          <w:sz w:val="24"/>
          <w:szCs w:val="24"/>
          <w:lang w:val="es-SV" w:eastAsia="en-US"/>
        </w:rPr>
      </w:pPr>
    </w:p>
    <w:p w:rsidR="008A4F02" w:rsidRPr="00EA49B9" w:rsidRDefault="00860652" w:rsidP="00EA49B9">
      <w:pPr>
        <w:spacing w:line="360" w:lineRule="auto"/>
        <w:jc w:val="both"/>
        <w:rPr>
          <w:rFonts w:ascii="Arial Narrow" w:hAnsi="Arial Narrow"/>
          <w:bCs/>
          <w:sz w:val="24"/>
          <w:szCs w:val="24"/>
        </w:rPr>
      </w:pPr>
      <w:r w:rsidRPr="00EA49B9">
        <w:rPr>
          <w:rFonts w:ascii="Arial Narrow" w:hAnsi="Arial Narrow"/>
          <w:bCs/>
          <w:sz w:val="24"/>
          <w:szCs w:val="24"/>
        </w:rPr>
        <w:lastRenderedPageBreak/>
        <w:t>Reconocimiento respecto a los activos controlados</w:t>
      </w:r>
    </w:p>
    <w:p w:rsidR="00860652" w:rsidRPr="00EA49B9" w:rsidRDefault="00860652" w:rsidP="00EA49B9">
      <w:pPr>
        <w:pStyle w:val="Prrafodelista"/>
        <w:numPr>
          <w:ilvl w:val="0"/>
          <w:numId w:val="3"/>
        </w:numPr>
        <w:spacing w:line="360" w:lineRule="auto"/>
        <w:jc w:val="both"/>
        <w:rPr>
          <w:rFonts w:ascii="Arial Narrow" w:hAnsi="Arial Narrow"/>
          <w:bCs/>
          <w:sz w:val="24"/>
          <w:szCs w:val="24"/>
        </w:rPr>
      </w:pPr>
      <w:r w:rsidRPr="00EA49B9">
        <w:rPr>
          <w:rFonts w:ascii="Arial Narrow" w:hAnsi="Arial Narrow"/>
          <w:color w:val="000000"/>
          <w:sz w:val="24"/>
          <w:szCs w:val="24"/>
        </w:rPr>
        <w:t>Su porción de los activos controlados conjuntamente, clasificados de acuerdo con la naturaleza de los mismos, y no como una inversión.</w:t>
      </w:r>
    </w:p>
    <w:p w:rsidR="00860652" w:rsidRPr="00EA49B9" w:rsidRDefault="00860652" w:rsidP="00EA49B9">
      <w:pPr>
        <w:pStyle w:val="Prrafodelista"/>
        <w:numPr>
          <w:ilvl w:val="0"/>
          <w:numId w:val="3"/>
        </w:numPr>
        <w:spacing w:line="360" w:lineRule="auto"/>
        <w:jc w:val="both"/>
        <w:rPr>
          <w:rFonts w:ascii="Arial Narrow" w:hAnsi="Arial Narrow"/>
          <w:bCs/>
          <w:sz w:val="24"/>
          <w:szCs w:val="24"/>
        </w:rPr>
      </w:pPr>
      <w:r w:rsidRPr="00EA49B9">
        <w:rPr>
          <w:rFonts w:ascii="Arial Narrow" w:hAnsi="Arial Narrow"/>
          <w:color w:val="000000"/>
          <w:sz w:val="24"/>
          <w:szCs w:val="24"/>
        </w:rPr>
        <w:t>Su porción de los activos controlados conjuntamente, clasificados de acuerdo con la naturaleza de los mismos, y no como una inversión.</w:t>
      </w:r>
    </w:p>
    <w:p w:rsidR="007C7AF7" w:rsidRPr="00E53599" w:rsidRDefault="00EA49B9" w:rsidP="00E53599">
      <w:pPr>
        <w:pStyle w:val="Prrafodelista"/>
        <w:numPr>
          <w:ilvl w:val="0"/>
          <w:numId w:val="3"/>
        </w:numPr>
        <w:spacing w:line="360" w:lineRule="auto"/>
        <w:jc w:val="both"/>
        <w:rPr>
          <w:rFonts w:ascii="Arial Narrow" w:hAnsi="Arial Narrow"/>
          <w:bCs/>
          <w:sz w:val="24"/>
          <w:szCs w:val="24"/>
        </w:rPr>
      </w:pPr>
      <w:r w:rsidRPr="00EA49B9">
        <w:rPr>
          <w:rFonts w:ascii="Arial Narrow" w:hAnsi="Arial Narrow"/>
          <w:color w:val="000000"/>
          <w:sz w:val="24"/>
          <w:szCs w:val="24"/>
        </w:rPr>
        <w:t>Ingreso por venta o uso de su parte en la producción del negocio conjunto.</w:t>
      </w:r>
    </w:p>
    <w:p w:rsidR="00EA49B9" w:rsidRPr="00EA49B9" w:rsidRDefault="00EA49B9" w:rsidP="00EA49B9">
      <w:pPr>
        <w:spacing w:line="360" w:lineRule="auto"/>
        <w:jc w:val="both"/>
        <w:rPr>
          <w:rFonts w:ascii="Arial Narrow" w:hAnsi="Arial Narrow"/>
          <w:bCs/>
          <w:sz w:val="24"/>
          <w:szCs w:val="24"/>
        </w:rPr>
      </w:pPr>
      <w:r w:rsidRPr="00EA49B9">
        <w:rPr>
          <w:rFonts w:ascii="Arial Narrow" w:hAnsi="Arial Narrow"/>
          <w:bCs/>
          <w:sz w:val="24"/>
          <w:szCs w:val="24"/>
        </w:rPr>
        <w:t>¿Qué es una entidad controlada de forma conjunta?</w:t>
      </w:r>
    </w:p>
    <w:p w:rsidR="00EA49B9" w:rsidRPr="00EA49B9" w:rsidRDefault="00E53599" w:rsidP="00EA49B9">
      <w:pPr>
        <w:spacing w:line="360" w:lineRule="auto"/>
        <w:jc w:val="both"/>
        <w:rPr>
          <w:rFonts w:ascii="Arial Narrow" w:hAnsi="Arial Narrow"/>
          <w:bCs/>
          <w:sz w:val="24"/>
          <w:szCs w:val="24"/>
        </w:rPr>
      </w:pPr>
      <w:r>
        <w:rPr>
          <w:rFonts w:ascii="Arial Narrow" w:hAnsi="Arial Narrow"/>
          <w:noProof/>
          <w:color w:val="000000"/>
          <w:sz w:val="24"/>
          <w:szCs w:val="24"/>
        </w:rPr>
        <w:drawing>
          <wp:anchor distT="0" distB="0" distL="114300" distR="114300" simplePos="0" relativeHeight="251679744" behindDoc="0" locked="0" layoutInCell="1" allowOverlap="1" wp14:anchorId="454D1FC3" wp14:editId="3AC85C33">
            <wp:simplePos x="0" y="0"/>
            <wp:positionH relativeFrom="margin">
              <wp:align>right</wp:align>
            </wp:positionH>
            <wp:positionV relativeFrom="margin">
              <wp:posOffset>2299970</wp:posOffset>
            </wp:positionV>
            <wp:extent cx="1552575" cy="1590675"/>
            <wp:effectExtent l="76200" t="76200" r="142875" b="14287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xresdefaul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2575" cy="1590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A49B9" w:rsidRPr="00EA49B9">
        <w:rPr>
          <w:rFonts w:ascii="Arial Narrow" w:hAnsi="Arial Narrow"/>
          <w:color w:val="000000"/>
          <w:sz w:val="24"/>
          <w:szCs w:val="24"/>
        </w:rPr>
        <w:t>Es un negocio conjunto que implica la creación de una sociedad por acciones, una asociación con fines empresariales u otro tipo de entidad, en las cuales cada partícipe adquiere una participación. Esta entidad controla los activos del negocio conjunto, incurrirá en pasivos y gastos y obtendrá ingresos. Cada partícipe tendrá derecho a una porción de los resultados de la entidad controlada conjuntamente.</w:t>
      </w:r>
    </w:p>
    <w:p w:rsidR="00EA49B9" w:rsidRPr="00EA49B9" w:rsidRDefault="00EA49B9" w:rsidP="00EA49B9">
      <w:pPr>
        <w:spacing w:line="360" w:lineRule="auto"/>
        <w:jc w:val="both"/>
        <w:rPr>
          <w:rFonts w:ascii="Arial Narrow" w:hAnsi="Arial Narrow"/>
          <w:bCs/>
          <w:sz w:val="24"/>
          <w:szCs w:val="24"/>
        </w:rPr>
      </w:pPr>
      <w:r w:rsidRPr="00EA49B9">
        <w:rPr>
          <w:rFonts w:ascii="Arial Narrow" w:hAnsi="Arial Narrow"/>
          <w:bCs/>
          <w:sz w:val="24"/>
          <w:szCs w:val="24"/>
        </w:rPr>
        <w:t>Ejemplos de entidad controlada conjuntamente:</w:t>
      </w:r>
      <w:r w:rsidR="007C7AF7" w:rsidRPr="007C7AF7">
        <w:rPr>
          <w:rFonts w:ascii="Arial Narrow" w:hAnsi="Arial Narrow"/>
          <w:noProof/>
          <w:color w:val="000000"/>
          <w:sz w:val="24"/>
          <w:szCs w:val="24"/>
          <w:lang w:val="es-SV" w:eastAsia="es-SV"/>
        </w:rPr>
        <w:t xml:space="preserve"> </w:t>
      </w:r>
    </w:p>
    <w:p w:rsidR="00EA49B9" w:rsidRPr="00EA49B9" w:rsidRDefault="00EA49B9" w:rsidP="00EA49B9">
      <w:pPr>
        <w:pStyle w:val="Prrafodelista"/>
        <w:numPr>
          <w:ilvl w:val="0"/>
          <w:numId w:val="4"/>
        </w:numPr>
        <w:spacing w:line="360" w:lineRule="auto"/>
        <w:jc w:val="both"/>
        <w:rPr>
          <w:rFonts w:ascii="Arial Narrow" w:hAnsi="Arial Narrow"/>
          <w:bCs/>
          <w:sz w:val="24"/>
          <w:szCs w:val="24"/>
        </w:rPr>
      </w:pPr>
      <w:r w:rsidRPr="00EA49B9">
        <w:rPr>
          <w:rFonts w:ascii="Arial Narrow" w:hAnsi="Arial Narrow"/>
          <w:color w:val="000000"/>
          <w:sz w:val="24"/>
          <w:szCs w:val="24"/>
        </w:rPr>
        <w:t>Dos entidades combinan sus explotaciones en una determinada línea de actividad, transfiriendo los correspondientes activos y pasivos a la entidad controlada conjuntamente.</w:t>
      </w:r>
    </w:p>
    <w:p w:rsidR="00EA49B9" w:rsidRPr="00EA49B9" w:rsidRDefault="00EA49B9" w:rsidP="00EA49B9">
      <w:pPr>
        <w:pStyle w:val="Prrafodelista"/>
        <w:numPr>
          <w:ilvl w:val="0"/>
          <w:numId w:val="4"/>
        </w:numPr>
        <w:spacing w:line="360" w:lineRule="auto"/>
        <w:jc w:val="both"/>
        <w:rPr>
          <w:rFonts w:ascii="Arial Narrow" w:hAnsi="Arial Narrow"/>
          <w:bCs/>
          <w:sz w:val="24"/>
          <w:szCs w:val="24"/>
        </w:rPr>
      </w:pPr>
      <w:r w:rsidRPr="00EA49B9">
        <w:rPr>
          <w:rFonts w:ascii="Arial Narrow" w:hAnsi="Arial Narrow"/>
          <w:color w:val="000000"/>
          <w:sz w:val="24"/>
          <w:szCs w:val="24"/>
        </w:rPr>
        <w:t>Una entidad emprende actividades en un país extranjero con la colaboración de las Administraciones Públicas o de un organismo público de ese país, mediante el establecimiento de una entidad separada bajo control común de la entidad y de la Administración Pública u organismo público implicados.</w:t>
      </w:r>
    </w:p>
    <w:p w:rsidR="00E53599" w:rsidRDefault="00EA49B9" w:rsidP="005B1AA0">
      <w:pPr>
        <w:spacing w:line="360" w:lineRule="auto"/>
        <w:jc w:val="both"/>
        <w:rPr>
          <w:rFonts w:ascii="Arial Narrow" w:hAnsi="Arial Narrow"/>
          <w:bCs/>
          <w:sz w:val="24"/>
          <w:szCs w:val="24"/>
        </w:rPr>
      </w:pPr>
      <w:r>
        <w:rPr>
          <w:rFonts w:ascii="Arial Narrow" w:hAnsi="Arial Narrow"/>
          <w:bCs/>
          <w:sz w:val="24"/>
          <w:szCs w:val="24"/>
        </w:rPr>
        <w:t>Los estados financieros del participante  existen mediante la aplicación de la consolidación proporcional o el método alternativo.</w:t>
      </w:r>
      <w:r w:rsidR="005B1AA0">
        <w:rPr>
          <w:rFonts w:ascii="Arial Narrow" w:hAnsi="Arial Narrow"/>
          <w:bCs/>
          <w:sz w:val="24"/>
          <w:szCs w:val="24"/>
        </w:rPr>
        <w:t xml:space="preserve"> En el primero el balance del participante incluirá su pate de los activos controlados conjuntamente, así como parte de los pasivos. Las cuentas de resultados incluirán su </w:t>
      </w:r>
      <w:r w:rsidR="005B1AA0" w:rsidRPr="005B1AA0">
        <w:rPr>
          <w:rFonts w:ascii="Arial Narrow" w:hAnsi="Arial Narrow"/>
          <w:bCs/>
          <w:sz w:val="24"/>
          <w:szCs w:val="24"/>
        </w:rPr>
        <w:t xml:space="preserve">parte de los ingresos y gastos de la entidad. Podrá combinar su parte de cada uno de los activos, pasivos, ingresos y gastos línea por línea con las partidas similares de sus estados financieros. </w:t>
      </w:r>
    </w:p>
    <w:p w:rsidR="008A4F02" w:rsidRPr="005B1AA0" w:rsidRDefault="005B1AA0" w:rsidP="005B1AA0">
      <w:pPr>
        <w:spacing w:line="360" w:lineRule="auto"/>
        <w:jc w:val="both"/>
        <w:rPr>
          <w:rFonts w:ascii="Arial Narrow" w:hAnsi="Arial Narrow"/>
          <w:bCs/>
          <w:sz w:val="24"/>
          <w:szCs w:val="24"/>
        </w:rPr>
      </w:pPr>
      <w:r w:rsidRPr="005B1AA0">
        <w:rPr>
          <w:rFonts w:ascii="Arial Narrow" w:hAnsi="Arial Narrow"/>
          <w:bCs/>
          <w:sz w:val="24"/>
          <w:szCs w:val="24"/>
        </w:rPr>
        <w:lastRenderedPageBreak/>
        <w:t xml:space="preserve">En el método de la participación </w:t>
      </w:r>
      <w:r w:rsidRPr="005B1AA0">
        <w:rPr>
          <w:rFonts w:ascii="Arial Narrow" w:hAnsi="Arial Narrow"/>
          <w:bCs/>
          <w:iCs/>
          <w:color w:val="000000"/>
          <w:sz w:val="24"/>
          <w:szCs w:val="24"/>
        </w:rPr>
        <w:t>el partícipe reconocerá su participación en una entidad controlada de forma conjunta aplicando el método de la participación c</w:t>
      </w:r>
      <w:r w:rsidRPr="005B1AA0">
        <w:rPr>
          <w:rFonts w:ascii="Arial Narrow" w:hAnsi="Arial Narrow"/>
          <w:color w:val="000000"/>
          <w:sz w:val="24"/>
          <w:szCs w:val="24"/>
        </w:rPr>
        <w:t>on independencia de que posea también inversiones en dependientes o de que designe a sus estados financieros como estados financieros consolidados.</w:t>
      </w:r>
    </w:p>
    <w:p w:rsidR="008A4F02" w:rsidRPr="005B1AA0" w:rsidRDefault="005B1AA0" w:rsidP="005B1AA0">
      <w:pPr>
        <w:spacing w:line="360" w:lineRule="auto"/>
        <w:jc w:val="both"/>
        <w:rPr>
          <w:rFonts w:ascii="Arial Narrow" w:hAnsi="Arial Narrow"/>
          <w:b/>
          <w:bCs/>
          <w:sz w:val="24"/>
          <w:szCs w:val="24"/>
          <w:u w:val="single"/>
        </w:rPr>
      </w:pPr>
      <w:r w:rsidRPr="005B1AA0">
        <w:rPr>
          <w:rFonts w:ascii="Arial Narrow" w:hAnsi="Arial Narrow"/>
          <w:color w:val="000000"/>
          <w:sz w:val="24"/>
          <w:szCs w:val="24"/>
        </w:rPr>
        <w:t>El uso del método de la participación es defendido por aquéllos que sostienen que es inadecuado combinar partidas propias con otras de entidades controladas conjuntamente, así como por aquéllos que creen que los partícipes tienen influencia significativa, en lugar de control conjunto, en la entidad controlada conjuntamente.</w:t>
      </w:r>
    </w:p>
    <w:p w:rsidR="008A4F02" w:rsidRDefault="00C629B9" w:rsidP="005B1AA0">
      <w:pPr>
        <w:spacing w:line="360" w:lineRule="auto"/>
        <w:jc w:val="both"/>
        <w:rPr>
          <w:rFonts w:ascii="Arial Narrow" w:hAnsi="Arial Narrow"/>
          <w:bCs/>
          <w:sz w:val="24"/>
          <w:szCs w:val="24"/>
        </w:rPr>
      </w:pPr>
      <w:r>
        <w:rPr>
          <w:rFonts w:ascii="Arial Narrow" w:hAnsi="Arial Narrow"/>
          <w:bCs/>
          <w:noProof/>
          <w:sz w:val="24"/>
          <w:szCs w:val="24"/>
        </w:rPr>
        <w:drawing>
          <wp:anchor distT="0" distB="0" distL="114300" distR="114300" simplePos="0" relativeHeight="251678720" behindDoc="0" locked="0" layoutInCell="1" allowOverlap="1" wp14:anchorId="0B2566D7" wp14:editId="34E6FE3A">
            <wp:simplePos x="0" y="0"/>
            <wp:positionH relativeFrom="margin">
              <wp:posOffset>-635</wp:posOffset>
            </wp:positionH>
            <wp:positionV relativeFrom="margin">
              <wp:align>top</wp:align>
            </wp:positionV>
            <wp:extent cx="2136775" cy="2047875"/>
            <wp:effectExtent l="76200" t="76200" r="130175" b="1238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rectivo-y-empleado-marionet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0618" cy="20515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B1AA0">
        <w:rPr>
          <w:rFonts w:ascii="Arial Narrow" w:hAnsi="Arial Narrow"/>
          <w:bCs/>
          <w:sz w:val="24"/>
          <w:szCs w:val="24"/>
        </w:rPr>
        <w:t>Las excepciones a la consolidación proporcional y al método de la participación:</w:t>
      </w:r>
    </w:p>
    <w:p w:rsidR="001F1F8A" w:rsidRDefault="005B1AA0" w:rsidP="001F1F8A">
      <w:pPr>
        <w:spacing w:line="360" w:lineRule="auto"/>
        <w:jc w:val="both"/>
        <w:rPr>
          <w:rFonts w:ascii="Arial Narrow" w:hAnsi="Arial Narrow"/>
          <w:bCs/>
          <w:sz w:val="24"/>
          <w:szCs w:val="24"/>
        </w:rPr>
      </w:pPr>
      <w:r>
        <w:rPr>
          <w:rFonts w:ascii="Arial Narrow" w:hAnsi="Arial Narrow"/>
          <w:bCs/>
          <w:sz w:val="24"/>
          <w:szCs w:val="24"/>
        </w:rPr>
        <w:t>Basada en la norma esta requiere que las participaciones en entidades controladas de forma conjunta, que sean clasificadas como disponibles para la venta de acuerdo a la NIIF 5. Cuando esta deja de satisfacer los criterios para tener dicha consideración, se contabilizaran utilizando la consolidación proporcional o el método de participación.</w:t>
      </w:r>
    </w:p>
    <w:p w:rsidR="00E53599" w:rsidRDefault="005B1AA0" w:rsidP="001F1F8A">
      <w:pPr>
        <w:spacing w:line="360" w:lineRule="auto"/>
        <w:jc w:val="both"/>
        <w:rPr>
          <w:rFonts w:ascii="Arial Narrow" w:hAnsi="Arial Narrow"/>
          <w:bCs/>
          <w:sz w:val="24"/>
          <w:szCs w:val="24"/>
        </w:rPr>
      </w:pPr>
      <w:r>
        <w:rPr>
          <w:rFonts w:ascii="Arial Narrow" w:hAnsi="Arial Narrow"/>
          <w:bCs/>
          <w:sz w:val="24"/>
          <w:szCs w:val="24"/>
        </w:rPr>
        <w:t xml:space="preserve"> </w:t>
      </w:r>
      <w:r w:rsidR="001F1F8A">
        <w:rPr>
          <w:rFonts w:ascii="Arial Narrow" w:hAnsi="Arial Narrow"/>
          <w:bCs/>
          <w:sz w:val="24"/>
          <w:szCs w:val="24"/>
        </w:rPr>
        <w:t>En cuanto a su medición inicial dejara de ser una entidad controladora conjuntamente cuando la inversión deja de ser una entidad que esté controlada, el valor razonable de la misma en el momento de su cese como entidad controlada conjuntamente será su valor razonable en el reconocimiento inicial como un activo financiero.</w:t>
      </w:r>
      <w:r w:rsidR="006D1811">
        <w:rPr>
          <w:rFonts w:ascii="Arial Narrow" w:hAnsi="Arial Narrow"/>
          <w:bCs/>
          <w:sz w:val="24"/>
          <w:szCs w:val="24"/>
        </w:rPr>
        <w:t xml:space="preserve"> El registro de sus partidas dentro de los ingresos integrales en el caso del inversionista pierde el control conjunto de una entidad, el inversionista presentara reconocer todos los montos en los otros ingresos integrales.</w:t>
      </w:r>
      <w:r w:rsidR="007C7AF7">
        <w:rPr>
          <w:rFonts w:ascii="Arial Narrow" w:hAnsi="Arial Narrow"/>
          <w:bCs/>
          <w:sz w:val="24"/>
          <w:szCs w:val="24"/>
        </w:rPr>
        <w:t xml:space="preserve"> </w:t>
      </w:r>
      <w:r w:rsidR="006D1811">
        <w:rPr>
          <w:rFonts w:ascii="Arial Narrow" w:hAnsi="Arial Narrow"/>
          <w:bCs/>
          <w:sz w:val="24"/>
          <w:szCs w:val="24"/>
        </w:rPr>
        <w:t>Los estados financieros separados del participante de una entidad controlada de forma conjunta se contabilizaran de acuerdo con los párrafos 37 a 42 de la NIC 27. Las transacciones entre un participante y negocio conjunto serán las que la normativa señala cuando el participante aporte o venda activos al negocio conjunto, compre activos del mismo este no deberá reconocer su porción en los beneficios del negocio hasta que los activos sean vendidos a un t</w:t>
      </w:r>
      <w:r w:rsidR="007C7AF7">
        <w:rPr>
          <w:rFonts w:ascii="Arial Narrow" w:hAnsi="Arial Narrow"/>
          <w:bCs/>
          <w:sz w:val="24"/>
          <w:szCs w:val="24"/>
        </w:rPr>
        <w:t>ercero que no dependa de ellos.</w:t>
      </w:r>
    </w:p>
    <w:p w:rsidR="006D1811" w:rsidRDefault="007C7AF7" w:rsidP="001F1F8A">
      <w:pPr>
        <w:spacing w:line="360" w:lineRule="auto"/>
        <w:jc w:val="both"/>
        <w:rPr>
          <w:rFonts w:ascii="Arial Narrow" w:hAnsi="Arial Narrow"/>
          <w:bCs/>
          <w:sz w:val="24"/>
          <w:szCs w:val="24"/>
        </w:rPr>
      </w:pPr>
      <w:r>
        <w:rPr>
          <w:rFonts w:ascii="Arial Narrow" w:hAnsi="Arial Narrow"/>
          <w:bCs/>
          <w:sz w:val="24"/>
          <w:szCs w:val="24"/>
        </w:rPr>
        <w:lastRenderedPageBreak/>
        <w:t xml:space="preserve"> </w:t>
      </w:r>
      <w:r w:rsidR="006D1811">
        <w:rPr>
          <w:rFonts w:ascii="Arial Narrow" w:hAnsi="Arial Narrow"/>
          <w:bCs/>
          <w:sz w:val="24"/>
          <w:szCs w:val="24"/>
        </w:rPr>
        <w:t>Esta NIC también es relacionada con la NIC 36 donde establece que si al evaluar si una transacción ente el participante y e</w:t>
      </w:r>
      <w:r w:rsidR="001362A3">
        <w:rPr>
          <w:rFonts w:ascii="Arial Narrow" w:hAnsi="Arial Narrow"/>
          <w:bCs/>
          <w:sz w:val="24"/>
          <w:szCs w:val="24"/>
        </w:rPr>
        <w:t>l negocio conjunto pone de manifiesto el deterioro del valor del activo. En cuanto al campo de la NIC 39 La norma requiere que se utilice cuando un negocio conjunto que no tenga control sobre el mismo contabilice la inversión según la NIC 39. La otra NIC 18 también es aplicable ya que esta norma requiere que los dueños de un negocio contabilicen cualquier retribución percibida, de ingresos ordinarios.</w:t>
      </w:r>
    </w:p>
    <w:p w:rsidR="008A4F02" w:rsidRDefault="001362A3" w:rsidP="007C7AF7">
      <w:pPr>
        <w:spacing w:line="360" w:lineRule="auto"/>
        <w:jc w:val="both"/>
        <w:rPr>
          <w:rFonts w:ascii="Arial Narrow" w:hAnsi="Arial Narrow"/>
          <w:bCs/>
          <w:sz w:val="24"/>
          <w:szCs w:val="24"/>
        </w:rPr>
      </w:pPr>
      <w:r>
        <w:rPr>
          <w:rFonts w:ascii="Arial Narrow" w:hAnsi="Arial Narrow"/>
          <w:bCs/>
          <w:sz w:val="24"/>
          <w:szCs w:val="24"/>
        </w:rPr>
        <w:t>La revelación sobre los pasivos contingentes de la NIC 31 es que cualquier pasivo contingente es que haya incurrido el participante en relación con sus participantes en negocios conjuntos. Su parte en los pasivos contingentes de los negocios conjuntos por los que esté obligado, así como aquellos pasivos contingentes derivados del hecho de que el participante tenga responsabilidad por los pasivos de los otros participantes en negocio conjunto.</w:t>
      </w:r>
    </w:p>
    <w:p w:rsidR="00E53599" w:rsidRDefault="00F51491" w:rsidP="007C7AF7">
      <w:pPr>
        <w:spacing w:line="360" w:lineRule="auto"/>
        <w:jc w:val="both"/>
        <w:rPr>
          <w:rFonts w:ascii="Arial Narrow" w:hAnsi="Arial Narrow"/>
          <w:sz w:val="24"/>
          <w:szCs w:val="24"/>
        </w:rPr>
      </w:pPr>
      <w:r w:rsidRPr="00151B13">
        <w:rPr>
          <w:rFonts w:ascii="Arial Narrow" w:hAnsi="Arial Narrow"/>
          <w:b/>
          <w:sz w:val="24"/>
          <w:szCs w:val="24"/>
        </w:rPr>
        <w:t>Análisis según el código tributario</w:t>
      </w:r>
      <w:r>
        <w:rPr>
          <w:rFonts w:ascii="Arial Narrow" w:hAnsi="Arial Narrow"/>
          <w:b/>
          <w:sz w:val="24"/>
          <w:szCs w:val="24"/>
        </w:rPr>
        <w:t xml:space="preserve">: </w:t>
      </w:r>
      <w:r w:rsidRPr="00151B13">
        <w:rPr>
          <w:rFonts w:ascii="Arial Narrow" w:hAnsi="Arial Narrow"/>
          <w:sz w:val="24"/>
          <w:szCs w:val="24"/>
        </w:rPr>
        <w:t xml:space="preserve">Lo concerniente a lo establecido en el </w:t>
      </w:r>
      <w:r>
        <w:rPr>
          <w:rFonts w:ascii="Arial Narrow" w:hAnsi="Arial Narrow"/>
          <w:b/>
          <w:sz w:val="24"/>
          <w:szCs w:val="24"/>
        </w:rPr>
        <w:t xml:space="preserve">código tributario artículo 62-A </w:t>
      </w:r>
      <w:r>
        <w:rPr>
          <w:rFonts w:ascii="Arial Narrow" w:hAnsi="Arial Narrow"/>
          <w:sz w:val="24"/>
          <w:szCs w:val="24"/>
        </w:rPr>
        <w:t>debe establecerse todos aquellos que realicen operaciones o participaciones entre compañías no deben quedar exentos del tributo, así como también las relacionadas en el extranjero como paraísos fiscales.</w:t>
      </w:r>
    </w:p>
    <w:p w:rsidR="00F51491" w:rsidRPr="00F51491" w:rsidRDefault="00F51491" w:rsidP="007C7AF7">
      <w:pPr>
        <w:spacing w:line="360" w:lineRule="auto"/>
        <w:jc w:val="both"/>
        <w:rPr>
          <w:rFonts w:ascii="Arial Narrow" w:hAnsi="Arial Narrow"/>
          <w:bCs/>
          <w:sz w:val="24"/>
          <w:szCs w:val="24"/>
        </w:rPr>
      </w:pPr>
      <w:r w:rsidRPr="00F51491">
        <w:rPr>
          <w:rFonts w:ascii="Arial Narrow" w:hAnsi="Arial Narrow"/>
          <w:b/>
          <w:sz w:val="24"/>
          <w:szCs w:val="24"/>
        </w:rPr>
        <w:t>Análisis según el código de comercio:</w:t>
      </w:r>
      <w:r>
        <w:rPr>
          <w:rFonts w:ascii="Arial Narrow" w:hAnsi="Arial Narrow"/>
          <w:b/>
          <w:sz w:val="24"/>
          <w:szCs w:val="24"/>
        </w:rPr>
        <w:t xml:space="preserve"> </w:t>
      </w:r>
      <w:r>
        <w:rPr>
          <w:rFonts w:ascii="Arial Narrow" w:hAnsi="Arial Narrow"/>
          <w:sz w:val="24"/>
          <w:szCs w:val="24"/>
        </w:rPr>
        <w:t>Serán todos aquellos artículos relacionados con la realización de una sociedad para la operación de un negocio conjunto, desde la sociedad de personas, sociedades de capitales y las respectivas reservas.</w:t>
      </w:r>
    </w:p>
    <w:p w:rsidR="00E53599" w:rsidRDefault="00E53599" w:rsidP="007C7AF7">
      <w:pPr>
        <w:spacing w:line="360" w:lineRule="auto"/>
        <w:jc w:val="both"/>
        <w:rPr>
          <w:rFonts w:ascii="Arial Narrow" w:hAnsi="Arial Narrow"/>
          <w:bCs/>
          <w:sz w:val="24"/>
          <w:szCs w:val="24"/>
        </w:rPr>
      </w:pPr>
    </w:p>
    <w:p w:rsidR="00E53599" w:rsidRDefault="00E53599" w:rsidP="007C7AF7">
      <w:pPr>
        <w:spacing w:line="360" w:lineRule="auto"/>
        <w:jc w:val="both"/>
        <w:rPr>
          <w:rFonts w:ascii="Arial Narrow" w:hAnsi="Arial Narrow"/>
          <w:bCs/>
          <w:sz w:val="24"/>
          <w:szCs w:val="24"/>
        </w:rPr>
      </w:pPr>
    </w:p>
    <w:p w:rsidR="00E53599" w:rsidRDefault="00E53599" w:rsidP="007C7AF7">
      <w:pPr>
        <w:spacing w:line="360" w:lineRule="auto"/>
        <w:jc w:val="both"/>
        <w:rPr>
          <w:rFonts w:ascii="Arial Narrow" w:hAnsi="Arial Narrow"/>
          <w:bCs/>
          <w:sz w:val="24"/>
          <w:szCs w:val="24"/>
        </w:rPr>
      </w:pPr>
    </w:p>
    <w:p w:rsidR="00E53599" w:rsidRDefault="00E53599" w:rsidP="007C7AF7">
      <w:pPr>
        <w:spacing w:line="360" w:lineRule="auto"/>
        <w:jc w:val="both"/>
        <w:rPr>
          <w:rFonts w:ascii="Arial Narrow" w:hAnsi="Arial Narrow"/>
          <w:bCs/>
          <w:sz w:val="24"/>
          <w:szCs w:val="24"/>
        </w:rPr>
      </w:pPr>
    </w:p>
    <w:p w:rsidR="00E53599" w:rsidRDefault="00E53599" w:rsidP="007C7AF7">
      <w:pPr>
        <w:spacing w:line="360" w:lineRule="auto"/>
        <w:jc w:val="both"/>
        <w:rPr>
          <w:rFonts w:ascii="Arial Narrow" w:hAnsi="Arial Narrow"/>
          <w:bCs/>
          <w:sz w:val="24"/>
          <w:szCs w:val="24"/>
        </w:rPr>
      </w:pPr>
    </w:p>
    <w:p w:rsidR="00F51491" w:rsidRDefault="00F51491" w:rsidP="007C7AF7">
      <w:pPr>
        <w:spacing w:line="360" w:lineRule="auto"/>
        <w:jc w:val="both"/>
        <w:rPr>
          <w:rFonts w:ascii="Arial Narrow" w:hAnsi="Arial Narrow"/>
          <w:b/>
          <w:bCs/>
          <w:sz w:val="28"/>
          <w:szCs w:val="28"/>
          <w:u w:val="single"/>
        </w:rPr>
      </w:pPr>
    </w:p>
    <w:p w:rsidR="008A4F02" w:rsidRPr="008344FE" w:rsidRDefault="008A4F02" w:rsidP="008A4F02">
      <w:pPr>
        <w:rPr>
          <w:rFonts w:ascii="Arial Narrow" w:hAnsi="Arial Narrow"/>
          <w:b/>
          <w:bCs/>
          <w:sz w:val="24"/>
          <w:szCs w:val="24"/>
          <w:u w:val="single"/>
        </w:rPr>
      </w:pPr>
      <w:r w:rsidRPr="008344FE">
        <w:rPr>
          <w:rFonts w:ascii="Arial Narrow" w:hAnsi="Arial Narrow"/>
          <w:b/>
          <w:bCs/>
          <w:sz w:val="24"/>
          <w:szCs w:val="24"/>
          <w:u w:val="single"/>
        </w:rPr>
        <w:lastRenderedPageBreak/>
        <w:t>Norma Internacional de Contabilidad Nº 32 (NIC 32).</w:t>
      </w:r>
    </w:p>
    <w:p w:rsidR="008A4F02" w:rsidRDefault="008A4F02" w:rsidP="008A4F02">
      <w:pPr>
        <w:spacing w:line="360" w:lineRule="auto"/>
        <w:jc w:val="both"/>
        <w:rPr>
          <w:rFonts w:ascii="Arial Narrow" w:hAnsi="Arial Narrow"/>
          <w:bCs/>
          <w:sz w:val="24"/>
          <w:szCs w:val="24"/>
        </w:rPr>
      </w:pPr>
      <w:r w:rsidRPr="008A4F02">
        <w:rPr>
          <w:rFonts w:ascii="Arial Narrow" w:hAnsi="Arial Narrow"/>
          <w:sz w:val="24"/>
          <w:szCs w:val="24"/>
        </w:rPr>
        <w:t xml:space="preserve"> </w:t>
      </w:r>
      <w:r w:rsidRPr="008A4F02">
        <w:rPr>
          <w:rFonts w:ascii="Arial Narrow" w:hAnsi="Arial Narrow"/>
          <w:bCs/>
          <w:sz w:val="24"/>
          <w:szCs w:val="24"/>
        </w:rPr>
        <w:t>Instrumentos financieros: Presentación e información a revelar. (Entro en vigencia el 01 de enero de 2005).</w:t>
      </w:r>
    </w:p>
    <w:p w:rsidR="008A4F02" w:rsidRPr="009F3F05" w:rsidRDefault="008A4F02" w:rsidP="008A4F02">
      <w:pPr>
        <w:spacing w:line="360" w:lineRule="auto"/>
        <w:jc w:val="both"/>
        <w:rPr>
          <w:rFonts w:ascii="Arial Narrow" w:hAnsi="Arial Narrow"/>
          <w:bCs/>
          <w:sz w:val="24"/>
          <w:szCs w:val="24"/>
        </w:rPr>
      </w:pPr>
      <w:r w:rsidRPr="009F3F05">
        <w:rPr>
          <w:rFonts w:ascii="Arial Narrow" w:hAnsi="Arial Narrow"/>
          <w:bCs/>
          <w:sz w:val="24"/>
          <w:szCs w:val="24"/>
        </w:rPr>
        <w:t>PRESENTACION.</w:t>
      </w:r>
    </w:p>
    <w:p w:rsidR="008A4F02" w:rsidRPr="008A4F02" w:rsidRDefault="008A4F02" w:rsidP="008A4F02">
      <w:pPr>
        <w:spacing w:line="360" w:lineRule="auto"/>
        <w:rPr>
          <w:rFonts w:ascii="Arial Narrow" w:hAnsi="Arial Narrow"/>
          <w:bCs/>
          <w:sz w:val="24"/>
          <w:szCs w:val="24"/>
        </w:rPr>
      </w:pPr>
      <w:r w:rsidRPr="008A4F02">
        <w:rPr>
          <w:rFonts w:ascii="Arial Narrow" w:hAnsi="Arial Narrow"/>
          <w:bCs/>
          <w:sz w:val="24"/>
          <w:szCs w:val="24"/>
        </w:rPr>
        <w:t>Antes de entrar de lleno en la explicación de normativa y en la ejemplificación del caso práctico es necesario entender y conocer ciertos enunciados y conceptos técnicos que la normativa utiliza, es por ello que se recopilaran aspectos de la normativa en el trabajo.</w:t>
      </w:r>
    </w:p>
    <w:p w:rsidR="008A4F02" w:rsidRPr="008A4F02" w:rsidRDefault="008A4F02" w:rsidP="008A4F02">
      <w:pPr>
        <w:spacing w:line="360" w:lineRule="auto"/>
        <w:jc w:val="both"/>
        <w:rPr>
          <w:rFonts w:ascii="Arial Narrow" w:hAnsi="Arial Narrow" w:cs="Times New Roman"/>
          <w:bCs/>
          <w:iCs/>
          <w:sz w:val="24"/>
          <w:szCs w:val="24"/>
        </w:rPr>
      </w:pPr>
      <w:r w:rsidRPr="008A4F02">
        <w:rPr>
          <w:rFonts w:ascii="Arial Narrow" w:hAnsi="Arial Narrow"/>
          <w:bCs/>
          <w:sz w:val="24"/>
          <w:szCs w:val="24"/>
        </w:rPr>
        <w:t>Est</w:t>
      </w:r>
      <w:r w:rsidRPr="008A4F02">
        <w:rPr>
          <w:rFonts w:ascii="Arial Narrow" w:hAnsi="Arial Narrow"/>
          <w:noProof/>
          <w:sz w:val="24"/>
          <w:szCs w:val="24"/>
        </w:rPr>
        <w:drawing>
          <wp:anchor distT="0" distB="0" distL="114300" distR="114300" simplePos="0" relativeHeight="251666432" behindDoc="0" locked="0" layoutInCell="1" allowOverlap="1" wp14:anchorId="65E111C4" wp14:editId="067376FB">
            <wp:simplePos x="0" y="0"/>
            <wp:positionH relativeFrom="column">
              <wp:posOffset>3930015</wp:posOffset>
            </wp:positionH>
            <wp:positionV relativeFrom="paragraph">
              <wp:posOffset>38735</wp:posOffset>
            </wp:positionV>
            <wp:extent cx="1752600" cy="1962150"/>
            <wp:effectExtent l="76200" t="76200" r="133350" b="133350"/>
            <wp:wrapSquare wrapText="bothSides"/>
            <wp:docPr id="1" name="Imagen 1" descr="Resultado de imagen para instrumentos de patrim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nstrumentos de patrimoni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2600" cy="1962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8A4F02">
        <w:rPr>
          <w:rFonts w:ascii="Arial Narrow" w:hAnsi="Arial Narrow" w:cs="Times New Roman"/>
          <w:bCs/>
          <w:iCs/>
          <w:sz w:val="24"/>
          <w:szCs w:val="24"/>
        </w:rPr>
        <w:t>a Norma se aplicará a aquellos contratos de compra o venta de elementos no financieros que se liquiden por el importe neto, en efectivo o en otro instrumento financiero, o mediante el intercambio de instrumentos financieros, como si dichos contratos fuesen instrumentos financieros, con la excepción de los contratos que se celebraron y se mantienen con el objetivo de recibir o entregar un elemento no financiero, de acuerdo con las compras, ventas o necesidades de utilización esperadas por la entidad.</w:t>
      </w:r>
    </w:p>
    <w:p w:rsidR="008A4F02" w:rsidRPr="008A4F02" w:rsidRDefault="008A4F02" w:rsidP="008A4F02">
      <w:pPr>
        <w:autoSpaceDE w:val="0"/>
        <w:autoSpaceDN w:val="0"/>
        <w:adjustRightInd w:val="0"/>
        <w:spacing w:after="0" w:line="360" w:lineRule="auto"/>
        <w:jc w:val="both"/>
        <w:rPr>
          <w:rFonts w:ascii="Arial Narrow" w:hAnsi="Arial Narrow" w:cs="Times New Roman"/>
          <w:sz w:val="24"/>
          <w:szCs w:val="24"/>
        </w:rPr>
      </w:pPr>
      <w:r w:rsidRPr="008A4F02">
        <w:rPr>
          <w:rFonts w:ascii="Arial Narrow" w:hAnsi="Arial Narrow" w:cs="Times New Roman"/>
          <w:bCs/>
          <w:iCs/>
          <w:sz w:val="24"/>
          <w:szCs w:val="24"/>
        </w:rPr>
        <w:t>¿Qué define la normativa por instrumento financiero?</w:t>
      </w:r>
    </w:p>
    <w:p w:rsidR="008A4F02" w:rsidRPr="008A4F02" w:rsidRDefault="008A4F02" w:rsidP="008A4F02">
      <w:pPr>
        <w:spacing w:line="360" w:lineRule="auto"/>
        <w:jc w:val="both"/>
        <w:rPr>
          <w:rFonts w:ascii="Arial Narrow" w:hAnsi="Arial Narrow"/>
          <w:bCs/>
          <w:iCs/>
          <w:sz w:val="24"/>
          <w:szCs w:val="24"/>
        </w:rPr>
      </w:pPr>
      <w:r w:rsidRPr="008A4F02">
        <w:rPr>
          <w:rFonts w:ascii="Arial Narrow" w:hAnsi="Arial Narrow"/>
          <w:bCs/>
          <w:iCs/>
          <w:sz w:val="24"/>
          <w:szCs w:val="24"/>
        </w:rPr>
        <w:t>Un instrumento financiero es cualquier contrato que dé lugar, simultáneamente, a un activo financiero en una entidad y a un pasivo financiero o a un instrumento de patrimonio en otra entidad.</w:t>
      </w:r>
    </w:p>
    <w:p w:rsidR="008A4F02" w:rsidRPr="008A4F02" w:rsidRDefault="008A4F02" w:rsidP="008A4F02">
      <w:pPr>
        <w:spacing w:line="360" w:lineRule="auto"/>
        <w:jc w:val="both"/>
        <w:rPr>
          <w:rFonts w:ascii="Arial Narrow" w:hAnsi="Arial Narrow"/>
          <w:bCs/>
          <w:iCs/>
          <w:sz w:val="24"/>
          <w:szCs w:val="24"/>
        </w:rPr>
      </w:pPr>
      <w:r w:rsidRPr="008A4F02">
        <w:rPr>
          <w:rFonts w:ascii="Arial Narrow" w:hAnsi="Arial Narrow"/>
          <w:bCs/>
          <w:iCs/>
          <w:sz w:val="24"/>
          <w:szCs w:val="24"/>
        </w:rPr>
        <w:t>Otros términos a saber.</w:t>
      </w:r>
    </w:p>
    <w:p w:rsidR="008A4F02" w:rsidRPr="008A4F02" w:rsidRDefault="008A4F02" w:rsidP="008A4F02">
      <w:pPr>
        <w:pStyle w:val="boldoutline"/>
        <w:spacing w:after="120" w:line="360" w:lineRule="auto"/>
        <w:jc w:val="both"/>
        <w:rPr>
          <w:rFonts w:ascii="Arial Narrow" w:hAnsi="Arial Narrow" w:cstheme="minorHAnsi"/>
        </w:rPr>
      </w:pPr>
      <w:r w:rsidRPr="008A4F02">
        <w:rPr>
          <w:rFonts w:ascii="Arial Narrow" w:hAnsi="Arial Narrow" w:cstheme="minorHAnsi"/>
          <w:bCs/>
          <w:iCs/>
        </w:rPr>
        <w:t xml:space="preserve">Un activo financiero es cualquier activo que posea una de las siguientes formas: </w:t>
      </w:r>
    </w:p>
    <w:p w:rsidR="008A4F02" w:rsidRPr="008A4F02" w:rsidRDefault="008A4F02" w:rsidP="008A4F02">
      <w:pPr>
        <w:pStyle w:val="boldoutline"/>
        <w:numPr>
          <w:ilvl w:val="0"/>
          <w:numId w:val="1"/>
        </w:numPr>
        <w:spacing w:after="120" w:line="360" w:lineRule="auto"/>
        <w:jc w:val="both"/>
        <w:rPr>
          <w:rFonts w:ascii="Arial Narrow" w:hAnsi="Arial Narrow" w:cstheme="minorHAnsi"/>
        </w:rPr>
      </w:pPr>
      <w:r w:rsidRPr="008A4F02">
        <w:rPr>
          <w:rFonts w:ascii="Arial Narrow" w:hAnsi="Arial Narrow" w:cstheme="minorHAnsi"/>
          <w:bCs/>
          <w:iCs/>
        </w:rPr>
        <w:t>Efectivo</w:t>
      </w:r>
      <w:r>
        <w:rPr>
          <w:rFonts w:ascii="Arial Narrow" w:hAnsi="Arial Narrow" w:cstheme="minorHAnsi"/>
          <w:bCs/>
          <w:iCs/>
        </w:rPr>
        <w:t>.</w:t>
      </w:r>
    </w:p>
    <w:p w:rsidR="008A4F02" w:rsidRPr="008A4F02" w:rsidRDefault="008A4F02" w:rsidP="008A4F02">
      <w:pPr>
        <w:pStyle w:val="boldoutline"/>
        <w:numPr>
          <w:ilvl w:val="0"/>
          <w:numId w:val="1"/>
        </w:numPr>
        <w:spacing w:after="120" w:line="360" w:lineRule="auto"/>
        <w:jc w:val="both"/>
        <w:rPr>
          <w:rFonts w:ascii="Arial Narrow" w:hAnsi="Arial Narrow" w:cstheme="minorHAnsi"/>
        </w:rPr>
      </w:pPr>
      <w:r w:rsidRPr="008A4F02">
        <w:rPr>
          <w:rFonts w:ascii="Arial Narrow" w:hAnsi="Arial Narrow" w:cstheme="minorHAnsi"/>
          <w:bCs/>
          <w:iCs/>
        </w:rPr>
        <w:t>Un instrumento de patrimonio neto de otra entidad.</w:t>
      </w:r>
    </w:p>
    <w:p w:rsidR="008A4F02" w:rsidRPr="008A4F02" w:rsidRDefault="008A4F02" w:rsidP="008A4F02">
      <w:pPr>
        <w:pStyle w:val="Default"/>
        <w:numPr>
          <w:ilvl w:val="0"/>
          <w:numId w:val="1"/>
        </w:numPr>
        <w:spacing w:line="360" w:lineRule="auto"/>
        <w:jc w:val="both"/>
        <w:rPr>
          <w:rFonts w:ascii="Arial Narrow" w:hAnsi="Arial Narrow" w:cstheme="minorHAnsi"/>
          <w:color w:val="auto"/>
        </w:rPr>
      </w:pPr>
      <w:r w:rsidRPr="008A4F02">
        <w:rPr>
          <w:rFonts w:ascii="Arial Narrow" w:hAnsi="Arial Narrow" w:cstheme="minorHAnsi"/>
          <w:bCs/>
          <w:iCs/>
          <w:color w:val="auto"/>
        </w:rPr>
        <w:t>Un derecho contractual</w:t>
      </w:r>
      <w:r>
        <w:rPr>
          <w:rFonts w:ascii="Arial Narrow" w:hAnsi="Arial Narrow" w:cstheme="minorHAnsi"/>
          <w:bCs/>
          <w:iCs/>
          <w:color w:val="auto"/>
        </w:rPr>
        <w:t>.</w:t>
      </w:r>
    </w:p>
    <w:p w:rsidR="007164BB" w:rsidRPr="00E53599" w:rsidRDefault="008A4F02" w:rsidP="008A4F02">
      <w:pPr>
        <w:pStyle w:val="boldoutline"/>
        <w:numPr>
          <w:ilvl w:val="0"/>
          <w:numId w:val="1"/>
        </w:numPr>
        <w:spacing w:after="120" w:line="360" w:lineRule="auto"/>
        <w:jc w:val="both"/>
        <w:rPr>
          <w:rFonts w:ascii="Arial Narrow" w:hAnsi="Arial Narrow" w:cstheme="minorHAnsi"/>
          <w:bCs/>
          <w:iCs/>
        </w:rPr>
      </w:pPr>
      <w:r w:rsidRPr="008A4F02">
        <w:rPr>
          <w:rFonts w:ascii="Arial Narrow" w:hAnsi="Arial Narrow" w:cstheme="minorHAnsi"/>
          <w:bCs/>
          <w:iCs/>
        </w:rPr>
        <w:t>Un contrato que sea o pueda ser liquidado utilizando instrumentos de patrimonio propio de la entidad.</w:t>
      </w:r>
    </w:p>
    <w:p w:rsidR="008A4F02" w:rsidRPr="008A4F02" w:rsidRDefault="008A4F02" w:rsidP="008A4F02">
      <w:pPr>
        <w:pStyle w:val="boldoutline"/>
        <w:spacing w:after="120" w:line="360" w:lineRule="auto"/>
        <w:jc w:val="both"/>
        <w:rPr>
          <w:rFonts w:ascii="Arial Narrow" w:hAnsi="Arial Narrow" w:cstheme="minorHAnsi"/>
          <w:bCs/>
          <w:iCs/>
        </w:rPr>
      </w:pPr>
      <w:r w:rsidRPr="008A4F02">
        <w:rPr>
          <w:rFonts w:ascii="Arial Narrow" w:hAnsi="Arial Narrow" w:cstheme="minorHAnsi"/>
          <w:bCs/>
          <w:iCs/>
        </w:rPr>
        <w:lastRenderedPageBreak/>
        <w:t xml:space="preserve">Un pasivo financiero es cualquier pasivo que presente una de las siguientes formas: </w:t>
      </w:r>
    </w:p>
    <w:p w:rsidR="008A4F02" w:rsidRPr="008A4F02" w:rsidRDefault="008A4F02" w:rsidP="008A4F02">
      <w:pPr>
        <w:pStyle w:val="Default"/>
        <w:numPr>
          <w:ilvl w:val="0"/>
          <w:numId w:val="2"/>
        </w:numPr>
        <w:spacing w:line="360" w:lineRule="auto"/>
        <w:jc w:val="both"/>
        <w:rPr>
          <w:rFonts w:ascii="Arial Narrow" w:hAnsi="Arial Narrow" w:cstheme="minorHAnsi"/>
          <w:color w:val="auto"/>
        </w:rPr>
      </w:pPr>
      <w:r w:rsidRPr="008A4F02">
        <w:rPr>
          <w:rFonts w:ascii="Arial Narrow" w:hAnsi="Arial Narrow" w:cstheme="minorHAnsi"/>
          <w:bCs/>
          <w:iCs/>
          <w:color w:val="auto"/>
        </w:rPr>
        <w:t>Una obligación contractual</w:t>
      </w:r>
      <w:r>
        <w:rPr>
          <w:rFonts w:ascii="Arial Narrow" w:hAnsi="Arial Narrow" w:cstheme="minorHAnsi"/>
          <w:bCs/>
          <w:iCs/>
          <w:color w:val="auto"/>
        </w:rPr>
        <w:t>.</w:t>
      </w:r>
    </w:p>
    <w:p w:rsidR="008A4F02" w:rsidRDefault="008A4F02" w:rsidP="008A4F02">
      <w:pPr>
        <w:pStyle w:val="boldoutline"/>
        <w:numPr>
          <w:ilvl w:val="0"/>
          <w:numId w:val="2"/>
        </w:numPr>
        <w:spacing w:after="120" w:line="360" w:lineRule="auto"/>
        <w:jc w:val="both"/>
        <w:rPr>
          <w:rFonts w:ascii="Arial Narrow" w:hAnsi="Arial Narrow" w:cstheme="minorHAnsi"/>
          <w:bCs/>
          <w:iCs/>
        </w:rPr>
      </w:pPr>
      <w:r w:rsidRPr="008A4F02">
        <w:rPr>
          <w:rFonts w:ascii="Arial Narrow" w:hAnsi="Arial Narrow" w:cstheme="minorHAnsi"/>
          <w:bCs/>
          <w:iCs/>
        </w:rPr>
        <w:t>Un contrato que sea o pueda ser liquidado utilizando los instrumentos de patrimonio propio de la entidad.</w:t>
      </w:r>
    </w:p>
    <w:p w:rsidR="008A4F02" w:rsidRPr="008A4F02" w:rsidRDefault="008A4F02" w:rsidP="008A4F02">
      <w:pPr>
        <w:pStyle w:val="boldoutline"/>
        <w:spacing w:after="120" w:line="360" w:lineRule="auto"/>
        <w:jc w:val="both"/>
        <w:rPr>
          <w:rFonts w:ascii="Arial Narrow" w:hAnsi="Arial Narrow" w:cstheme="minorHAnsi"/>
          <w:bCs/>
          <w:iCs/>
        </w:rPr>
      </w:pPr>
      <w:r w:rsidRPr="008A4F02">
        <w:rPr>
          <w:rFonts w:ascii="Arial Narrow" w:hAnsi="Arial Narrow"/>
          <w:bCs/>
          <w:iCs/>
          <w:szCs w:val="20"/>
        </w:rPr>
        <w:t xml:space="preserve">Un instrumento de patrimonio es cualquier contrato que ponga de manifiesto una participación residual en los activos de una entidad, después de deducir todos sus pasivos. </w:t>
      </w:r>
    </w:p>
    <w:p w:rsidR="008A4F02" w:rsidRPr="008A4F02" w:rsidRDefault="008A4F02" w:rsidP="008A4F02">
      <w:pPr>
        <w:pStyle w:val="Default"/>
        <w:spacing w:line="360" w:lineRule="auto"/>
        <w:jc w:val="both"/>
        <w:rPr>
          <w:rFonts w:ascii="Arial Narrow" w:hAnsi="Arial Narrow"/>
          <w:bCs/>
          <w:iCs/>
          <w:color w:val="auto"/>
          <w:szCs w:val="20"/>
        </w:rPr>
      </w:pPr>
      <w:r w:rsidRPr="008A4F02">
        <w:rPr>
          <w:rFonts w:ascii="Arial Narrow" w:hAnsi="Arial Narrow"/>
          <w:bCs/>
          <w:iCs/>
          <w:color w:val="auto"/>
          <w:szCs w:val="20"/>
        </w:rPr>
        <w:t>Valor razonable es el importe por el cual puede ser intercambiado un activo o cancelado un pasivo, entre un comprador y un vendedor interesados y debidamente informados, en condiciones de independencia mutua.</w:t>
      </w:r>
    </w:p>
    <w:p w:rsidR="008A4F02" w:rsidRPr="008A4F02" w:rsidRDefault="008A4F02" w:rsidP="008A4F02">
      <w:pPr>
        <w:autoSpaceDE w:val="0"/>
        <w:autoSpaceDN w:val="0"/>
        <w:adjustRightInd w:val="0"/>
        <w:spacing w:after="0" w:line="360" w:lineRule="auto"/>
        <w:jc w:val="both"/>
        <w:rPr>
          <w:rFonts w:ascii="Arial Narrow" w:hAnsi="Arial Narrow" w:cs="Times New Roman"/>
          <w:sz w:val="24"/>
          <w:szCs w:val="20"/>
        </w:rPr>
      </w:pPr>
      <w:r w:rsidRPr="008A4F02">
        <w:rPr>
          <w:rFonts w:ascii="Arial Narrow" w:hAnsi="Arial Narrow" w:cs="Times New Roman"/>
          <w:sz w:val="24"/>
          <w:szCs w:val="20"/>
        </w:rPr>
        <w:t>En esta Norma, los términos "contrato" y "contractual" hacen referencia a un acuerdo entre dos o más partes que produce, a las partes implicadas, claras consecuencias económicas que tienen poca o ninguna capacidad de evitar, ya que el cumplimiento del acuerdo es exigible legalmente. Los contratos, y por tanto los instrumentos financieros asociados, pueden adoptar una gran variedad de formas y no precisan ser fijados por escrito.</w:t>
      </w:r>
    </w:p>
    <w:p w:rsidR="008A4F02" w:rsidRDefault="008A4F02" w:rsidP="008A4F02">
      <w:pPr>
        <w:pStyle w:val="Default"/>
        <w:spacing w:line="360" w:lineRule="auto"/>
        <w:jc w:val="both"/>
        <w:rPr>
          <w:rFonts w:ascii="Arial Narrow" w:hAnsi="Arial Narrow"/>
          <w:color w:val="auto"/>
          <w:szCs w:val="20"/>
        </w:rPr>
      </w:pPr>
      <w:r w:rsidRPr="008A4F02">
        <w:rPr>
          <w:rFonts w:ascii="Arial Narrow" w:hAnsi="Arial Narrow"/>
          <w:color w:val="auto"/>
          <w:szCs w:val="20"/>
        </w:rPr>
        <w:t>En esta Norma, el término "entidad" incluye tanto a empresarios individuales como a formas asociativas entre empresarios, así como a sociedades legalmente establecidas, coalición de entidades y entidades públicas.</w:t>
      </w:r>
    </w:p>
    <w:p w:rsidR="008A4F02" w:rsidRDefault="008A4F02" w:rsidP="008A4F02">
      <w:pPr>
        <w:pStyle w:val="Default"/>
        <w:spacing w:line="360" w:lineRule="auto"/>
        <w:jc w:val="both"/>
        <w:rPr>
          <w:rFonts w:ascii="Arial Narrow" w:hAnsi="Arial Narrow"/>
          <w:color w:val="auto"/>
          <w:szCs w:val="20"/>
        </w:rPr>
      </w:pPr>
    </w:p>
    <w:p w:rsidR="00410A69" w:rsidRPr="00410A69" w:rsidRDefault="005A1A0E" w:rsidP="008A4F02">
      <w:pPr>
        <w:pStyle w:val="Default"/>
        <w:spacing w:line="360" w:lineRule="auto"/>
        <w:jc w:val="both"/>
        <w:rPr>
          <w:rFonts w:ascii="Arial Narrow" w:hAnsi="Arial Narrow"/>
          <w:b/>
          <w:szCs w:val="20"/>
        </w:rPr>
      </w:pPr>
      <w:r w:rsidRPr="005556FB">
        <w:rPr>
          <w:rFonts w:ascii="Arial Narrow" w:hAnsi="Arial Narrow"/>
          <w:szCs w:val="20"/>
        </w:rPr>
        <w:t>MEDICIÓN INICIAL.</w:t>
      </w:r>
    </w:p>
    <w:p w:rsidR="00410A69" w:rsidRDefault="00F21B09" w:rsidP="008A4F02">
      <w:pPr>
        <w:pStyle w:val="Default"/>
        <w:spacing w:line="360" w:lineRule="auto"/>
        <w:jc w:val="both"/>
        <w:rPr>
          <w:rFonts w:ascii="Arial Narrow" w:hAnsi="Arial Narrow"/>
          <w:szCs w:val="20"/>
        </w:rPr>
      </w:pPr>
      <w:r>
        <w:rPr>
          <w:rFonts w:ascii="Arial Narrow" w:hAnsi="Arial Narrow"/>
          <w:noProof/>
          <w:szCs w:val="20"/>
          <w:lang w:val="es-ES" w:eastAsia="es-ES"/>
        </w:rPr>
        <w:drawing>
          <wp:anchor distT="0" distB="0" distL="114300" distR="114300" simplePos="0" relativeHeight="251668480" behindDoc="0" locked="0" layoutInCell="1" allowOverlap="1" wp14:anchorId="49BB3E6E" wp14:editId="2F56E8C4">
            <wp:simplePos x="0" y="0"/>
            <wp:positionH relativeFrom="column">
              <wp:posOffset>53340</wp:posOffset>
            </wp:positionH>
            <wp:positionV relativeFrom="paragraph">
              <wp:posOffset>77470</wp:posOffset>
            </wp:positionV>
            <wp:extent cx="1755775" cy="2200275"/>
            <wp:effectExtent l="76200" t="76200" r="130175" b="142875"/>
            <wp:wrapSquare wrapText="bothSides"/>
            <wp:docPr id="2" name="Imagen 2" descr="C:\Users\Estudiante\Pictures\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udiante\Pictures\me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5775" cy="2200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A4F02" w:rsidRPr="004329F1">
        <w:rPr>
          <w:rFonts w:ascii="Arial Narrow" w:hAnsi="Arial Narrow"/>
          <w:szCs w:val="20"/>
        </w:rPr>
        <w:t>En este apartado se refiere a como hará el contador su reconocimiento  al tener el contrato la normativa  lo establece así:</w:t>
      </w:r>
    </w:p>
    <w:p w:rsidR="00EF2F36" w:rsidRDefault="008A4F02" w:rsidP="008A4F02">
      <w:pPr>
        <w:pStyle w:val="Default"/>
        <w:spacing w:line="360" w:lineRule="auto"/>
        <w:jc w:val="both"/>
        <w:rPr>
          <w:rFonts w:ascii="Arial Narrow" w:hAnsi="Arial Narrow"/>
          <w:szCs w:val="20"/>
        </w:rPr>
      </w:pPr>
      <w:r w:rsidRPr="00BF27A0">
        <w:rPr>
          <w:rFonts w:eastAsia="Times New Roman"/>
          <w:snapToGrid w:val="0"/>
          <w:w w:val="0"/>
          <w:sz w:val="0"/>
          <w:szCs w:val="0"/>
          <w:u w:color="000000"/>
          <w:bdr w:val="none" w:sz="0" w:space="0" w:color="000000"/>
          <w:shd w:val="clear" w:color="000000" w:fill="000000"/>
          <w:lang w:val="x-none" w:eastAsia="x-none" w:bidi="x-none"/>
        </w:rPr>
        <w:t xml:space="preserve"> </w:t>
      </w:r>
      <w:r w:rsidRPr="004329F1">
        <w:rPr>
          <w:rFonts w:ascii="Arial Narrow" w:hAnsi="Arial Narrow"/>
          <w:bCs/>
          <w:iCs/>
          <w:szCs w:val="20"/>
        </w:rPr>
        <w:t>El emisor de un instrumento financiero lo clasificará en su totalidad o en cada una de sus partes integrantes, en el momento de su reconocimiento inicial, como un pasivo financiero, un activo financiero o un instrumento de patrimonio, de conformidad con el fondo económico del acuerdo contractual y con las definiciones de pasivo financiero, de activo financiero y de instrumento de patrimonio</w:t>
      </w:r>
      <w:r w:rsidRPr="004329F1">
        <w:rPr>
          <w:rFonts w:ascii="Arial Narrow" w:hAnsi="Arial Narrow"/>
          <w:szCs w:val="20"/>
        </w:rPr>
        <w:t>.</w:t>
      </w:r>
    </w:p>
    <w:p w:rsidR="008D0B9D" w:rsidRDefault="008A4F02" w:rsidP="008D0B9D">
      <w:pPr>
        <w:pStyle w:val="Default"/>
        <w:spacing w:line="360" w:lineRule="auto"/>
        <w:jc w:val="both"/>
        <w:rPr>
          <w:rFonts w:ascii="Arial Narrow" w:hAnsi="Arial Narrow"/>
          <w:szCs w:val="20"/>
        </w:rPr>
      </w:pPr>
      <w:r w:rsidRPr="004329F1">
        <w:rPr>
          <w:rFonts w:ascii="Arial Narrow" w:hAnsi="Arial Narrow"/>
          <w:szCs w:val="20"/>
        </w:rPr>
        <w:lastRenderedPageBreak/>
        <w:t>Un elemento clave para diferenciar un pasivo financiero de un instrumento de patrimonio, es la existencia de una obligación contractual, que recae sobre una de las partes implicadas en el instrumento financiero (el emisor), consistente en entregar efectivo u otro activo financiero a la otra parte (el tenedor), o intercambiar activos financieros o pasivos financieros con el tenedor en condiciones que sean potencialmente desfavorables para el emisor. Aunque el tenedor de un instrumento de patrimonio pueda tener derecho a recibir una proporción de los dividendos o de otros repartos de partidas del patrimonio, el emisor no tendrá la obligación contractual de realizar dichos repartos, porque no puede ser requerido para que entregue efectivo u otro activo financiero a la otra parte.</w:t>
      </w:r>
    </w:p>
    <w:p w:rsidR="008D0B9D" w:rsidRPr="008D0B9D" w:rsidRDefault="008D0B9D" w:rsidP="008D0B9D">
      <w:pPr>
        <w:pStyle w:val="Default"/>
        <w:spacing w:line="360" w:lineRule="auto"/>
        <w:jc w:val="both"/>
        <w:rPr>
          <w:rFonts w:ascii="Arial Narrow" w:hAnsi="Arial Narrow"/>
          <w:szCs w:val="20"/>
        </w:rPr>
      </w:pPr>
    </w:p>
    <w:p w:rsidR="008D0B9D" w:rsidRDefault="008D0B9D" w:rsidP="008D0B9D">
      <w:pPr>
        <w:autoSpaceDE w:val="0"/>
        <w:autoSpaceDN w:val="0"/>
        <w:adjustRightInd w:val="0"/>
        <w:spacing w:after="0" w:line="360" w:lineRule="auto"/>
        <w:jc w:val="both"/>
        <w:rPr>
          <w:rFonts w:ascii="Arial Narrow" w:hAnsi="Arial Narrow" w:cs="Times New Roman"/>
          <w:bCs/>
          <w:sz w:val="24"/>
          <w:szCs w:val="20"/>
        </w:rPr>
      </w:pPr>
      <w:r w:rsidRPr="008D0B9D">
        <w:rPr>
          <w:rFonts w:ascii="Arial Narrow" w:hAnsi="Arial Narrow" w:cs="Times New Roman"/>
          <w:bCs/>
          <w:sz w:val="24"/>
          <w:szCs w:val="20"/>
        </w:rPr>
        <w:t>Liquidación mediante los instrumentos de patrimonio propio de la entida</w:t>
      </w:r>
      <w:r>
        <w:rPr>
          <w:rFonts w:ascii="Arial Narrow" w:hAnsi="Arial Narrow" w:cs="Times New Roman"/>
          <w:bCs/>
          <w:sz w:val="24"/>
          <w:szCs w:val="20"/>
        </w:rPr>
        <w:t>d:</w:t>
      </w:r>
    </w:p>
    <w:p w:rsidR="008D0B9D" w:rsidRPr="008D0B9D" w:rsidRDefault="008D0B9D" w:rsidP="008D0B9D">
      <w:pPr>
        <w:autoSpaceDE w:val="0"/>
        <w:autoSpaceDN w:val="0"/>
        <w:adjustRightInd w:val="0"/>
        <w:spacing w:after="0" w:line="360" w:lineRule="auto"/>
        <w:jc w:val="both"/>
        <w:rPr>
          <w:rFonts w:ascii="Arial Narrow" w:hAnsi="Arial Narrow" w:cs="Times New Roman"/>
          <w:bCs/>
          <w:sz w:val="24"/>
          <w:szCs w:val="20"/>
        </w:rPr>
      </w:pPr>
    </w:p>
    <w:p w:rsidR="008D0B9D" w:rsidRDefault="008D0B9D" w:rsidP="008D0B9D">
      <w:pPr>
        <w:autoSpaceDE w:val="0"/>
        <w:autoSpaceDN w:val="0"/>
        <w:adjustRightInd w:val="0"/>
        <w:spacing w:after="0" w:line="360" w:lineRule="auto"/>
        <w:jc w:val="both"/>
        <w:rPr>
          <w:rFonts w:ascii="Arial Narrow" w:hAnsi="Arial Narrow" w:cs="Times New Roman"/>
          <w:color w:val="000000"/>
          <w:sz w:val="24"/>
          <w:szCs w:val="20"/>
        </w:rPr>
      </w:pPr>
      <w:r w:rsidRPr="00BF27A0">
        <w:rPr>
          <w:rFonts w:ascii="Arial Narrow" w:hAnsi="Arial Narrow" w:cs="Times New Roman"/>
          <w:color w:val="000000"/>
          <w:sz w:val="24"/>
          <w:szCs w:val="20"/>
        </w:rPr>
        <w:t>Un contrato no será un instrumento de patrimonio sólo porque pueda dar lugar a la recepción o entrega de los instrumentos de patrimonio propio de la entidad. Una entidad puede tener un derecho o una obligación contractual, que consista en recibir o entregar una cantidad de sus propias acciones o de otros instrumentos de patrimonio que varíe, de tal forma que el valor razonable de los instrumentos de patrimonio propio a entregar o recibir sea igual al importe del derecho o la obligación contractual. Este derecho u obligación contractual puede ser por un importe fijo o su valor puede fluctuar, total o parcialmente, como respuesta a los cambios en una variable distinta del precio de mercado de los instrumentos de patrimonio propio de la entidad (por ejemplo, un tipo de interés, el precio de una materia prima cotizada o el precio de un instrumento financiero). Dos ejemplos son (a) un contrato para entregar instrumentos de patrimonio propio de la entidad que equivalgan a un valor de 100 u.m.</w:t>
      </w:r>
      <w:r w:rsidRPr="00BF27A0">
        <w:rPr>
          <w:rFonts w:ascii="Arial Narrow" w:hAnsi="Arial Narrow" w:cs="Times New Roman"/>
          <w:color w:val="000000"/>
          <w:position w:val="8"/>
          <w:sz w:val="24"/>
          <w:szCs w:val="20"/>
          <w:vertAlign w:val="superscript"/>
        </w:rPr>
        <w:t>*</w:t>
      </w:r>
      <w:r w:rsidRPr="00BF27A0">
        <w:rPr>
          <w:rFonts w:ascii="Arial Narrow" w:hAnsi="Arial Narrow" w:cs="Times New Roman"/>
          <w:color w:val="000000"/>
          <w:sz w:val="24"/>
          <w:szCs w:val="20"/>
        </w:rPr>
        <w:t xml:space="preserve">, y (b) un contrato para entregar instrumentos de patrimonio propio de la entidad que equivalgan al precio de 100 onzas de oro. Este contrato será un pasivo financiero de la entidad, incluso aunque ésta pueda o deba liquidarlos mediante la entrega de sus instrumentos de patrimonio propio. No será un instrumento de patrimonio, porque la entidad utilizará una cantidad variable de sus instrumentos de patrimonio propio para liquidar el contrato. De acuerdo con lo anterior, el contrato no pone de manifiesto una participación residual en los activos de la entidad, una vez deducidos todos sus pasivos. </w:t>
      </w:r>
    </w:p>
    <w:p w:rsidR="007164BB" w:rsidRDefault="007164BB" w:rsidP="008D0B9D">
      <w:pPr>
        <w:autoSpaceDE w:val="0"/>
        <w:autoSpaceDN w:val="0"/>
        <w:adjustRightInd w:val="0"/>
        <w:spacing w:after="0" w:line="360" w:lineRule="auto"/>
        <w:jc w:val="both"/>
        <w:rPr>
          <w:rFonts w:ascii="Arial Narrow" w:eastAsiaTheme="minorHAnsi" w:hAnsi="Arial Narrow" w:cs="Times New Roman"/>
          <w:sz w:val="24"/>
          <w:szCs w:val="20"/>
          <w:lang w:val="es-SV" w:eastAsia="en-US"/>
        </w:rPr>
      </w:pPr>
    </w:p>
    <w:p w:rsidR="00F21B09" w:rsidRPr="008D0B9D" w:rsidRDefault="008D0B9D" w:rsidP="008D0B9D">
      <w:pPr>
        <w:autoSpaceDE w:val="0"/>
        <w:autoSpaceDN w:val="0"/>
        <w:adjustRightInd w:val="0"/>
        <w:spacing w:after="0" w:line="360" w:lineRule="auto"/>
        <w:jc w:val="both"/>
        <w:rPr>
          <w:rFonts w:ascii="Arial Narrow" w:hAnsi="Arial Narrow" w:cs="Times New Roman"/>
          <w:bCs/>
          <w:sz w:val="24"/>
          <w:szCs w:val="24"/>
        </w:rPr>
      </w:pPr>
      <w:r w:rsidRPr="008D0B9D">
        <w:rPr>
          <w:rFonts w:ascii="Arial Narrow" w:hAnsi="Arial Narrow" w:cs="Times New Roman"/>
          <w:bCs/>
          <w:sz w:val="24"/>
          <w:szCs w:val="24"/>
        </w:rPr>
        <w:lastRenderedPageBreak/>
        <w:t>Acciones propias.</w:t>
      </w:r>
    </w:p>
    <w:p w:rsidR="008D0B9D" w:rsidRPr="008D0B9D" w:rsidRDefault="008D0B9D" w:rsidP="008D0B9D">
      <w:pPr>
        <w:autoSpaceDE w:val="0"/>
        <w:autoSpaceDN w:val="0"/>
        <w:adjustRightInd w:val="0"/>
        <w:spacing w:after="0" w:line="360" w:lineRule="auto"/>
        <w:jc w:val="both"/>
        <w:rPr>
          <w:rFonts w:ascii="Arial Narrow" w:hAnsi="Arial Narrow" w:cs="Times New Roman"/>
          <w:bCs/>
          <w:sz w:val="24"/>
          <w:szCs w:val="24"/>
        </w:rPr>
      </w:pPr>
      <w:r w:rsidRPr="008D0B9D">
        <w:rPr>
          <w:rFonts w:ascii="Arial Narrow" w:hAnsi="Arial Narrow"/>
          <w:noProof/>
          <w:sz w:val="24"/>
          <w:szCs w:val="24"/>
        </w:rPr>
        <w:drawing>
          <wp:anchor distT="0" distB="0" distL="114300" distR="114300" simplePos="0" relativeHeight="251670528" behindDoc="0" locked="0" layoutInCell="1" allowOverlap="1" wp14:anchorId="2B5EE9E7" wp14:editId="734004ED">
            <wp:simplePos x="0" y="0"/>
            <wp:positionH relativeFrom="column">
              <wp:posOffset>3767455</wp:posOffset>
            </wp:positionH>
            <wp:positionV relativeFrom="paragraph">
              <wp:posOffset>13970</wp:posOffset>
            </wp:positionV>
            <wp:extent cx="1768475" cy="2209800"/>
            <wp:effectExtent l="76200" t="76200" r="136525" b="133350"/>
            <wp:wrapSquare wrapText="bothSides"/>
            <wp:docPr id="3" name="Imagen 3" descr="http://s3-eu-west-1.amazonaws.com/rankia/images/valoraciones/0019/8176/Acciones-split.jpg?1432656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eu-west-1.amazonaws.com/rankia/images/valoraciones/0019/8176/Acciones-split.jpg?14326561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8475"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8D0B9D">
        <w:rPr>
          <w:rFonts w:ascii="Arial Narrow" w:hAnsi="Arial Narrow" w:cs="Times New Roman"/>
          <w:bCs/>
          <w:sz w:val="24"/>
          <w:szCs w:val="24"/>
        </w:rPr>
        <w:t>En la formación clase ya se había estudiado esta figura que hace referencia a emitir más acciones bajando el valor nominal de las que ya estaban, esto tiene un impacto a nivel de subcuenta y en ocasiones se usa como parte de unas estrategias empresariales</w:t>
      </w:r>
    </w:p>
    <w:p w:rsidR="008D0B9D" w:rsidRPr="008D0B9D" w:rsidRDefault="008D0B9D" w:rsidP="008D0B9D">
      <w:pPr>
        <w:autoSpaceDE w:val="0"/>
        <w:autoSpaceDN w:val="0"/>
        <w:adjustRightInd w:val="0"/>
        <w:spacing w:after="0" w:line="360" w:lineRule="auto"/>
        <w:jc w:val="both"/>
        <w:rPr>
          <w:rFonts w:ascii="Arial Narrow" w:hAnsi="Arial Narrow" w:cs="Times New Roman"/>
          <w:sz w:val="24"/>
          <w:szCs w:val="24"/>
        </w:rPr>
      </w:pPr>
      <w:r w:rsidRPr="008D0B9D">
        <w:rPr>
          <w:rFonts w:ascii="Arial Narrow" w:hAnsi="Arial Narrow" w:cs="Times New Roman"/>
          <w:bCs/>
          <w:sz w:val="24"/>
          <w:szCs w:val="24"/>
        </w:rPr>
        <w:t xml:space="preserve"> </w:t>
      </w:r>
    </w:p>
    <w:p w:rsidR="008D0B9D" w:rsidRPr="008D0B9D" w:rsidRDefault="008D0B9D" w:rsidP="008D0B9D">
      <w:pPr>
        <w:spacing w:line="360" w:lineRule="auto"/>
        <w:jc w:val="both"/>
        <w:rPr>
          <w:rFonts w:ascii="Arial Narrow" w:hAnsi="Arial Narrow"/>
          <w:sz w:val="24"/>
          <w:szCs w:val="24"/>
        </w:rPr>
      </w:pPr>
      <w:r w:rsidRPr="008D0B9D">
        <w:rPr>
          <w:rFonts w:ascii="Arial Narrow" w:hAnsi="Arial Narrow" w:cs="Times New Roman"/>
          <w:bCs/>
          <w:iCs/>
          <w:sz w:val="24"/>
          <w:szCs w:val="24"/>
        </w:rPr>
        <w:t>Si una entidad readquiriese sus instrumentos de patrimonio propio, el importe de las “acciones propias” se deducirá del patrimonio. No se reconocerá ninguna pérdida o ganancia en el resultado del ejercicio derivada de la compra, venta, emisión o amortización de los instrumentos de patrimonio propio de la entidad. Estas acciones propias podrán ser adquiridas y poseídas por la entidad o por otros miembros del grupo consolidado. La contraprestación pagada o recibida se reconocerá directamente en el patrimonio.</w:t>
      </w:r>
      <w:r w:rsidRPr="008D0B9D">
        <w:rPr>
          <w:rFonts w:ascii="Arial Narrow" w:hAnsi="Arial Narrow"/>
          <w:sz w:val="24"/>
          <w:szCs w:val="24"/>
        </w:rPr>
        <w:t xml:space="preserve"> </w:t>
      </w:r>
    </w:p>
    <w:p w:rsidR="008D0B9D" w:rsidRPr="008D0B9D" w:rsidRDefault="008D0B9D" w:rsidP="008D0B9D">
      <w:pPr>
        <w:spacing w:line="360" w:lineRule="auto"/>
        <w:jc w:val="both"/>
        <w:rPr>
          <w:rFonts w:ascii="Arial Narrow" w:hAnsi="Arial Narrow"/>
          <w:sz w:val="24"/>
          <w:szCs w:val="24"/>
        </w:rPr>
      </w:pPr>
      <w:r w:rsidRPr="008D0B9D">
        <w:rPr>
          <w:rFonts w:ascii="Arial Narrow" w:hAnsi="Arial Narrow"/>
          <w:sz w:val="24"/>
          <w:szCs w:val="24"/>
        </w:rPr>
        <w:t>Las acciones preferentes pueden emitirse con derechos muy variados. Al determinar si una acción</w:t>
      </w:r>
      <w:r w:rsidRPr="008D0B9D">
        <w:rPr>
          <w:rFonts w:ascii="Arial Narrow" w:hAnsi="Arial Narrow"/>
          <w:sz w:val="24"/>
          <w:szCs w:val="24"/>
        </w:rPr>
        <w:br/>
        <w:t>preferente es un pasivo financiero o un instrumento de patrimonio, el emisor evaluará los derechos</w:t>
      </w:r>
      <w:r w:rsidRPr="008D0B9D">
        <w:rPr>
          <w:rFonts w:ascii="Arial Narrow" w:hAnsi="Arial Narrow"/>
          <w:sz w:val="24"/>
          <w:szCs w:val="24"/>
        </w:rPr>
        <w:br/>
        <w:t>particulares concedidos a la acción para determinar si posee la característica fundamental de un pasivo financiero. Por ejemplo, una acción preferente que contemple su rescate en una fecha específica o a voluntad del tenedor, contiene un pasivo financiero, porque el emisor tiene la obligación de transferir activos financieros al tenedor de la acción. La posible incapacidad del emisor para satisfacer la obligación de rescatar una acción preferente, cuando sea requerido en los términos contractuales para hacerlo, ya sea por causa de falta de fondos, por restricciones legales o por tener insuficientes reservas o ganancias, no niega la existencia de la obligación. En el caso de existir una opción a favor del emisor para rescatar las acciones en efectivo, no se cumplirá la definición de pasivo financiero, porque el emisor no tiene una obligación actual de transferir activos financieros a los accionistas. En este caso, el rescate de las acciones queda únicamente a discreción del emisor.</w:t>
      </w:r>
    </w:p>
    <w:p w:rsidR="008D0B9D" w:rsidRPr="008D0B9D" w:rsidRDefault="008D0B9D" w:rsidP="008D0B9D">
      <w:pPr>
        <w:spacing w:line="360" w:lineRule="auto"/>
        <w:jc w:val="both"/>
        <w:rPr>
          <w:rFonts w:ascii="Arial Narrow" w:hAnsi="Arial Narrow" w:cs="Times New Roman"/>
          <w:bCs/>
          <w:iCs/>
          <w:sz w:val="24"/>
          <w:szCs w:val="24"/>
        </w:rPr>
      </w:pPr>
      <w:r w:rsidRPr="008D0B9D">
        <w:rPr>
          <w:rFonts w:ascii="Arial Narrow" w:hAnsi="Arial Narrow"/>
          <w:sz w:val="24"/>
          <w:szCs w:val="24"/>
        </w:rPr>
        <w:t>Código de comercio de El Salvador</w:t>
      </w:r>
      <w:r w:rsidR="00F21B09">
        <w:rPr>
          <w:rFonts w:ascii="Arial Narrow" w:hAnsi="Arial Narrow"/>
          <w:sz w:val="24"/>
          <w:szCs w:val="24"/>
        </w:rPr>
        <w:t>, establece en el artículo</w:t>
      </w:r>
      <w:r w:rsidRPr="008D0B9D">
        <w:rPr>
          <w:rFonts w:ascii="Arial Narrow" w:hAnsi="Arial Narrow"/>
          <w:sz w:val="24"/>
          <w:szCs w:val="24"/>
        </w:rPr>
        <w:t xml:space="preserve"> 160 que las acciones preferentes tendrán derecho a vos pero no a voto, pero con este tipo de acciones se obtiene una renta fija del 6% sobre su valor inclusive si la entidad obtiene perdidas en el periodo.</w:t>
      </w:r>
    </w:p>
    <w:p w:rsidR="00F21B09" w:rsidRDefault="00F21B09" w:rsidP="008D0B9D">
      <w:pPr>
        <w:spacing w:line="360" w:lineRule="auto"/>
        <w:jc w:val="both"/>
        <w:rPr>
          <w:rFonts w:ascii="Arial Narrow" w:hAnsi="Arial Narrow"/>
          <w:bCs/>
          <w:sz w:val="24"/>
          <w:szCs w:val="24"/>
        </w:rPr>
      </w:pPr>
      <w:r w:rsidRPr="008D0B9D">
        <w:rPr>
          <w:rFonts w:ascii="Arial Narrow" w:hAnsi="Arial Narrow"/>
          <w:noProof/>
          <w:sz w:val="24"/>
          <w:szCs w:val="24"/>
        </w:rPr>
        <w:lastRenderedPageBreak/>
        <w:drawing>
          <wp:anchor distT="0" distB="0" distL="114300" distR="114300" simplePos="0" relativeHeight="251671552" behindDoc="0" locked="0" layoutInCell="1" allowOverlap="1" wp14:anchorId="1DDC699F" wp14:editId="2BCCA7F8">
            <wp:simplePos x="0" y="0"/>
            <wp:positionH relativeFrom="column">
              <wp:posOffset>43815</wp:posOffset>
            </wp:positionH>
            <wp:positionV relativeFrom="paragraph">
              <wp:posOffset>104775</wp:posOffset>
            </wp:positionV>
            <wp:extent cx="1762125" cy="2209800"/>
            <wp:effectExtent l="76200" t="76200" r="142875" b="133350"/>
            <wp:wrapSquare wrapText="bothSides"/>
            <wp:docPr id="4" name="Imagen 4" descr="https://s3-sa-east-1.amazonaws.com/igdigital-ar/wp-content/uploads/2015/11/02150912/ganardineromientrasotrosga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sa-east-1.amazonaws.com/igdigital-ar/wp-content/uploads/2015/11/02150912/ganardineromientrasotrosgasta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2125"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D0B9D" w:rsidRPr="008D0B9D">
        <w:rPr>
          <w:rFonts w:ascii="Arial Narrow" w:hAnsi="Arial Narrow"/>
          <w:bCs/>
          <w:sz w:val="24"/>
          <w:szCs w:val="24"/>
        </w:rPr>
        <w:t>Será necesario que se informe con notas explicativas los movimientos en la alícuota de participación de acciones comunes véase en sección</w:t>
      </w:r>
      <w:r>
        <w:rPr>
          <w:rFonts w:ascii="Arial Narrow" w:hAnsi="Arial Narrow"/>
          <w:bCs/>
          <w:sz w:val="24"/>
          <w:szCs w:val="24"/>
        </w:rPr>
        <w:t xml:space="preserve"> 8 NIIF para P</w:t>
      </w:r>
      <w:r w:rsidR="008D0B9D" w:rsidRPr="008D0B9D">
        <w:rPr>
          <w:rFonts w:ascii="Arial Narrow" w:hAnsi="Arial Narrow"/>
          <w:bCs/>
          <w:sz w:val="24"/>
          <w:szCs w:val="24"/>
        </w:rPr>
        <w:t>ymes y hacer los cambios en libros del accionistas.</w:t>
      </w:r>
      <w:r>
        <w:rPr>
          <w:rFonts w:ascii="Arial Narrow" w:hAnsi="Arial Narrow"/>
          <w:bCs/>
          <w:sz w:val="24"/>
          <w:szCs w:val="24"/>
        </w:rPr>
        <w:t xml:space="preserve"> </w:t>
      </w:r>
    </w:p>
    <w:p w:rsidR="008D0B9D" w:rsidRPr="008D0B9D" w:rsidRDefault="008D0B9D" w:rsidP="008D0B9D">
      <w:pPr>
        <w:spacing w:line="360" w:lineRule="auto"/>
        <w:jc w:val="both"/>
        <w:rPr>
          <w:rFonts w:ascii="Arial Narrow" w:hAnsi="Arial Narrow"/>
          <w:bCs/>
          <w:sz w:val="24"/>
          <w:szCs w:val="24"/>
        </w:rPr>
      </w:pPr>
      <w:r w:rsidRPr="008D0B9D">
        <w:rPr>
          <w:rFonts w:ascii="Arial Narrow" w:hAnsi="Arial Narrow"/>
          <w:bCs/>
          <w:sz w:val="24"/>
          <w:szCs w:val="24"/>
        </w:rPr>
        <w:t>La compra de instrumentos de patrimonio deberá revelarse en los estados financieros de la compañía inversionista.</w:t>
      </w:r>
    </w:p>
    <w:p w:rsidR="00F21B09" w:rsidRDefault="008D0B9D" w:rsidP="008D0B9D">
      <w:pPr>
        <w:spacing w:line="360" w:lineRule="auto"/>
        <w:jc w:val="both"/>
        <w:rPr>
          <w:rFonts w:ascii="Arial Narrow" w:hAnsi="Arial Narrow" w:cs="Arial"/>
          <w:bCs/>
          <w:iCs/>
          <w:sz w:val="24"/>
          <w:szCs w:val="24"/>
        </w:rPr>
      </w:pPr>
      <w:r w:rsidRPr="008D0B9D">
        <w:rPr>
          <w:rFonts w:ascii="Arial Narrow" w:hAnsi="Arial Narrow" w:cs="Arial"/>
          <w:bCs/>
          <w:iCs/>
          <w:sz w:val="24"/>
          <w:szCs w:val="24"/>
        </w:rPr>
        <w:t>Un activo financiero y un pasivo financiero serán objeto de compensación, de manera que se presente en</w:t>
      </w:r>
      <w:r w:rsidRPr="008D0B9D">
        <w:rPr>
          <w:rFonts w:ascii="Arial Narrow" w:hAnsi="Arial Narrow" w:cs="Arial"/>
          <w:sz w:val="24"/>
          <w:szCs w:val="24"/>
        </w:rPr>
        <w:t xml:space="preserve"> </w:t>
      </w:r>
      <w:r w:rsidRPr="008D0B9D">
        <w:rPr>
          <w:rFonts w:ascii="Arial Narrow" w:hAnsi="Arial Narrow" w:cs="Arial"/>
          <w:bCs/>
          <w:iCs/>
          <w:sz w:val="24"/>
          <w:szCs w:val="24"/>
        </w:rPr>
        <w:t>el balance su importe neto, cuando y sólo cuando la entidad:</w:t>
      </w:r>
    </w:p>
    <w:p w:rsidR="008D0B9D" w:rsidRPr="008D0B9D" w:rsidRDefault="008D0B9D" w:rsidP="008D0B9D">
      <w:pPr>
        <w:spacing w:line="360" w:lineRule="auto"/>
        <w:jc w:val="both"/>
        <w:rPr>
          <w:rFonts w:ascii="Arial Narrow" w:hAnsi="Arial Narrow" w:cs="Arial"/>
          <w:bCs/>
          <w:iCs/>
          <w:sz w:val="24"/>
          <w:szCs w:val="24"/>
        </w:rPr>
      </w:pPr>
      <w:r w:rsidRPr="008D0B9D">
        <w:rPr>
          <w:rFonts w:ascii="Arial Narrow" w:hAnsi="Arial Narrow" w:cs="Arial"/>
          <w:bCs/>
          <w:iCs/>
          <w:sz w:val="24"/>
          <w:szCs w:val="24"/>
        </w:rPr>
        <w:t>(a) tenga, en el momento actual, el derecho, exigible legalmente, de compensar los importes</w:t>
      </w:r>
      <w:r w:rsidRPr="008D0B9D">
        <w:rPr>
          <w:rFonts w:ascii="Arial Narrow" w:hAnsi="Arial Narrow" w:cs="Arial"/>
          <w:sz w:val="24"/>
          <w:szCs w:val="24"/>
        </w:rPr>
        <w:br/>
      </w:r>
      <w:r w:rsidR="00F21B09">
        <w:rPr>
          <w:rFonts w:ascii="Arial Narrow" w:hAnsi="Arial Narrow" w:cs="Arial"/>
          <w:bCs/>
          <w:iCs/>
          <w:sz w:val="24"/>
          <w:szCs w:val="24"/>
        </w:rPr>
        <w:t>reconocidos.</w:t>
      </w:r>
      <w:r w:rsidRPr="008D0B9D">
        <w:rPr>
          <w:rFonts w:ascii="Arial Narrow" w:hAnsi="Arial Narrow" w:cs="Arial"/>
          <w:sz w:val="24"/>
          <w:szCs w:val="24"/>
        </w:rPr>
        <w:br/>
      </w:r>
      <w:r w:rsidRPr="008D0B9D">
        <w:rPr>
          <w:rFonts w:ascii="Arial Narrow" w:hAnsi="Arial Narrow" w:cs="Arial"/>
          <w:bCs/>
          <w:iCs/>
          <w:sz w:val="24"/>
          <w:szCs w:val="24"/>
        </w:rPr>
        <w:t xml:space="preserve">(b) </w:t>
      </w:r>
      <w:r w:rsidR="00F21B09">
        <w:rPr>
          <w:rFonts w:ascii="Arial Narrow" w:hAnsi="Arial Narrow" w:cs="Arial"/>
          <w:bCs/>
          <w:iCs/>
          <w:sz w:val="24"/>
          <w:szCs w:val="24"/>
        </w:rPr>
        <w:t xml:space="preserve">Se </w:t>
      </w:r>
      <w:r w:rsidRPr="008D0B9D">
        <w:rPr>
          <w:rFonts w:ascii="Arial Narrow" w:hAnsi="Arial Narrow" w:cs="Arial"/>
          <w:bCs/>
          <w:iCs/>
          <w:sz w:val="24"/>
          <w:szCs w:val="24"/>
        </w:rPr>
        <w:t>tenga la intención de liquidar la cantidad neta, o de realizar el activo y cancelar el pasivo</w:t>
      </w:r>
      <w:r w:rsidRPr="008D0B9D">
        <w:rPr>
          <w:rFonts w:ascii="Arial Narrow" w:hAnsi="Arial Narrow" w:cs="Arial"/>
          <w:sz w:val="24"/>
          <w:szCs w:val="24"/>
        </w:rPr>
        <w:br/>
      </w:r>
      <w:r w:rsidRPr="008D0B9D">
        <w:rPr>
          <w:rFonts w:ascii="Arial Narrow" w:hAnsi="Arial Narrow" w:cs="Arial"/>
          <w:bCs/>
          <w:iCs/>
          <w:sz w:val="24"/>
          <w:szCs w:val="24"/>
        </w:rPr>
        <w:t>simultáneamente.</w:t>
      </w:r>
    </w:p>
    <w:p w:rsidR="008D0B9D" w:rsidRPr="008D0B9D" w:rsidRDefault="008D0B9D" w:rsidP="008D0B9D">
      <w:pPr>
        <w:spacing w:line="360" w:lineRule="auto"/>
        <w:jc w:val="both"/>
        <w:rPr>
          <w:rFonts w:ascii="Arial Narrow" w:hAnsi="Arial Narrow"/>
          <w:sz w:val="24"/>
          <w:szCs w:val="24"/>
        </w:rPr>
      </w:pPr>
      <w:r w:rsidRPr="008D0B9D">
        <w:rPr>
          <w:rFonts w:ascii="Arial Narrow" w:hAnsi="Arial Narrow"/>
          <w:sz w:val="24"/>
          <w:szCs w:val="24"/>
        </w:rPr>
        <w:t>Para proceder a compensar un activo financiero con un pasivo financiero, la entidad debe tener un</w:t>
      </w:r>
      <w:r w:rsidRPr="008D0B9D">
        <w:rPr>
          <w:rFonts w:ascii="Arial Narrow" w:hAnsi="Arial Narrow"/>
          <w:sz w:val="24"/>
          <w:szCs w:val="24"/>
        </w:rPr>
        <w:br/>
        <w:t>derecho exigible actual y legalmente de compensar los importes reconocidos de ambos. La entidad puede tener un derecho condicional para compensar los importes reconocidos, tal como sucede en un acuerdo básico de compensación o en algunas formas de deuda sin recurso, pero tales derechos son exigibles sólo si ocurre algún evento futuro, que por lo general tiene que ver con un incumplimiento de la contraparte. Por ello, estos tipos de acuerdos no cumplen las condiciones para poder realizar la compensación.</w:t>
      </w:r>
      <w:r w:rsidR="00F21B09">
        <w:rPr>
          <w:rFonts w:ascii="Arial Narrow" w:hAnsi="Arial Narrow"/>
          <w:sz w:val="24"/>
          <w:szCs w:val="24"/>
        </w:rPr>
        <w:t xml:space="preserve"> </w:t>
      </w:r>
      <w:r w:rsidRPr="008D0B9D">
        <w:rPr>
          <w:rFonts w:ascii="Arial Narrow" w:hAnsi="Arial Narrow"/>
          <w:sz w:val="24"/>
          <w:szCs w:val="24"/>
        </w:rPr>
        <w:t>Los activos y pasivos que no tengan origen contractual (tales como el impuesto sobre las ganancias, que se crea como resultado de un requisito legal impuesto por el Gobierno art. 41 30% y 25% ganancia</w:t>
      </w:r>
      <w:r w:rsidR="00F21B09">
        <w:rPr>
          <w:rFonts w:ascii="Arial Narrow" w:hAnsi="Arial Narrow"/>
          <w:sz w:val="24"/>
          <w:szCs w:val="24"/>
        </w:rPr>
        <w:t xml:space="preserve"> sobre rentas ordinarias artículo</w:t>
      </w:r>
      <w:r w:rsidRPr="008D0B9D">
        <w:rPr>
          <w:rFonts w:ascii="Arial Narrow" w:hAnsi="Arial Narrow"/>
          <w:sz w:val="24"/>
          <w:szCs w:val="24"/>
        </w:rPr>
        <w:t xml:space="preserve"> 42</w:t>
      </w:r>
      <w:r w:rsidR="00F21B09">
        <w:rPr>
          <w:rFonts w:ascii="Arial Narrow" w:hAnsi="Arial Narrow"/>
          <w:sz w:val="24"/>
          <w:szCs w:val="24"/>
        </w:rPr>
        <w:t>,</w:t>
      </w:r>
      <w:r w:rsidRPr="008D0B9D">
        <w:rPr>
          <w:rFonts w:ascii="Arial Narrow" w:hAnsi="Arial Narrow"/>
          <w:sz w:val="24"/>
          <w:szCs w:val="24"/>
        </w:rPr>
        <w:t xml:space="preserve"> 10% ganancia de capital ley de impuesto sobre la renta), no serán activos financieros ni pasivos financieros, respectivamente.</w:t>
      </w:r>
    </w:p>
    <w:p w:rsidR="00E53599" w:rsidRDefault="008D0B9D" w:rsidP="008D0B9D">
      <w:pPr>
        <w:spacing w:line="360" w:lineRule="auto"/>
        <w:jc w:val="both"/>
        <w:rPr>
          <w:rFonts w:ascii="Arial Narrow" w:hAnsi="Arial Narrow"/>
          <w:sz w:val="24"/>
          <w:szCs w:val="24"/>
        </w:rPr>
      </w:pPr>
      <w:r w:rsidRPr="008D0B9D">
        <w:rPr>
          <w:rFonts w:ascii="Arial Narrow" w:hAnsi="Arial Narrow"/>
          <w:sz w:val="24"/>
          <w:szCs w:val="24"/>
        </w:rPr>
        <w:t>El efectivo (o caja) es un activo financiero porque representa un medio de pago y, por ello, es la base sobre la que se valoran y reconocen todas las transacciones en los estados financieros.</w:t>
      </w:r>
    </w:p>
    <w:p w:rsidR="008D0B9D" w:rsidRPr="008D0B9D" w:rsidRDefault="008D0B9D" w:rsidP="008D0B9D">
      <w:pPr>
        <w:spacing w:line="360" w:lineRule="auto"/>
        <w:jc w:val="both"/>
        <w:rPr>
          <w:rFonts w:ascii="Arial Narrow" w:hAnsi="Arial Narrow"/>
          <w:sz w:val="24"/>
          <w:szCs w:val="24"/>
        </w:rPr>
      </w:pPr>
      <w:r w:rsidRPr="008D0B9D">
        <w:rPr>
          <w:rFonts w:ascii="Arial Narrow" w:hAnsi="Arial Narrow"/>
          <w:sz w:val="24"/>
          <w:szCs w:val="24"/>
        </w:rPr>
        <w:lastRenderedPageBreak/>
        <w:t xml:space="preserve">Un depósito de efectivo en un banco o entidad financiera similar es un activo financiero porque representa, para el depositante, un derecho contractual para obtener efectivo de la entidad o para girar un cheque u otro instrumento similar contra el saldo del mismo, a favor de un acreedor, con el fin de pagar un pasivo financiero. </w:t>
      </w:r>
    </w:p>
    <w:p w:rsidR="008D0B9D" w:rsidRPr="008D0B9D" w:rsidRDefault="008D0B9D" w:rsidP="00F21B09">
      <w:pPr>
        <w:spacing w:line="360" w:lineRule="auto"/>
        <w:jc w:val="both"/>
        <w:rPr>
          <w:rFonts w:ascii="Arial Narrow" w:hAnsi="Arial Narrow"/>
          <w:sz w:val="24"/>
          <w:szCs w:val="24"/>
        </w:rPr>
      </w:pPr>
      <w:r w:rsidRPr="008D0B9D">
        <w:rPr>
          <w:rFonts w:ascii="Arial Narrow" w:hAnsi="Arial Narrow"/>
          <w:sz w:val="24"/>
          <w:szCs w:val="24"/>
        </w:rPr>
        <w:t>Entiéndase</w:t>
      </w:r>
      <w:r w:rsidR="00F21B09">
        <w:rPr>
          <w:rFonts w:ascii="Arial Narrow" w:hAnsi="Arial Narrow"/>
          <w:sz w:val="24"/>
          <w:szCs w:val="24"/>
        </w:rPr>
        <w:t xml:space="preserve"> también como activo financiero todas aquellas cuentas por cobrar y a pagar de origen comercial, pagarés a cobrar y a pagar, préstamos recibidos y concedidos y Obligaciones adquiridas y emitidas.</w:t>
      </w:r>
      <w:r w:rsidR="006B7EFB">
        <w:rPr>
          <w:rFonts w:ascii="Arial Narrow" w:hAnsi="Arial Narrow"/>
          <w:sz w:val="24"/>
          <w:szCs w:val="24"/>
        </w:rPr>
        <w:t xml:space="preserve"> </w:t>
      </w:r>
      <w:r w:rsidRPr="008D0B9D">
        <w:rPr>
          <w:rFonts w:ascii="Arial Narrow" w:hAnsi="Arial Narrow"/>
          <w:sz w:val="24"/>
          <w:szCs w:val="24"/>
        </w:rPr>
        <w:t>En cada caso, el derecho contractual a recibir (o la obligación de pagar) que una de las partes tiene, se corresponde con la obligación de pago (o el derecho de cobro) de la otra parte.</w:t>
      </w:r>
    </w:p>
    <w:p w:rsidR="008D0B9D" w:rsidRPr="008D0B9D" w:rsidRDefault="008D0B9D" w:rsidP="008D0B9D">
      <w:pPr>
        <w:spacing w:line="360" w:lineRule="auto"/>
        <w:jc w:val="both"/>
        <w:rPr>
          <w:rFonts w:ascii="Arial Narrow" w:hAnsi="Arial Narrow"/>
          <w:sz w:val="24"/>
          <w:szCs w:val="24"/>
        </w:rPr>
      </w:pPr>
      <w:r w:rsidRPr="008D0B9D">
        <w:rPr>
          <w:rFonts w:ascii="Arial Narrow" w:hAnsi="Arial Narrow"/>
          <w:sz w:val="24"/>
          <w:szCs w:val="24"/>
        </w:rPr>
        <w:t>Un derecho contractual o una obligación contractual de recibir, entregar o intercambiar instrumentos</w:t>
      </w:r>
      <w:r w:rsidRPr="008D0B9D">
        <w:rPr>
          <w:rFonts w:ascii="Arial Narrow" w:hAnsi="Arial Narrow"/>
          <w:sz w:val="24"/>
          <w:szCs w:val="24"/>
        </w:rPr>
        <w:br/>
        <w:t>financieros es, en sí mismo, un instrumento financiero. Una cadena de derechos contractuales u</w:t>
      </w:r>
      <w:r w:rsidRPr="008D0B9D">
        <w:rPr>
          <w:rFonts w:ascii="Arial Narrow" w:hAnsi="Arial Narrow"/>
          <w:sz w:val="24"/>
          <w:szCs w:val="24"/>
        </w:rPr>
        <w:br/>
        <w:t>obligaciones contractuales cumplirá la definición de instrumento financiero, siempre que lleve en último término a la recepción o pago de efectivo, o bien a la adquisición o emisión de un instrumento de patrimonio.</w:t>
      </w:r>
      <w:r w:rsidR="006B7EFB">
        <w:rPr>
          <w:rFonts w:ascii="Arial Narrow" w:hAnsi="Arial Narrow"/>
          <w:sz w:val="24"/>
          <w:szCs w:val="24"/>
        </w:rPr>
        <w:t xml:space="preserve"> </w:t>
      </w:r>
      <w:r w:rsidRPr="008D0B9D">
        <w:rPr>
          <w:rFonts w:ascii="Arial Narrow" w:hAnsi="Arial Narrow"/>
          <w:sz w:val="24"/>
          <w:szCs w:val="24"/>
        </w:rPr>
        <w:t>Entre los ejemplos de instrumentos de patrimonio se incluyen las acciones ordinarias que no incorporan una opción de venta, algunos tipos de acciones preferentes así como</w:t>
      </w:r>
      <w:r w:rsidRPr="008D0B9D">
        <w:rPr>
          <w:rFonts w:ascii="Arial Narrow" w:hAnsi="Arial Narrow"/>
          <w:sz w:val="24"/>
          <w:szCs w:val="24"/>
        </w:rPr>
        <w:br/>
        <w:t>los certificados de opción para la suscripción de acciones. Una obligación que</w:t>
      </w:r>
      <w:r w:rsidRPr="008D0B9D">
        <w:rPr>
          <w:rFonts w:ascii="Arial Narrow" w:hAnsi="Arial Narrow"/>
          <w:sz w:val="24"/>
          <w:szCs w:val="24"/>
        </w:rPr>
        <w:br/>
        <w:t>tenga la entidad para emitir o comprar un número fijo de sus instrumentos de patrimonio propio, a cambio de una cantidad fija de efectivo u otro activo financiero, será también un instrumento de patrimonio de dicha entidad.</w:t>
      </w:r>
    </w:p>
    <w:p w:rsidR="00511FE0" w:rsidRPr="00E53599" w:rsidRDefault="008D0B9D" w:rsidP="00E53599">
      <w:pPr>
        <w:spacing w:line="360" w:lineRule="auto"/>
        <w:jc w:val="both"/>
        <w:rPr>
          <w:rFonts w:ascii="Arial Narrow" w:hAnsi="Arial Narrow"/>
          <w:sz w:val="24"/>
          <w:szCs w:val="24"/>
        </w:rPr>
      </w:pPr>
      <w:r w:rsidRPr="008D0B9D">
        <w:rPr>
          <w:rFonts w:ascii="Arial Narrow" w:hAnsi="Arial Narrow"/>
          <w:sz w:val="24"/>
          <w:szCs w:val="24"/>
        </w:rPr>
        <w:t>Será instrumento de patrimonio todo contrato que vaya a ser liquidado por la entidad mediante la</w:t>
      </w:r>
      <w:r w:rsidRPr="008D0B9D">
        <w:rPr>
          <w:rFonts w:ascii="Arial Narrow" w:hAnsi="Arial Narrow"/>
          <w:sz w:val="24"/>
          <w:szCs w:val="24"/>
        </w:rPr>
        <w:br/>
        <w:t>recepción o entrega de una cantidad fija de sus propias acciones, sin recibir contrapartida alguna en el futuro, o bien intercambiando una cantidad fija de sus propias acciones por un importe fijo de</w:t>
      </w:r>
      <w:r w:rsidRPr="008D0B9D">
        <w:rPr>
          <w:rFonts w:ascii="Arial Narrow" w:hAnsi="Arial Narrow"/>
          <w:sz w:val="24"/>
          <w:szCs w:val="24"/>
        </w:rPr>
        <w:br/>
        <w:t>efectivo u otro activo financiero. De acuerdo con lo anterior, toda contrapartida recibida o pagada en</w:t>
      </w:r>
      <w:r w:rsidRPr="008D0B9D">
        <w:rPr>
          <w:rFonts w:ascii="Arial Narrow" w:hAnsi="Arial Narrow"/>
          <w:sz w:val="24"/>
          <w:szCs w:val="24"/>
        </w:rPr>
        <w:br/>
        <w:t>virtud de ese contrato se añadirá o deducirá directamente del patrimonio. Un ejemplo es una opción</w:t>
      </w:r>
      <w:r w:rsidRPr="008D0B9D">
        <w:rPr>
          <w:rFonts w:ascii="Arial Narrow" w:hAnsi="Arial Narrow"/>
          <w:sz w:val="24"/>
          <w:szCs w:val="24"/>
        </w:rPr>
        <w:br/>
        <w:t>sobre acciones emitida que dé, a la contraparte, el derecho a comprar un número fijo de acciones de</w:t>
      </w:r>
      <w:r w:rsidRPr="008D0B9D">
        <w:rPr>
          <w:rFonts w:ascii="Arial Narrow" w:hAnsi="Arial Narrow"/>
          <w:sz w:val="24"/>
          <w:szCs w:val="24"/>
        </w:rPr>
        <w:br/>
        <w:t>la entidad a cambio de una cantidad fija de efectivo. Sin embargo, si el contrato requiriera a la</w:t>
      </w:r>
      <w:r w:rsidRPr="008D0B9D">
        <w:rPr>
          <w:rFonts w:ascii="Arial Narrow" w:hAnsi="Arial Narrow"/>
          <w:sz w:val="24"/>
          <w:szCs w:val="24"/>
        </w:rPr>
        <w:br/>
        <w:t>entidad comprar (o rescatar) sus propias acciones en efectivo o mediante otro activo financiero en</w:t>
      </w:r>
      <w:r w:rsidRPr="008D0B9D">
        <w:rPr>
          <w:rFonts w:ascii="Arial Narrow" w:hAnsi="Arial Narrow"/>
          <w:sz w:val="24"/>
          <w:szCs w:val="24"/>
        </w:rPr>
        <w:br/>
        <w:t>una fecha fija o determinable, o bien a petición de la otra parte, la entidad reconocería también un</w:t>
      </w:r>
      <w:r w:rsidRPr="008D0B9D">
        <w:rPr>
          <w:rFonts w:ascii="Arial Narrow" w:hAnsi="Arial Narrow"/>
          <w:sz w:val="24"/>
          <w:szCs w:val="24"/>
        </w:rPr>
        <w:br/>
        <w:t>pasivo financiero por el valor actual del importe del rescate. Un ejemplo es la obligación de la</w:t>
      </w:r>
      <w:r w:rsidRPr="008D0B9D">
        <w:rPr>
          <w:rFonts w:ascii="Arial Narrow" w:hAnsi="Arial Narrow"/>
          <w:sz w:val="24"/>
          <w:szCs w:val="24"/>
        </w:rPr>
        <w:br/>
      </w:r>
      <w:r w:rsidRPr="008D0B9D">
        <w:rPr>
          <w:rFonts w:ascii="Arial Narrow" w:hAnsi="Arial Narrow"/>
          <w:sz w:val="24"/>
          <w:szCs w:val="24"/>
        </w:rPr>
        <w:lastRenderedPageBreak/>
        <w:t>entidad, en virtud de un contrato a plazo, de recomprar un número fijo de sus propias acciones por un importe fijo de efectivo.</w:t>
      </w:r>
      <w:r w:rsidR="00E53599">
        <w:rPr>
          <w:rFonts w:ascii="Arial Narrow" w:hAnsi="Arial Narrow"/>
          <w:sz w:val="24"/>
          <w:szCs w:val="24"/>
        </w:rPr>
        <w:t xml:space="preserve"> </w:t>
      </w:r>
      <w:r w:rsidRPr="008D0B9D">
        <w:rPr>
          <w:rFonts w:ascii="Arial Narrow" w:hAnsi="Arial Narrow"/>
          <w:sz w:val="24"/>
          <w:szCs w:val="24"/>
        </w:rPr>
        <w:t>Ley de impuesto sobre la renta de El Salvador en el Art. 42 establece que por la ganancia de capital se pagara en contribución o impuesto el 10% sobre el valor neto.</w:t>
      </w:r>
    </w:p>
    <w:p w:rsidR="00BE39DB" w:rsidRPr="00BE39DB" w:rsidRDefault="00511FE0" w:rsidP="008A4F02">
      <w:pPr>
        <w:jc w:val="both"/>
      </w:pPr>
      <w:r>
        <w:rPr>
          <w:noProof/>
        </w:rPr>
        <w:drawing>
          <wp:inline distT="0" distB="0" distL="0" distR="0">
            <wp:extent cx="5610225" cy="4686300"/>
            <wp:effectExtent l="76200" t="76200" r="142875" b="133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225" cy="4686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E39DB" w:rsidRPr="00BE39DB" w:rsidRDefault="009A1EA6" w:rsidP="008A4F02">
      <w:pPr>
        <w:jc w:val="both"/>
      </w:pPr>
      <w:r>
        <w:t>(Mapa Conceptual: NIC 32</w:t>
      </w:r>
      <w:r w:rsidR="001362A3">
        <w:t>)</w:t>
      </w:r>
    </w:p>
    <w:p w:rsidR="00BE39DB" w:rsidRPr="00BE39DB" w:rsidRDefault="00BE39DB" w:rsidP="008A4F02">
      <w:pPr>
        <w:jc w:val="both"/>
      </w:pPr>
    </w:p>
    <w:p w:rsidR="00BE39DB" w:rsidRDefault="00BE39DB" w:rsidP="008A4F02">
      <w:pPr>
        <w:jc w:val="both"/>
      </w:pPr>
    </w:p>
    <w:p w:rsidR="009C55A7" w:rsidRDefault="009C55A7" w:rsidP="008A4F02">
      <w:pPr>
        <w:jc w:val="both"/>
      </w:pPr>
    </w:p>
    <w:p w:rsidR="00E53599" w:rsidRDefault="00E53599" w:rsidP="00AC6FB2"/>
    <w:p w:rsidR="009C55A7" w:rsidRPr="008344FE" w:rsidRDefault="009C55A7" w:rsidP="00AC6FB2">
      <w:pPr>
        <w:rPr>
          <w:rFonts w:ascii="Arial Narrow" w:hAnsi="Arial Narrow"/>
          <w:b/>
          <w:bCs/>
          <w:sz w:val="24"/>
          <w:szCs w:val="24"/>
          <w:u w:val="single"/>
        </w:rPr>
      </w:pPr>
      <w:r w:rsidRPr="008344FE">
        <w:rPr>
          <w:rFonts w:ascii="Arial Narrow" w:hAnsi="Arial Narrow"/>
          <w:b/>
          <w:bCs/>
          <w:sz w:val="24"/>
          <w:szCs w:val="24"/>
          <w:u w:val="single"/>
        </w:rPr>
        <w:lastRenderedPageBreak/>
        <w:t>Norma Internacional de Contabilidad Nº 39 (NIC 39).</w:t>
      </w:r>
    </w:p>
    <w:p w:rsidR="00642E28" w:rsidRPr="00642E28" w:rsidRDefault="00AC6FB2" w:rsidP="00642E28">
      <w:pPr>
        <w:spacing w:line="360" w:lineRule="auto"/>
        <w:jc w:val="both"/>
        <w:rPr>
          <w:rFonts w:ascii="Arial Narrow" w:hAnsi="Arial Narrow"/>
          <w:bCs/>
          <w:sz w:val="24"/>
          <w:szCs w:val="24"/>
        </w:rPr>
      </w:pPr>
      <w:r w:rsidRPr="009B2A18">
        <w:rPr>
          <w:rFonts w:ascii="Arial Narrow" w:hAnsi="Arial Narrow"/>
          <w:sz w:val="24"/>
          <w:szCs w:val="24"/>
        </w:rPr>
        <w:t>Instrumentos financieros: Reconocimiento y medición</w:t>
      </w:r>
      <w:r w:rsidRPr="008A4F02">
        <w:rPr>
          <w:rFonts w:ascii="Arial Narrow" w:hAnsi="Arial Narrow"/>
          <w:bCs/>
          <w:sz w:val="24"/>
          <w:szCs w:val="24"/>
        </w:rPr>
        <w:t>. (Entro en vigencia el 01 de enero de 2005).</w:t>
      </w:r>
    </w:p>
    <w:p w:rsidR="00642E28" w:rsidRPr="00601378" w:rsidRDefault="00642E28" w:rsidP="00642E28">
      <w:pPr>
        <w:spacing w:after="0" w:line="360" w:lineRule="auto"/>
        <w:jc w:val="both"/>
        <w:rPr>
          <w:rFonts w:ascii="Arial Narrow" w:eastAsia="Times New Roman" w:hAnsi="Arial Narrow" w:cs="Times New Roman"/>
          <w:sz w:val="24"/>
          <w:szCs w:val="24"/>
          <w:lang w:eastAsia="es-SV"/>
        </w:rPr>
      </w:pPr>
      <w:r w:rsidRPr="00601378">
        <w:rPr>
          <w:rFonts w:ascii="Arial Narrow" w:eastAsia="Times New Roman" w:hAnsi="Arial Narrow" w:cs="Times New Roman"/>
          <w:sz w:val="24"/>
          <w:szCs w:val="24"/>
          <w:lang w:eastAsia="es-SV"/>
        </w:rPr>
        <w:t xml:space="preserve">La NIC 39 establece reglas para el reconocimiento, medición y revelación de información sobre los activos y pasivos financieros poseídos por la empresa, incluyendo la contabilización de las operaciones de cobertura. </w:t>
      </w:r>
    </w:p>
    <w:p w:rsidR="00642E28" w:rsidRPr="00601378" w:rsidRDefault="00642E28" w:rsidP="00642E28">
      <w:pPr>
        <w:spacing w:after="0" w:line="360" w:lineRule="auto"/>
        <w:jc w:val="both"/>
        <w:rPr>
          <w:rFonts w:ascii="Arial Narrow" w:eastAsia="Times New Roman" w:hAnsi="Arial Narrow" w:cs="Times New Roman"/>
          <w:sz w:val="24"/>
          <w:szCs w:val="24"/>
          <w:lang w:eastAsia="es-SV"/>
        </w:rPr>
      </w:pPr>
    </w:p>
    <w:p w:rsidR="00642E28" w:rsidRPr="00601378" w:rsidRDefault="00642E28" w:rsidP="00642E28">
      <w:pPr>
        <w:spacing w:after="0" w:line="360" w:lineRule="auto"/>
        <w:jc w:val="both"/>
        <w:rPr>
          <w:rFonts w:ascii="Arial Narrow" w:eastAsia="Times New Roman" w:hAnsi="Arial Narrow" w:cs="Times New Roman"/>
          <w:sz w:val="24"/>
          <w:szCs w:val="24"/>
          <w:lang w:eastAsia="es-SV"/>
        </w:rPr>
      </w:pPr>
      <w:r w:rsidRPr="00601378">
        <w:rPr>
          <w:rFonts w:ascii="Arial Narrow" w:eastAsia="Times New Roman" w:hAnsi="Arial Narrow" w:cs="Times New Roman"/>
          <w:sz w:val="24"/>
          <w:szCs w:val="24"/>
          <w:lang w:eastAsia="es-SV"/>
        </w:rPr>
        <w:t>¿De qué trata esta Normativa?</w:t>
      </w:r>
    </w:p>
    <w:p w:rsidR="00642E28" w:rsidRPr="00601378" w:rsidRDefault="00642E28" w:rsidP="00642E28">
      <w:pPr>
        <w:spacing w:after="0" w:line="360" w:lineRule="auto"/>
        <w:jc w:val="both"/>
        <w:rPr>
          <w:rFonts w:ascii="Arial Narrow" w:eastAsia="Times New Roman" w:hAnsi="Arial Narrow" w:cs="Times New Roman"/>
          <w:sz w:val="24"/>
          <w:szCs w:val="24"/>
          <w:lang w:eastAsia="es-SV"/>
        </w:rPr>
      </w:pPr>
      <w:r w:rsidRPr="00601378">
        <w:rPr>
          <w:rFonts w:ascii="Arial Narrow" w:eastAsia="Times New Roman" w:hAnsi="Arial Narrow" w:cs="Times New Roman"/>
          <w:sz w:val="24"/>
          <w:szCs w:val="24"/>
          <w:lang w:eastAsia="es-SV"/>
        </w:rPr>
        <w:t>En esta Norma se aumenta, de forma significativa, el uso de los valores razonables al contabilizar los instrumentos financieros, de forma coherente con la orientación que el Consejo ha dado al Grupo de Trabajo Conjunto, de continuar con el estudio de una contabilización enteramente basada en el valor razonable, aplicable a todos los activos financieros y a todos los pasivos financieros.</w:t>
      </w:r>
    </w:p>
    <w:p w:rsidR="00642E28" w:rsidRPr="00601378" w:rsidRDefault="00642E28" w:rsidP="00642E28">
      <w:pPr>
        <w:spacing w:after="0" w:line="360" w:lineRule="auto"/>
        <w:jc w:val="both"/>
        <w:rPr>
          <w:rFonts w:ascii="Arial Narrow" w:eastAsia="Times New Roman" w:hAnsi="Arial Narrow" w:cs="Times New Roman"/>
          <w:sz w:val="24"/>
          <w:szCs w:val="24"/>
          <w:lang w:eastAsia="es-SV"/>
        </w:rPr>
      </w:pPr>
    </w:p>
    <w:p w:rsidR="00642E28" w:rsidRPr="00601378" w:rsidRDefault="00642E28" w:rsidP="00642E28">
      <w:pPr>
        <w:spacing w:after="0" w:line="360" w:lineRule="auto"/>
        <w:jc w:val="both"/>
        <w:rPr>
          <w:rFonts w:ascii="Arial Narrow" w:eastAsia="Times New Roman" w:hAnsi="Arial Narrow" w:cs="Times New Roman"/>
          <w:sz w:val="24"/>
          <w:szCs w:val="24"/>
          <w:lang w:eastAsia="es-SV"/>
        </w:rPr>
      </w:pPr>
      <w:r w:rsidRPr="00601378">
        <w:rPr>
          <w:rFonts w:ascii="Arial Narrow" w:eastAsia="Times New Roman" w:hAnsi="Arial Narrow" w:cs="Times New Roman"/>
          <w:sz w:val="24"/>
          <w:szCs w:val="24"/>
          <w:lang w:eastAsia="es-SV"/>
        </w:rPr>
        <w:t>Estos son algunos conceptos que debemos tener en cuenta durante el reconocimiento y medición de los instrumentos</w:t>
      </w:r>
      <w:r w:rsidRPr="00601378">
        <w:rPr>
          <w:rFonts w:ascii="Arial Narrow" w:hAnsi="Arial Narrow"/>
          <w:sz w:val="24"/>
          <w:szCs w:val="24"/>
        </w:rPr>
        <w:t>:</w:t>
      </w:r>
    </w:p>
    <w:p w:rsidR="00642E28" w:rsidRPr="00601378" w:rsidRDefault="00642E28" w:rsidP="00642E28">
      <w:pPr>
        <w:spacing w:after="0" w:line="360" w:lineRule="auto"/>
        <w:jc w:val="both"/>
        <w:rPr>
          <w:rFonts w:ascii="Arial Narrow" w:eastAsia="Times New Roman" w:hAnsi="Arial Narrow" w:cs="Times New Roman"/>
          <w:sz w:val="24"/>
          <w:szCs w:val="24"/>
          <w:lang w:eastAsia="es-SV"/>
        </w:rPr>
      </w:pPr>
      <w:r w:rsidRPr="00601378">
        <w:rPr>
          <w:rFonts w:ascii="Arial Narrow" w:eastAsia="Times New Roman" w:hAnsi="Arial Narrow" w:cs="Times New Roman"/>
          <w:noProof/>
          <w:sz w:val="24"/>
          <w:szCs w:val="24"/>
        </w:rPr>
        <w:drawing>
          <wp:anchor distT="0" distB="0" distL="114300" distR="114300" simplePos="0" relativeHeight="251684864" behindDoc="0" locked="0" layoutInCell="1" allowOverlap="1" wp14:anchorId="6F9D98A7" wp14:editId="0BF6435F">
            <wp:simplePos x="0" y="0"/>
            <wp:positionH relativeFrom="margin">
              <wp:posOffset>4015740</wp:posOffset>
            </wp:positionH>
            <wp:positionV relativeFrom="margin">
              <wp:posOffset>3948430</wp:posOffset>
            </wp:positionV>
            <wp:extent cx="1647825" cy="2705100"/>
            <wp:effectExtent l="0" t="0" r="9525" b="0"/>
            <wp:wrapSquare wrapText="bothSides"/>
            <wp:docPr id="21" name="Imagen 21" descr="Resultado de imagen de instrumentos financi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instrumentos financieros"/>
                    <pic:cNvPicPr>
                      <a:picLocks noChangeAspect="1" noChangeArrowheads="1"/>
                    </pic:cNvPicPr>
                  </pic:nvPicPr>
                  <pic:blipFill>
                    <a:blip r:embed="rId27"/>
                    <a:srcRect/>
                    <a:stretch>
                      <a:fillRect/>
                    </a:stretch>
                  </pic:blipFill>
                  <pic:spPr bwMode="auto">
                    <a:xfrm>
                      <a:off x="0" y="0"/>
                      <a:ext cx="1647825" cy="2705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01378">
        <w:rPr>
          <w:rFonts w:ascii="Arial Narrow" w:eastAsia="Times New Roman" w:hAnsi="Arial Narrow" w:cs="Times New Roman"/>
          <w:sz w:val="24"/>
          <w:szCs w:val="24"/>
          <w:lang w:eastAsia="es-SV"/>
        </w:rPr>
        <w:t xml:space="preserve">Un activo o pasivo financiero negociable es todo aquel que ha sido adquirido o incurrido, respectivamente, con el propósito principal de generar una ganancia por las fluctuaciones a corto plazo del precio o de la comisión de intermediación. Un activo de carácter financiero puede calificarse como negociable si, con independencia del motivo por el que fue adquirido, forma parte de una cartera para la cual existe evidencia de un patrón de comportamiento reciente según el cual han surgido de las mismas ganancias a corto plazo. Los instrumentos derivados de activos financieros y los pasivos financieros se consideran siempre de carácter negociable, salvo que estén señalados como medios de cobertura, y efectivamente cumplan esa función. </w:t>
      </w:r>
    </w:p>
    <w:p w:rsidR="00642E28" w:rsidRPr="00601378" w:rsidRDefault="00642E28" w:rsidP="00642E28">
      <w:pPr>
        <w:spacing w:before="100" w:beforeAutospacing="1" w:after="100" w:afterAutospacing="1" w:line="360" w:lineRule="auto"/>
        <w:jc w:val="both"/>
        <w:rPr>
          <w:rFonts w:ascii="Arial Narrow" w:eastAsia="Times New Roman" w:hAnsi="Arial Narrow" w:cs="Times New Roman"/>
          <w:sz w:val="24"/>
          <w:szCs w:val="24"/>
          <w:lang w:eastAsia="es-SV"/>
        </w:rPr>
      </w:pPr>
      <w:r w:rsidRPr="00601378">
        <w:rPr>
          <w:rFonts w:ascii="Arial Narrow" w:eastAsia="Times New Roman" w:hAnsi="Arial Narrow" w:cs="Times New Roman"/>
          <w:bCs/>
          <w:sz w:val="24"/>
          <w:szCs w:val="24"/>
          <w:lang w:eastAsia="es-SV"/>
        </w:rPr>
        <w:t>Instrumento de capital</w:t>
      </w:r>
      <w:bookmarkStart w:id="0" w:name="NICM_39_BODY_11"/>
      <w:bookmarkEnd w:id="0"/>
      <w:r w:rsidRPr="00601378">
        <w:rPr>
          <w:rFonts w:ascii="Arial Narrow" w:eastAsia="Times New Roman" w:hAnsi="Arial Narrow" w:cs="Times New Roman"/>
          <w:sz w:val="24"/>
          <w:szCs w:val="24"/>
          <w:lang w:eastAsia="es-SV"/>
        </w:rPr>
        <w:t xml:space="preserve">. La empresa puede tener una obligación contractual cuya liquidación puede hacerse bien mediante la entrega de activos financieros, o contra la entrega de sus propias acciones o títulos de propiedad. </w:t>
      </w:r>
    </w:p>
    <w:p w:rsidR="00642E28" w:rsidRPr="00601378" w:rsidRDefault="00642E28" w:rsidP="00642E28">
      <w:pPr>
        <w:shd w:val="clear" w:color="auto" w:fill="FFFFFF"/>
        <w:spacing w:after="0" w:line="360" w:lineRule="auto"/>
        <w:jc w:val="both"/>
        <w:rPr>
          <w:rFonts w:ascii="Arial Narrow" w:hAnsi="Arial Narrow"/>
          <w:sz w:val="24"/>
          <w:szCs w:val="24"/>
        </w:rPr>
      </w:pPr>
      <w:r w:rsidRPr="00601378">
        <w:rPr>
          <w:rFonts w:ascii="Arial Narrow" w:hAnsi="Arial Narrow"/>
          <w:sz w:val="24"/>
          <w:szCs w:val="24"/>
        </w:rPr>
        <w:lastRenderedPageBreak/>
        <w:t xml:space="preserve">Costo amortizado de un activo financiero o de un pasivo financiero es el importe al que fue valorado inicialmente el activo o el pasivo financiero, menos los reembolsos del principal, más o menos, según proceda, la imputación o amortización gradual acumulada, utilizando el método del interés efectivo, de cualquier diferencia existente entre el importe inicial y el valor de reembolso en el vencimiento, menos cualquier disminución por deterioro del valor o incobrabilidad (reconocida directamente o mediante el uso de una cuenta correctora). </w:t>
      </w:r>
    </w:p>
    <w:p w:rsidR="00642E28" w:rsidRPr="00601378" w:rsidRDefault="00642E28" w:rsidP="00642E28">
      <w:pPr>
        <w:shd w:val="clear" w:color="auto" w:fill="FFFFFF"/>
        <w:spacing w:after="0" w:line="360" w:lineRule="auto"/>
        <w:jc w:val="both"/>
        <w:rPr>
          <w:rFonts w:ascii="Arial Narrow" w:eastAsia="Times New Roman" w:hAnsi="Arial Narrow" w:cs="Times New Roman"/>
          <w:sz w:val="24"/>
          <w:szCs w:val="24"/>
          <w:lang w:eastAsia="es-SV"/>
        </w:rPr>
      </w:pPr>
    </w:p>
    <w:p w:rsidR="00642E28" w:rsidRPr="00601378" w:rsidRDefault="00642E28" w:rsidP="00642E28">
      <w:pPr>
        <w:spacing w:line="360" w:lineRule="auto"/>
        <w:jc w:val="both"/>
        <w:rPr>
          <w:rFonts w:ascii="Arial Narrow" w:hAnsi="Arial Narrow"/>
          <w:sz w:val="24"/>
          <w:szCs w:val="24"/>
        </w:rPr>
      </w:pPr>
      <w:r w:rsidRPr="00601378">
        <w:rPr>
          <w:rFonts w:ascii="Arial Narrow" w:hAnsi="Arial Narrow"/>
          <w:sz w:val="24"/>
          <w:szCs w:val="24"/>
        </w:rPr>
        <w:t>El método del tipo de interés efectivo es un método de cálculo del coste amortizado de un activo o pasivo financiero (o de un grupo de activos o pasivos financieros) y de imputación del ingreso o gasto financiero a lo largo del periodo relevante.</w:t>
      </w:r>
    </w:p>
    <w:p w:rsidR="00642E28" w:rsidRPr="00601378" w:rsidRDefault="00642E28" w:rsidP="00642E28">
      <w:pPr>
        <w:spacing w:line="360" w:lineRule="auto"/>
        <w:jc w:val="both"/>
        <w:rPr>
          <w:rFonts w:ascii="Arial Narrow" w:hAnsi="Arial Narrow"/>
          <w:sz w:val="24"/>
          <w:szCs w:val="24"/>
        </w:rPr>
      </w:pPr>
      <w:r w:rsidRPr="00601378">
        <w:rPr>
          <w:rFonts w:ascii="Arial Narrow" w:hAnsi="Arial Narrow"/>
          <w:sz w:val="24"/>
          <w:szCs w:val="24"/>
        </w:rPr>
        <w:t xml:space="preserve"> El tipo de interés efectivo es el tipo de descuento que iguala exactamente los flujos de efectivo a cobrar o pagar estimados a lo largo de la vida esperada del instrumento financiero o, cuando sea adecuado, en un periodo más corto, con el importe neto en libros del activo financiero o del pasivo financiero. Para calcular el tipo de interés efectivo, la entidad estimará los flujos de efectivo teniendo en cuenta todas las condiciones contractuales del instrumento financiero (por ejemplo, pagos anticipados, rescates y opciones similares), pero no tendrá en cuenta las pérdidas crediticias futuras. El cálculo incluirá todas las comisiones y puntos básicos de interés, pagados o recibidos por las partes del contrato, que integren el tipo de interés efectivo (ver NIC 18), así como los costes de transacción y cualquier otra prima o descuento. Existe la presunción de que los flujos de efectivo y la vida esperada de un grupo de instrumentos financieros similares pueden ser estimados con fiabilidad. Sin embargo, en aquellos raros casos en que no puedan ser estimados con fiabilidad esos flujos de efectivo o la vida esperada de un instrumento financiero (o de un grupo de instrumentos financieros), la entidad utilizará los flujos de efectivo contractuales a lo largo del periodo contractual completo del instrumento financiero (o grupo de instrumentos financieros). </w:t>
      </w:r>
    </w:p>
    <w:p w:rsidR="00642E28" w:rsidRDefault="00642E28" w:rsidP="00642E28">
      <w:pPr>
        <w:spacing w:line="360" w:lineRule="auto"/>
        <w:rPr>
          <w:rFonts w:ascii="Arial Narrow" w:hAnsi="Arial Narrow"/>
          <w:b/>
          <w:sz w:val="24"/>
          <w:szCs w:val="24"/>
        </w:rPr>
      </w:pPr>
    </w:p>
    <w:p w:rsidR="00642E28" w:rsidRDefault="00642E28" w:rsidP="00642E28">
      <w:pPr>
        <w:spacing w:line="360" w:lineRule="auto"/>
        <w:rPr>
          <w:rFonts w:ascii="Arial Narrow" w:hAnsi="Arial Narrow"/>
          <w:b/>
          <w:sz w:val="24"/>
          <w:szCs w:val="24"/>
        </w:rPr>
      </w:pPr>
    </w:p>
    <w:p w:rsidR="00E53599" w:rsidRDefault="00E53599" w:rsidP="00642E28">
      <w:pPr>
        <w:spacing w:line="360" w:lineRule="auto"/>
        <w:rPr>
          <w:rFonts w:ascii="Arial Narrow" w:hAnsi="Arial Narrow"/>
          <w:b/>
          <w:sz w:val="24"/>
          <w:szCs w:val="24"/>
        </w:rPr>
      </w:pPr>
    </w:p>
    <w:p w:rsidR="00642E28" w:rsidRPr="009F3F05" w:rsidRDefault="00642E28" w:rsidP="00642E28">
      <w:pPr>
        <w:spacing w:line="360" w:lineRule="auto"/>
        <w:jc w:val="both"/>
        <w:rPr>
          <w:rFonts w:ascii="Arial Narrow" w:hAnsi="Arial Narrow"/>
          <w:b/>
          <w:sz w:val="24"/>
          <w:szCs w:val="24"/>
        </w:rPr>
      </w:pPr>
      <w:r w:rsidRPr="00601378">
        <w:rPr>
          <w:rFonts w:ascii="Arial Narrow" w:hAnsi="Arial Narrow"/>
          <w:b/>
          <w:sz w:val="24"/>
          <w:szCs w:val="24"/>
        </w:rPr>
        <w:lastRenderedPageBreak/>
        <w:t>Ejemplo del Método del Interés Efectivo</w:t>
      </w:r>
      <w:r w:rsidR="00E53599" w:rsidRPr="00601378">
        <w:rPr>
          <w:rFonts w:ascii="Arial Narrow" w:hAnsi="Arial Narrow"/>
          <w:noProof/>
          <w:sz w:val="24"/>
          <w:szCs w:val="24"/>
        </w:rPr>
        <w:drawing>
          <wp:anchor distT="0" distB="0" distL="114300" distR="114300" simplePos="0" relativeHeight="251683840" behindDoc="0" locked="0" layoutInCell="1" allowOverlap="1" wp14:anchorId="4A232837" wp14:editId="41CAACC8">
            <wp:simplePos x="0" y="0"/>
            <wp:positionH relativeFrom="margin">
              <wp:align>center</wp:align>
            </wp:positionH>
            <wp:positionV relativeFrom="margin">
              <wp:posOffset>863600</wp:posOffset>
            </wp:positionV>
            <wp:extent cx="4561205" cy="3199130"/>
            <wp:effectExtent l="76200" t="76200" r="125095" b="134620"/>
            <wp:wrapSquare wrapText="bothSides"/>
            <wp:docPr id="22" name="Imagen 22" descr="http://images.slideplayer.es/7/1687547/slides/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slideplayer.es/7/1687547/slides/slide_3.jpg"/>
                    <pic:cNvPicPr>
                      <a:picLocks noChangeAspect="1" noChangeArrowheads="1"/>
                    </pic:cNvPicPr>
                  </pic:nvPicPr>
                  <pic:blipFill>
                    <a:blip r:embed="rId28"/>
                    <a:srcRect/>
                    <a:stretch>
                      <a:fillRect/>
                    </a:stretch>
                  </pic:blipFill>
                  <pic:spPr bwMode="auto">
                    <a:xfrm>
                      <a:off x="0" y="0"/>
                      <a:ext cx="4561205" cy="3199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66AFE">
        <w:rPr>
          <w:rFonts w:ascii="Arial Narrow" w:hAnsi="Arial Narrow"/>
          <w:sz w:val="24"/>
          <w:szCs w:val="24"/>
        </w:rPr>
        <w:t>:</w:t>
      </w:r>
    </w:p>
    <w:p w:rsidR="00642E28" w:rsidRPr="00601378" w:rsidRDefault="00642E28" w:rsidP="00642E28">
      <w:pPr>
        <w:spacing w:line="360" w:lineRule="auto"/>
        <w:jc w:val="both"/>
        <w:rPr>
          <w:rFonts w:ascii="Arial Narrow" w:hAnsi="Arial Narrow"/>
          <w:sz w:val="24"/>
          <w:szCs w:val="24"/>
        </w:rPr>
      </w:pPr>
    </w:p>
    <w:p w:rsidR="00642E28" w:rsidRPr="00601378" w:rsidRDefault="00642E28" w:rsidP="00642E28">
      <w:pPr>
        <w:spacing w:line="360" w:lineRule="auto"/>
        <w:jc w:val="both"/>
        <w:rPr>
          <w:rFonts w:ascii="Arial Narrow" w:hAnsi="Arial Narrow"/>
          <w:sz w:val="24"/>
          <w:szCs w:val="24"/>
        </w:rPr>
      </w:pPr>
    </w:p>
    <w:p w:rsidR="00642E28" w:rsidRPr="00601378" w:rsidRDefault="00642E28" w:rsidP="00642E28">
      <w:pPr>
        <w:spacing w:line="360" w:lineRule="auto"/>
        <w:jc w:val="both"/>
        <w:rPr>
          <w:rFonts w:ascii="Arial Narrow" w:hAnsi="Arial Narrow"/>
          <w:b/>
          <w:sz w:val="24"/>
          <w:szCs w:val="24"/>
          <w:u w:val="single"/>
        </w:rPr>
      </w:pPr>
    </w:p>
    <w:p w:rsidR="00642E28" w:rsidRPr="00601378" w:rsidRDefault="00642E28" w:rsidP="00642E28">
      <w:pPr>
        <w:spacing w:line="360" w:lineRule="auto"/>
        <w:jc w:val="both"/>
        <w:rPr>
          <w:rFonts w:ascii="Arial Narrow" w:hAnsi="Arial Narrow"/>
          <w:b/>
          <w:sz w:val="24"/>
          <w:szCs w:val="24"/>
          <w:u w:val="single"/>
        </w:rPr>
      </w:pPr>
    </w:p>
    <w:p w:rsidR="00642E28" w:rsidRPr="00601378" w:rsidRDefault="00642E28" w:rsidP="00642E28">
      <w:pPr>
        <w:spacing w:line="360" w:lineRule="auto"/>
        <w:jc w:val="both"/>
        <w:rPr>
          <w:rFonts w:ascii="Arial Narrow" w:hAnsi="Arial Narrow"/>
          <w:b/>
          <w:sz w:val="24"/>
          <w:szCs w:val="24"/>
          <w:u w:val="single"/>
        </w:rPr>
      </w:pPr>
    </w:p>
    <w:p w:rsidR="00642E28" w:rsidRPr="00601378" w:rsidRDefault="00642E28" w:rsidP="00642E28">
      <w:pPr>
        <w:spacing w:line="360" w:lineRule="auto"/>
        <w:jc w:val="both"/>
        <w:rPr>
          <w:rFonts w:ascii="Arial Narrow" w:hAnsi="Arial Narrow"/>
          <w:b/>
          <w:sz w:val="24"/>
          <w:szCs w:val="24"/>
          <w:u w:val="single"/>
        </w:rPr>
      </w:pPr>
    </w:p>
    <w:p w:rsidR="00642E28" w:rsidRPr="00601378" w:rsidRDefault="00642E28" w:rsidP="00642E28">
      <w:pPr>
        <w:spacing w:line="360" w:lineRule="auto"/>
        <w:jc w:val="both"/>
        <w:rPr>
          <w:rFonts w:ascii="Arial Narrow" w:hAnsi="Arial Narrow"/>
          <w:b/>
          <w:sz w:val="24"/>
          <w:szCs w:val="24"/>
          <w:u w:val="single"/>
        </w:rPr>
      </w:pPr>
    </w:p>
    <w:p w:rsidR="00642E28" w:rsidRDefault="00642E28" w:rsidP="00642E28">
      <w:pPr>
        <w:spacing w:line="360" w:lineRule="auto"/>
        <w:jc w:val="both"/>
        <w:rPr>
          <w:rFonts w:ascii="Arial Narrow" w:hAnsi="Arial Narrow"/>
          <w:b/>
          <w:sz w:val="24"/>
          <w:szCs w:val="24"/>
          <w:u w:val="single"/>
        </w:rPr>
      </w:pPr>
    </w:p>
    <w:p w:rsidR="00A66AFE" w:rsidRDefault="00A66AFE" w:rsidP="00642E28">
      <w:pPr>
        <w:spacing w:line="360" w:lineRule="auto"/>
        <w:jc w:val="both"/>
        <w:rPr>
          <w:rFonts w:ascii="Arial Narrow" w:hAnsi="Arial Narrow"/>
          <w:b/>
          <w:sz w:val="24"/>
          <w:szCs w:val="24"/>
          <w:u w:val="single"/>
        </w:rPr>
      </w:pPr>
    </w:p>
    <w:p w:rsidR="00A66AFE" w:rsidRPr="00601378" w:rsidRDefault="00A66AFE" w:rsidP="00642E28">
      <w:pPr>
        <w:spacing w:line="360" w:lineRule="auto"/>
        <w:jc w:val="both"/>
        <w:rPr>
          <w:rFonts w:ascii="Arial Narrow" w:hAnsi="Arial Narrow"/>
          <w:b/>
          <w:sz w:val="24"/>
          <w:szCs w:val="24"/>
          <w:u w:val="single"/>
        </w:rPr>
      </w:pPr>
    </w:p>
    <w:p w:rsidR="00E53599" w:rsidRDefault="00E53599" w:rsidP="00642E28">
      <w:pPr>
        <w:spacing w:line="360" w:lineRule="auto"/>
        <w:jc w:val="both"/>
        <w:rPr>
          <w:rFonts w:ascii="Arial Narrow" w:hAnsi="Arial Narrow"/>
          <w:sz w:val="24"/>
          <w:szCs w:val="24"/>
        </w:rPr>
      </w:pPr>
    </w:p>
    <w:p w:rsidR="00642E28" w:rsidRPr="00601378" w:rsidRDefault="00642E28" w:rsidP="00642E28">
      <w:pPr>
        <w:spacing w:line="360" w:lineRule="auto"/>
        <w:jc w:val="both"/>
        <w:rPr>
          <w:rFonts w:ascii="Arial Narrow" w:hAnsi="Arial Narrow"/>
          <w:sz w:val="24"/>
          <w:szCs w:val="24"/>
        </w:rPr>
      </w:pPr>
      <w:r w:rsidRPr="00601378">
        <w:rPr>
          <w:rFonts w:ascii="Arial Narrow" w:hAnsi="Arial Narrow"/>
          <w:sz w:val="24"/>
          <w:szCs w:val="24"/>
        </w:rPr>
        <w:t>La baja en cuentas de un activo o pasivo financiero es la eliminación de un activo o pasivo financiero previamente reconocido en el balance de la entidad.</w:t>
      </w:r>
    </w:p>
    <w:p w:rsidR="00642E28" w:rsidRPr="00601378" w:rsidRDefault="00642E28" w:rsidP="00642E28">
      <w:pPr>
        <w:spacing w:line="360" w:lineRule="auto"/>
        <w:jc w:val="both"/>
        <w:rPr>
          <w:rFonts w:ascii="Arial Narrow" w:hAnsi="Arial Narrow"/>
          <w:sz w:val="24"/>
          <w:szCs w:val="24"/>
        </w:rPr>
      </w:pPr>
      <w:r w:rsidRPr="00601378">
        <w:rPr>
          <w:rFonts w:ascii="Arial Narrow" w:hAnsi="Arial Narrow"/>
          <w:sz w:val="24"/>
          <w:szCs w:val="24"/>
        </w:rPr>
        <w:t>Valor razonable es la cantidad por la que puede ser intercambiado un activo o cancelado un pasivo entre un comprador y un vendedor interesados y debidamente informados, en condiciones de independencia mutua.</w:t>
      </w:r>
    </w:p>
    <w:p w:rsidR="00642E28" w:rsidRPr="00601378" w:rsidRDefault="00642E28" w:rsidP="00642E28">
      <w:pPr>
        <w:spacing w:line="360" w:lineRule="auto"/>
        <w:jc w:val="both"/>
        <w:rPr>
          <w:rFonts w:ascii="Arial Narrow" w:hAnsi="Arial Narrow"/>
          <w:sz w:val="24"/>
          <w:szCs w:val="24"/>
        </w:rPr>
      </w:pPr>
      <w:r w:rsidRPr="00601378">
        <w:rPr>
          <w:rFonts w:ascii="Arial Narrow" w:hAnsi="Arial Narrow"/>
          <w:sz w:val="24"/>
          <w:szCs w:val="24"/>
        </w:rPr>
        <w:t xml:space="preserve">La compra o venta convencional de activos financieros es la compra o venta de un activo financiero, bajo un contrato cuyas condiciones requieren la liquidación de la operación durante un periodo establecido generalmente por la regulación o por una convención establecida en el mercado citado. </w:t>
      </w:r>
    </w:p>
    <w:p w:rsidR="00E53599" w:rsidRDefault="00642E28" w:rsidP="00642E28">
      <w:pPr>
        <w:spacing w:line="360" w:lineRule="auto"/>
        <w:jc w:val="both"/>
        <w:rPr>
          <w:rFonts w:ascii="Arial Narrow" w:hAnsi="Arial Narrow"/>
          <w:sz w:val="24"/>
          <w:szCs w:val="24"/>
        </w:rPr>
      </w:pPr>
      <w:r w:rsidRPr="00601378">
        <w:rPr>
          <w:rFonts w:ascii="Arial Narrow" w:hAnsi="Arial Narrow"/>
          <w:sz w:val="24"/>
          <w:szCs w:val="24"/>
        </w:rPr>
        <w:t>Costos de transacción son los costos incrementales que sean directamente atribuibles a la compra, emisión, venta o disposición por otra vía de un activo o pasivo financiero).</w:t>
      </w:r>
    </w:p>
    <w:p w:rsidR="00642E28" w:rsidRPr="00601378" w:rsidRDefault="00E53599" w:rsidP="00642E28">
      <w:pPr>
        <w:spacing w:line="360" w:lineRule="auto"/>
        <w:jc w:val="both"/>
        <w:rPr>
          <w:rFonts w:ascii="Arial Narrow" w:hAnsi="Arial Narrow"/>
          <w:sz w:val="24"/>
          <w:szCs w:val="24"/>
        </w:rPr>
      </w:pPr>
      <w:r>
        <w:rPr>
          <w:rFonts w:ascii="Arial Narrow" w:hAnsi="Arial Narrow"/>
          <w:sz w:val="24"/>
          <w:szCs w:val="24"/>
        </w:rPr>
        <w:lastRenderedPageBreak/>
        <w:t>E</w:t>
      </w:r>
      <w:r w:rsidR="00642E28" w:rsidRPr="00601378">
        <w:rPr>
          <w:rFonts w:ascii="Arial Narrow" w:hAnsi="Arial Narrow"/>
          <w:sz w:val="24"/>
          <w:szCs w:val="24"/>
        </w:rPr>
        <w:t>l costo incremental es aquel en el que no se habría incurrido si la entidad no hubiese adquirido, emitido, vendido o dispuesto por otra vía el instrumento financiero. Definiciones relativas a la contabilidad de coberturas.</w:t>
      </w:r>
    </w:p>
    <w:p w:rsidR="00642E28" w:rsidRPr="00601378" w:rsidRDefault="00642E28" w:rsidP="00642E28">
      <w:pPr>
        <w:spacing w:line="360" w:lineRule="auto"/>
        <w:jc w:val="both"/>
        <w:rPr>
          <w:rFonts w:ascii="Arial Narrow" w:hAnsi="Arial Narrow"/>
          <w:sz w:val="24"/>
          <w:szCs w:val="24"/>
        </w:rPr>
      </w:pPr>
      <w:r w:rsidRPr="00601378">
        <w:rPr>
          <w:rFonts w:ascii="Arial Narrow" w:hAnsi="Arial Narrow"/>
          <w:sz w:val="24"/>
          <w:szCs w:val="24"/>
        </w:rPr>
        <w:t xml:space="preserve"> Compromiso en firme es un acuerdo obligatorio para intercambiar una determinada cantidad de recursos a un precio determinado, en una fecha o fechas futuras especificadas. </w:t>
      </w:r>
    </w:p>
    <w:p w:rsidR="00642E28" w:rsidRPr="00601378" w:rsidRDefault="00642E28" w:rsidP="00642E28">
      <w:pPr>
        <w:spacing w:line="360" w:lineRule="auto"/>
        <w:jc w:val="both"/>
        <w:rPr>
          <w:rFonts w:ascii="Arial Narrow" w:hAnsi="Arial Narrow"/>
          <w:sz w:val="24"/>
          <w:szCs w:val="24"/>
        </w:rPr>
      </w:pPr>
      <w:r w:rsidRPr="00601378">
        <w:rPr>
          <w:rFonts w:ascii="Arial Narrow" w:hAnsi="Arial Narrow"/>
          <w:sz w:val="24"/>
          <w:szCs w:val="24"/>
        </w:rPr>
        <w:t xml:space="preserve">Transacción prevista es una operación futura anticipada, pero no comprometida todavía. </w:t>
      </w:r>
    </w:p>
    <w:p w:rsidR="00642E28" w:rsidRPr="00601378" w:rsidRDefault="00642E28" w:rsidP="00642E28">
      <w:pPr>
        <w:spacing w:line="360" w:lineRule="auto"/>
        <w:jc w:val="both"/>
        <w:rPr>
          <w:rFonts w:ascii="Arial Narrow" w:hAnsi="Arial Narrow"/>
          <w:sz w:val="24"/>
          <w:szCs w:val="24"/>
        </w:rPr>
      </w:pPr>
      <w:r w:rsidRPr="00601378">
        <w:rPr>
          <w:rFonts w:ascii="Arial Narrow" w:hAnsi="Arial Narrow"/>
          <w:sz w:val="24"/>
          <w:szCs w:val="24"/>
        </w:rPr>
        <w:t xml:space="preserve">Instrumento de cobertura es un derivado designado o bien (sólo para la cobertura del riesgo de tipo de cambio) un activo financiero o un pasivo financiero no derivado cuyo valor razonable o flujos de efectivo generados se espera que compensen los cambios en el valor razonable o los flujos de efectivo de la partida cubierta, respectivamente </w:t>
      </w:r>
    </w:p>
    <w:p w:rsidR="00642E28" w:rsidRPr="00601378" w:rsidRDefault="00E53599" w:rsidP="00642E28">
      <w:pPr>
        <w:spacing w:line="360" w:lineRule="auto"/>
        <w:jc w:val="both"/>
        <w:rPr>
          <w:rFonts w:ascii="Arial Narrow" w:hAnsi="Arial Narrow"/>
          <w:sz w:val="24"/>
          <w:szCs w:val="24"/>
        </w:rPr>
      </w:pPr>
      <w:r w:rsidRPr="00601378">
        <w:rPr>
          <w:rFonts w:ascii="Arial Narrow" w:hAnsi="Arial Narrow"/>
          <w:noProof/>
          <w:sz w:val="24"/>
          <w:szCs w:val="24"/>
        </w:rPr>
        <w:drawing>
          <wp:anchor distT="0" distB="0" distL="114300" distR="114300" simplePos="0" relativeHeight="251687936" behindDoc="0" locked="0" layoutInCell="1" allowOverlap="1" wp14:anchorId="1D0CF5BB" wp14:editId="153BCD4B">
            <wp:simplePos x="0" y="0"/>
            <wp:positionH relativeFrom="margin">
              <wp:posOffset>3787140</wp:posOffset>
            </wp:positionH>
            <wp:positionV relativeFrom="margin">
              <wp:posOffset>3938270</wp:posOffset>
            </wp:positionV>
            <wp:extent cx="1835150" cy="1400175"/>
            <wp:effectExtent l="76200" t="76200" r="127000" b="142875"/>
            <wp:wrapSquare wrapText="bothSides"/>
            <wp:docPr id="23" name="Imagen 23" descr="Resultado de imagen de instrumentos financi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instrumentos financieros"/>
                    <pic:cNvPicPr>
                      <a:picLocks noChangeAspect="1" noChangeArrowheads="1"/>
                    </pic:cNvPicPr>
                  </pic:nvPicPr>
                  <pic:blipFill>
                    <a:blip r:embed="rId29"/>
                    <a:srcRect/>
                    <a:stretch>
                      <a:fillRect/>
                    </a:stretch>
                  </pic:blipFill>
                  <pic:spPr bwMode="auto">
                    <a:xfrm>
                      <a:off x="0" y="0"/>
                      <a:ext cx="1835150" cy="1400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42E28" w:rsidRPr="00601378">
        <w:rPr>
          <w:rFonts w:ascii="Arial Narrow" w:hAnsi="Arial Narrow"/>
          <w:sz w:val="24"/>
          <w:szCs w:val="24"/>
        </w:rPr>
        <w:t>Partida cubierta es un activo, pasivo, compromiso en firme, transacción prevista altamente probable o inversión neta en un negocio en el extranjero que  expone a la entidad al riesgo de cambios en el valor razonable o en los flujos de efectivo futuros,</w:t>
      </w:r>
    </w:p>
    <w:p w:rsidR="00642E28" w:rsidRPr="00601378" w:rsidRDefault="00642E28" w:rsidP="00642E28">
      <w:pPr>
        <w:shd w:val="clear" w:color="auto" w:fill="FFFFFF"/>
        <w:spacing w:after="0" w:line="360" w:lineRule="auto"/>
        <w:jc w:val="both"/>
        <w:rPr>
          <w:rFonts w:ascii="Arial Narrow" w:hAnsi="Arial Narrow"/>
          <w:sz w:val="24"/>
          <w:szCs w:val="24"/>
        </w:rPr>
      </w:pPr>
      <w:r w:rsidRPr="00601378">
        <w:rPr>
          <w:rFonts w:ascii="Arial Narrow" w:hAnsi="Arial Narrow"/>
          <w:sz w:val="24"/>
          <w:szCs w:val="24"/>
        </w:rPr>
        <w:t>Eficacia de la cobertura es el grado en el que los cambios en el valor razonable o en los flujos de efectivo de la partida cubierta, directamente atribuibles al riesgo cubierto, se compensan con los cambios en el valor razonable o en los flujos de efectivo del instrumento de cobertura</w:t>
      </w:r>
    </w:p>
    <w:p w:rsidR="00642E28" w:rsidRPr="00601378" w:rsidRDefault="00642E28" w:rsidP="00642E28">
      <w:pPr>
        <w:shd w:val="clear" w:color="auto" w:fill="FFFFFF"/>
        <w:spacing w:after="0" w:line="360" w:lineRule="auto"/>
        <w:jc w:val="both"/>
        <w:rPr>
          <w:rFonts w:ascii="Arial Narrow" w:eastAsia="Times New Roman" w:hAnsi="Arial Narrow" w:cs="Times New Roman"/>
          <w:color w:val="000000"/>
          <w:sz w:val="24"/>
          <w:szCs w:val="24"/>
          <w:lang w:eastAsia="es-SV"/>
        </w:rPr>
      </w:pPr>
    </w:p>
    <w:p w:rsidR="00642E28" w:rsidRPr="00601378" w:rsidRDefault="00642E28" w:rsidP="00642E28">
      <w:pPr>
        <w:spacing w:line="360" w:lineRule="auto"/>
        <w:jc w:val="both"/>
        <w:rPr>
          <w:rFonts w:ascii="Arial Narrow" w:hAnsi="Arial Narrow"/>
          <w:b/>
          <w:sz w:val="24"/>
          <w:szCs w:val="24"/>
        </w:rPr>
      </w:pPr>
      <w:r w:rsidRPr="00601378">
        <w:rPr>
          <w:rFonts w:ascii="Arial Narrow" w:hAnsi="Arial Narrow"/>
          <w:b/>
          <w:sz w:val="24"/>
          <w:szCs w:val="24"/>
        </w:rPr>
        <w:t>Reconocimiento y baja en cuentas</w:t>
      </w:r>
    </w:p>
    <w:p w:rsidR="00642E28" w:rsidRPr="00601378" w:rsidRDefault="00642E28" w:rsidP="00642E28">
      <w:pPr>
        <w:spacing w:line="360" w:lineRule="auto"/>
        <w:jc w:val="both"/>
        <w:rPr>
          <w:rFonts w:ascii="Arial Narrow" w:hAnsi="Arial Narrow"/>
          <w:sz w:val="24"/>
          <w:szCs w:val="24"/>
        </w:rPr>
      </w:pPr>
      <w:r w:rsidRPr="00601378">
        <w:rPr>
          <w:rFonts w:ascii="Arial Narrow" w:hAnsi="Arial Narrow"/>
          <w:sz w:val="24"/>
          <w:szCs w:val="24"/>
        </w:rPr>
        <w:t xml:space="preserve"> Reconocimiento iniciar. La entidad reconocerá un activo financiero o un pasivo financiero en su balance, cuando, y sólo cuando, dicha entidad se convierta en parte, según las cláusulas contractuales del instrumento en cuestión. </w:t>
      </w:r>
      <w:r w:rsidRPr="00601378">
        <w:rPr>
          <w:rFonts w:ascii="Arial Narrow" w:hAnsi="Arial Narrow" w:cs="Calibri"/>
          <w:sz w:val="24"/>
          <w:szCs w:val="24"/>
        </w:rPr>
        <w:t>.</w:t>
      </w:r>
      <w:r w:rsidRPr="00601378">
        <w:rPr>
          <w:rFonts w:ascii="Arial Narrow" w:hAnsi="Arial Narrow"/>
          <w:sz w:val="24"/>
          <w:szCs w:val="24"/>
        </w:rPr>
        <w:t xml:space="preserve"> </w:t>
      </w:r>
    </w:p>
    <w:p w:rsidR="00E53599" w:rsidRDefault="00E53599" w:rsidP="00642E28">
      <w:pPr>
        <w:spacing w:line="360" w:lineRule="auto"/>
        <w:jc w:val="both"/>
        <w:rPr>
          <w:rFonts w:ascii="Arial Narrow" w:hAnsi="Arial Narrow"/>
          <w:sz w:val="24"/>
          <w:szCs w:val="24"/>
        </w:rPr>
      </w:pPr>
    </w:p>
    <w:p w:rsidR="00642E28" w:rsidRPr="00601378" w:rsidRDefault="00642E28" w:rsidP="00642E28">
      <w:pPr>
        <w:spacing w:line="360" w:lineRule="auto"/>
        <w:jc w:val="both"/>
        <w:rPr>
          <w:rFonts w:ascii="Arial Narrow" w:hAnsi="Arial Narrow"/>
          <w:sz w:val="24"/>
          <w:szCs w:val="24"/>
        </w:rPr>
      </w:pPr>
      <w:r w:rsidRPr="00601378">
        <w:rPr>
          <w:rFonts w:ascii="Arial Narrow" w:hAnsi="Arial Narrow"/>
          <w:sz w:val="24"/>
          <w:szCs w:val="24"/>
        </w:rPr>
        <w:lastRenderedPageBreak/>
        <w:t xml:space="preserve">La Norma se aplicara a una parte de un activo financiero (o a una parte de un grupo de activos financieros similares) si, y solo si, la parte del activo que se considera para la baja en cuentas cumple alguna de las siguientes tres condiciones: </w:t>
      </w:r>
    </w:p>
    <w:p w:rsidR="00642E28" w:rsidRPr="00601378" w:rsidRDefault="00642E28" w:rsidP="00642E28">
      <w:pPr>
        <w:pStyle w:val="Prrafodelista"/>
        <w:numPr>
          <w:ilvl w:val="0"/>
          <w:numId w:val="11"/>
        </w:numPr>
        <w:spacing w:line="360" w:lineRule="auto"/>
        <w:jc w:val="both"/>
        <w:rPr>
          <w:rFonts w:ascii="Arial Narrow" w:hAnsi="Arial Narrow"/>
          <w:sz w:val="24"/>
          <w:szCs w:val="24"/>
        </w:rPr>
      </w:pPr>
      <w:r w:rsidRPr="00601378">
        <w:rPr>
          <w:rFonts w:ascii="Arial Narrow" w:hAnsi="Arial Narrow"/>
          <w:sz w:val="24"/>
          <w:szCs w:val="24"/>
        </w:rPr>
        <w:t>La parte comprende únicamente flujos de efectivo específicamente identificados de un activo financiero (o de un grupo de activos financieros similares). Por ejemplo, en un instrumento de deuda, cuando una entidad realice una segregación de los intereses, por el que la contraparte obtenga el derecho a recibir los flujos de efectivo por intereses, pero no los flujos derivados del principal.</w:t>
      </w:r>
    </w:p>
    <w:p w:rsidR="00642E28" w:rsidRDefault="00642E28" w:rsidP="00642E28">
      <w:pPr>
        <w:pStyle w:val="Prrafodelista"/>
        <w:numPr>
          <w:ilvl w:val="0"/>
          <w:numId w:val="11"/>
        </w:numPr>
        <w:spacing w:line="360" w:lineRule="auto"/>
        <w:jc w:val="both"/>
        <w:rPr>
          <w:rFonts w:ascii="Arial Narrow" w:hAnsi="Arial Narrow"/>
          <w:sz w:val="24"/>
          <w:szCs w:val="24"/>
        </w:rPr>
      </w:pPr>
      <w:r w:rsidRPr="00601378">
        <w:rPr>
          <w:rFonts w:ascii="Arial Narrow" w:hAnsi="Arial Narrow"/>
          <w:sz w:val="24"/>
          <w:szCs w:val="24"/>
        </w:rPr>
        <w:t xml:space="preserve">La parte comprenda únicamente una participación proporcional completa (prorrata) de los flujos de efectivo de un activo (o de un grupo de activos financieros similares). </w:t>
      </w:r>
    </w:p>
    <w:p w:rsidR="00642E28" w:rsidRPr="00601378" w:rsidRDefault="00642E28" w:rsidP="00642E28">
      <w:pPr>
        <w:spacing w:line="360" w:lineRule="auto"/>
        <w:ind w:left="460"/>
        <w:rPr>
          <w:rFonts w:ascii="Arial Narrow" w:hAnsi="Arial Narrow"/>
          <w:sz w:val="24"/>
          <w:szCs w:val="24"/>
        </w:rPr>
      </w:pPr>
      <w:r w:rsidRPr="00601378">
        <w:rPr>
          <w:rFonts w:ascii="Arial Narrow" w:hAnsi="Arial Narrow"/>
          <w:sz w:val="24"/>
          <w:szCs w:val="24"/>
        </w:rPr>
        <w:t>Por ejemplo, cuando una entidad alcance un acuerdo por el que obtenga el derecho a una cuota del 90% de los flujos de efectivo totales de un instrumento de deuda, si existiese más de una contraparte, no será necesario que cada una de ellas tenga una participación proporcional en los flujos de efectivo, siempre que la entidad cedente tenga una participación proporcional completa.</w:t>
      </w:r>
    </w:p>
    <w:p w:rsidR="00642E28" w:rsidRPr="00601378" w:rsidRDefault="00642E28" w:rsidP="00642E28">
      <w:pPr>
        <w:pStyle w:val="Prrafodelista"/>
        <w:numPr>
          <w:ilvl w:val="0"/>
          <w:numId w:val="11"/>
        </w:numPr>
        <w:spacing w:line="360" w:lineRule="auto"/>
        <w:jc w:val="both"/>
        <w:rPr>
          <w:rFonts w:ascii="Arial Narrow" w:hAnsi="Arial Narrow"/>
          <w:sz w:val="24"/>
          <w:szCs w:val="24"/>
        </w:rPr>
      </w:pPr>
      <w:r w:rsidRPr="00601378">
        <w:rPr>
          <w:rFonts w:ascii="Arial Narrow" w:hAnsi="Arial Narrow"/>
          <w:sz w:val="24"/>
          <w:szCs w:val="24"/>
        </w:rPr>
        <w:t>La parte comprenda únicamente una cuota proporcional completa (prorrata) de ciertos flujos de efectivo específicamente identificados de un activo financiero (o del grupo de activos financieros similares). Por ejemplo, cuando una entidad alcance un acuerdo por el que obtenga el derecho a una cuota del 90% de los flujos de efectivo representativos de los intereses totales de un instrumento de deuda.</w:t>
      </w:r>
    </w:p>
    <w:p w:rsidR="00642E28" w:rsidRPr="00642E28" w:rsidRDefault="00642E28" w:rsidP="00642E28">
      <w:pPr>
        <w:spacing w:line="360" w:lineRule="auto"/>
        <w:jc w:val="both"/>
        <w:rPr>
          <w:rFonts w:ascii="Arial Narrow" w:hAnsi="Arial Narrow"/>
          <w:sz w:val="24"/>
          <w:szCs w:val="24"/>
        </w:rPr>
      </w:pPr>
      <w:r w:rsidRPr="00642E28">
        <w:rPr>
          <w:rFonts w:ascii="Arial Narrow" w:hAnsi="Arial Narrow"/>
          <w:sz w:val="24"/>
          <w:szCs w:val="24"/>
        </w:rPr>
        <w:t>Una entidad dará de baja en cuentas un activo financiero cuando, y sólo cuando:</w:t>
      </w:r>
    </w:p>
    <w:p w:rsidR="00642E28" w:rsidRPr="00601378" w:rsidRDefault="00642E28" w:rsidP="00642E28">
      <w:pPr>
        <w:spacing w:line="360" w:lineRule="auto"/>
        <w:jc w:val="both"/>
        <w:rPr>
          <w:rFonts w:ascii="Arial Narrow" w:hAnsi="Arial Narrow"/>
          <w:sz w:val="24"/>
          <w:szCs w:val="24"/>
        </w:rPr>
      </w:pPr>
      <w:r w:rsidRPr="00601378">
        <w:rPr>
          <w:rFonts w:ascii="Arial Narrow" w:hAnsi="Arial Narrow"/>
          <w:sz w:val="24"/>
          <w:szCs w:val="24"/>
        </w:rPr>
        <w:t xml:space="preserve">a) expiren los derechos contractuales sobre los flujos de efectivo del activo financiero; o </w:t>
      </w:r>
    </w:p>
    <w:p w:rsidR="00E53599" w:rsidRDefault="00642E28" w:rsidP="00E53599">
      <w:pPr>
        <w:spacing w:line="360" w:lineRule="auto"/>
        <w:jc w:val="both"/>
        <w:rPr>
          <w:rFonts w:ascii="Arial Narrow" w:hAnsi="Arial Narrow"/>
          <w:sz w:val="24"/>
          <w:szCs w:val="24"/>
        </w:rPr>
      </w:pPr>
      <w:r w:rsidRPr="00601378">
        <w:rPr>
          <w:rFonts w:ascii="Arial Narrow" w:hAnsi="Arial Narrow"/>
          <w:sz w:val="24"/>
          <w:szCs w:val="24"/>
        </w:rPr>
        <w:t>b) se ceda el activo financiero</w:t>
      </w:r>
    </w:p>
    <w:p w:rsidR="00E53599" w:rsidRDefault="00E53599" w:rsidP="00E53599">
      <w:pPr>
        <w:spacing w:line="360" w:lineRule="auto"/>
        <w:jc w:val="both"/>
        <w:rPr>
          <w:rFonts w:ascii="Arial Narrow" w:hAnsi="Arial Narrow"/>
          <w:sz w:val="24"/>
          <w:szCs w:val="24"/>
        </w:rPr>
      </w:pPr>
    </w:p>
    <w:p w:rsidR="00E53599" w:rsidRDefault="00E53599" w:rsidP="00E53599">
      <w:pPr>
        <w:spacing w:line="360" w:lineRule="auto"/>
        <w:jc w:val="both"/>
        <w:rPr>
          <w:rFonts w:ascii="Arial Narrow" w:hAnsi="Arial Narrow"/>
          <w:sz w:val="24"/>
          <w:szCs w:val="24"/>
        </w:rPr>
      </w:pPr>
    </w:p>
    <w:p w:rsidR="00642E28" w:rsidRPr="00601378" w:rsidRDefault="00642E28" w:rsidP="00E53599">
      <w:pPr>
        <w:spacing w:line="360" w:lineRule="auto"/>
        <w:jc w:val="both"/>
        <w:rPr>
          <w:rFonts w:ascii="Arial Narrow" w:hAnsi="Arial Narrow"/>
          <w:sz w:val="24"/>
          <w:szCs w:val="24"/>
        </w:rPr>
      </w:pPr>
      <w:r w:rsidRPr="00601378">
        <w:rPr>
          <w:rFonts w:ascii="Arial Narrow" w:hAnsi="Arial Narrow"/>
          <w:sz w:val="24"/>
          <w:szCs w:val="24"/>
        </w:rPr>
        <w:lastRenderedPageBreak/>
        <w:t xml:space="preserve">Una entidad habrá cedido un activo financiero si, y solo si, cumple alguno de los siguientes requisitos: </w:t>
      </w:r>
    </w:p>
    <w:p w:rsidR="00642E28" w:rsidRPr="00601378" w:rsidRDefault="00642E28" w:rsidP="00642E28">
      <w:pPr>
        <w:pStyle w:val="Prrafodelista"/>
        <w:spacing w:line="360" w:lineRule="auto"/>
        <w:ind w:left="0"/>
        <w:jc w:val="both"/>
        <w:rPr>
          <w:rFonts w:ascii="Arial Narrow" w:hAnsi="Arial Narrow"/>
          <w:sz w:val="24"/>
          <w:szCs w:val="24"/>
        </w:rPr>
      </w:pPr>
      <w:r w:rsidRPr="00601378">
        <w:rPr>
          <w:rFonts w:ascii="Arial Narrow" w:hAnsi="Arial Narrow"/>
          <w:sz w:val="24"/>
          <w:szCs w:val="24"/>
        </w:rPr>
        <w:t xml:space="preserve">a) ha cedido los derechos contractuales a recibir los flujos de efectivo del activo financiero. </w:t>
      </w:r>
    </w:p>
    <w:p w:rsidR="00642E28" w:rsidRPr="00601378" w:rsidRDefault="00642E28" w:rsidP="00642E28">
      <w:pPr>
        <w:pStyle w:val="Prrafodelista"/>
        <w:spacing w:line="360" w:lineRule="auto"/>
        <w:ind w:left="0"/>
        <w:jc w:val="both"/>
        <w:rPr>
          <w:rFonts w:ascii="Arial Narrow" w:hAnsi="Arial Narrow"/>
          <w:sz w:val="24"/>
          <w:szCs w:val="24"/>
        </w:rPr>
      </w:pPr>
      <w:r w:rsidRPr="00601378">
        <w:rPr>
          <w:rFonts w:ascii="Arial Narrow" w:hAnsi="Arial Narrow"/>
          <w:sz w:val="24"/>
          <w:szCs w:val="24"/>
        </w:rPr>
        <w:t xml:space="preserve">b) retiene los derechos contractuales a recibir los flujos de efectivo del activo financiero, pero asume la obligación contractual de pagar los flujos de efectivo a uno o más perceptores. </w:t>
      </w:r>
    </w:p>
    <w:p w:rsidR="00642E28" w:rsidRPr="00601378" w:rsidRDefault="00642E28" w:rsidP="00642E28">
      <w:pPr>
        <w:pStyle w:val="Prrafodelista"/>
        <w:spacing w:line="360" w:lineRule="auto"/>
        <w:ind w:left="0"/>
        <w:jc w:val="both"/>
        <w:rPr>
          <w:rFonts w:ascii="Arial Narrow" w:hAnsi="Arial Narrow"/>
          <w:sz w:val="24"/>
          <w:szCs w:val="24"/>
        </w:rPr>
      </w:pPr>
    </w:p>
    <w:p w:rsidR="00642E28" w:rsidRPr="00601378" w:rsidRDefault="00642E28" w:rsidP="00642E28">
      <w:pPr>
        <w:pStyle w:val="Prrafodelista"/>
        <w:numPr>
          <w:ilvl w:val="0"/>
          <w:numId w:val="12"/>
        </w:numPr>
        <w:spacing w:line="360" w:lineRule="auto"/>
        <w:ind w:left="0"/>
        <w:jc w:val="both"/>
        <w:rPr>
          <w:rFonts w:ascii="Arial Narrow" w:hAnsi="Arial Narrow"/>
          <w:sz w:val="24"/>
          <w:szCs w:val="24"/>
        </w:rPr>
      </w:pPr>
      <w:r w:rsidRPr="00601378">
        <w:rPr>
          <w:rFonts w:ascii="Arial Narrow" w:hAnsi="Arial Narrow"/>
          <w:sz w:val="24"/>
          <w:szCs w:val="24"/>
        </w:rPr>
        <w:t xml:space="preserve">Cuando una entidad retenga los derechos contractuales a recibir los flujos de efectivo de un activo financiero (el “activo original”), pero asuma la obligación contractual de pagar esos flujos de efectivo a una o más entidades (los “perceptores eventuales”), la entidad tratará la operación como si fuese una cesión de activos financieros si, y solo si, se cumplen las tres condiciones siguientes: </w:t>
      </w:r>
    </w:p>
    <w:p w:rsidR="00642E28" w:rsidRPr="00601378" w:rsidRDefault="00642E28" w:rsidP="00642E28">
      <w:pPr>
        <w:spacing w:line="360" w:lineRule="auto"/>
        <w:jc w:val="both"/>
        <w:rPr>
          <w:rFonts w:ascii="Arial Narrow" w:hAnsi="Arial Narrow"/>
          <w:sz w:val="24"/>
          <w:szCs w:val="24"/>
        </w:rPr>
      </w:pPr>
      <w:r w:rsidRPr="00601378">
        <w:rPr>
          <w:rFonts w:ascii="Arial Narrow" w:hAnsi="Arial Narrow"/>
          <w:sz w:val="24"/>
          <w:szCs w:val="24"/>
        </w:rPr>
        <w:t xml:space="preserve">a) La entidad no tenga obligación de pagar ningún importe a los perceptores eventuales, a menos que cobre importes equivalentes del activo original. Los anticipos a corto plazo concedidos por la entidad, con el derecho a la recuperación total del importe menos el interés devengado a tipos de interés de mercado, no violan esta condición. </w:t>
      </w:r>
    </w:p>
    <w:p w:rsidR="00642E28" w:rsidRPr="00601378" w:rsidRDefault="00642E28" w:rsidP="00642E28">
      <w:pPr>
        <w:spacing w:line="360" w:lineRule="auto"/>
        <w:jc w:val="both"/>
        <w:rPr>
          <w:rFonts w:ascii="Arial Narrow" w:hAnsi="Arial Narrow"/>
          <w:sz w:val="24"/>
          <w:szCs w:val="24"/>
        </w:rPr>
      </w:pPr>
      <w:r w:rsidRPr="00601378">
        <w:rPr>
          <w:rFonts w:ascii="Arial Narrow" w:hAnsi="Arial Narrow"/>
          <w:sz w:val="24"/>
          <w:szCs w:val="24"/>
        </w:rPr>
        <w:t xml:space="preserve">b) La entidad tenga prohibido, según las condiciones del contrato de cesión, la venta o la pignoración del activo original, salvo como garantía de pago de los flujos de efectivo comprometidos con los eventuales perceptores. </w:t>
      </w:r>
    </w:p>
    <w:p w:rsidR="00642E28" w:rsidRPr="00601378" w:rsidRDefault="00642E28" w:rsidP="00642E28">
      <w:pPr>
        <w:spacing w:line="360" w:lineRule="auto"/>
        <w:jc w:val="both"/>
        <w:rPr>
          <w:rFonts w:ascii="Arial Narrow" w:hAnsi="Arial Narrow"/>
          <w:sz w:val="24"/>
          <w:szCs w:val="24"/>
        </w:rPr>
      </w:pPr>
      <w:r w:rsidRPr="00601378">
        <w:rPr>
          <w:rFonts w:ascii="Arial Narrow" w:hAnsi="Arial Narrow"/>
          <w:sz w:val="24"/>
          <w:szCs w:val="24"/>
        </w:rPr>
        <w:t>c) La entidad tenga la obligación de remitir cualquier flujo de efectivo que cobre en nombre de los eventuales perceptores sin un retraso significativo. Además, la entidad no está capacitada para reinvertir los flujos de efectivo, excepto inversiones en efectivo o equivalentes al efectivo (tal como están definidas en la NIC 7 Estado de flujos de efectivo) efectuadas durante el corto periodo de liquidación que va desde la fecha de cobro a la fecha de remisión pactada con los perceptores eventuales, siempre que los intereses generados en dichas inversiones se envíen también a los perceptores eventuales.</w:t>
      </w:r>
    </w:p>
    <w:p w:rsidR="00642E28" w:rsidRDefault="00642E28" w:rsidP="00642E28">
      <w:pPr>
        <w:pStyle w:val="Prrafodelista"/>
        <w:numPr>
          <w:ilvl w:val="0"/>
          <w:numId w:val="12"/>
        </w:numPr>
        <w:spacing w:line="360" w:lineRule="auto"/>
        <w:ind w:left="0"/>
        <w:jc w:val="both"/>
        <w:rPr>
          <w:rFonts w:ascii="Arial Narrow" w:hAnsi="Arial Narrow"/>
          <w:sz w:val="24"/>
          <w:szCs w:val="24"/>
        </w:rPr>
      </w:pPr>
      <w:r w:rsidRPr="00601378">
        <w:rPr>
          <w:rFonts w:ascii="Arial Narrow" w:hAnsi="Arial Narrow"/>
          <w:sz w:val="24"/>
          <w:szCs w:val="24"/>
        </w:rPr>
        <w:t>Cuando una entidad ceda un activo financiero evaluará en qué medida retiene los riesgos y los beneficios inherentes a la propiedad del activo financiero.</w:t>
      </w:r>
    </w:p>
    <w:p w:rsidR="00E53599" w:rsidRPr="00601378" w:rsidRDefault="00E53599" w:rsidP="00E53599">
      <w:pPr>
        <w:pStyle w:val="Prrafodelista"/>
        <w:spacing w:line="360" w:lineRule="auto"/>
        <w:ind w:left="0"/>
        <w:jc w:val="both"/>
        <w:rPr>
          <w:rFonts w:ascii="Arial Narrow" w:hAnsi="Arial Narrow"/>
          <w:sz w:val="24"/>
          <w:szCs w:val="24"/>
        </w:rPr>
      </w:pPr>
    </w:p>
    <w:p w:rsidR="00642E28" w:rsidRPr="00601378" w:rsidRDefault="00642E28" w:rsidP="00642E28">
      <w:pPr>
        <w:spacing w:line="360" w:lineRule="auto"/>
        <w:jc w:val="both"/>
        <w:rPr>
          <w:rFonts w:ascii="Arial Narrow" w:hAnsi="Arial Narrow"/>
          <w:sz w:val="24"/>
          <w:szCs w:val="24"/>
        </w:rPr>
      </w:pPr>
      <w:r w:rsidRPr="00601378">
        <w:rPr>
          <w:rFonts w:ascii="Arial Narrow" w:hAnsi="Arial Narrow"/>
          <w:sz w:val="24"/>
          <w:szCs w:val="24"/>
        </w:rPr>
        <w:lastRenderedPageBreak/>
        <w:t xml:space="preserve"> En este caso: </w:t>
      </w:r>
    </w:p>
    <w:p w:rsidR="00642E28" w:rsidRPr="00601378" w:rsidRDefault="00642E28" w:rsidP="00642E28">
      <w:pPr>
        <w:spacing w:line="360" w:lineRule="auto"/>
        <w:jc w:val="both"/>
        <w:rPr>
          <w:rFonts w:ascii="Arial Narrow" w:hAnsi="Arial Narrow"/>
          <w:sz w:val="24"/>
          <w:szCs w:val="24"/>
        </w:rPr>
      </w:pPr>
      <w:r w:rsidRPr="00601378">
        <w:rPr>
          <w:rFonts w:ascii="Arial Narrow" w:hAnsi="Arial Narrow"/>
          <w:sz w:val="24"/>
          <w:szCs w:val="24"/>
        </w:rPr>
        <w:t>a) Si la entidad cede de manera sustancial los riesgos y beneficios inherentes a la propiedad de un activo financiero, lo dará de baja en cuentas y reconocerá de forma separada, como activos o pasivos, cualesquiera derechos y obligaciones creados o retenidos por efecto de la cesión.</w:t>
      </w:r>
    </w:p>
    <w:p w:rsidR="00642E28" w:rsidRPr="00601378" w:rsidRDefault="00642E28" w:rsidP="00642E28">
      <w:pPr>
        <w:spacing w:line="360" w:lineRule="auto"/>
        <w:jc w:val="both"/>
        <w:rPr>
          <w:rFonts w:ascii="Arial Narrow" w:hAnsi="Arial Narrow"/>
          <w:sz w:val="24"/>
          <w:szCs w:val="24"/>
        </w:rPr>
      </w:pPr>
      <w:r w:rsidRPr="00601378">
        <w:rPr>
          <w:rFonts w:ascii="Arial Narrow" w:hAnsi="Arial Narrow"/>
          <w:sz w:val="24"/>
          <w:szCs w:val="24"/>
        </w:rPr>
        <w:t xml:space="preserve"> b) Si la entidad retiene de manera sustancial los riesgos y beneficios inherentes a la propiedad de un activo financiero, continuará reconociendo dicho activo. </w:t>
      </w:r>
    </w:p>
    <w:p w:rsidR="00642E28" w:rsidRDefault="00642E28" w:rsidP="00E53599">
      <w:pPr>
        <w:spacing w:line="360" w:lineRule="auto"/>
        <w:jc w:val="both"/>
        <w:rPr>
          <w:rFonts w:ascii="Arial Narrow" w:hAnsi="Arial Narrow"/>
          <w:sz w:val="24"/>
          <w:szCs w:val="24"/>
        </w:rPr>
      </w:pPr>
      <w:r w:rsidRPr="00601378">
        <w:rPr>
          <w:rFonts w:ascii="Arial Narrow" w:hAnsi="Arial Narrow"/>
          <w:sz w:val="24"/>
          <w:szCs w:val="24"/>
        </w:rPr>
        <w:t>c) Si la entidad ni cede ni retiene de manera sustancial los riesgos y beneficios inherentes a la propiedad del activo financiero, determinará si ha retenido el control sobre el activo financiero. En este caso: Si la entidad no ha retenido el control, dará de baja el activo financiero y reconocerá de forma separada, como activos o pasivos, cualesquiera derechos u obligaciones creados o retenidos por efecto de la cesión.</w:t>
      </w:r>
      <w:r w:rsidR="00E53599">
        <w:rPr>
          <w:rFonts w:ascii="Arial Narrow" w:hAnsi="Arial Narrow"/>
          <w:sz w:val="24"/>
          <w:szCs w:val="24"/>
        </w:rPr>
        <w:t xml:space="preserve"> </w:t>
      </w:r>
      <w:r w:rsidRPr="00601378">
        <w:rPr>
          <w:rFonts w:ascii="Arial Narrow" w:hAnsi="Arial Narrow"/>
          <w:sz w:val="24"/>
          <w:szCs w:val="24"/>
        </w:rPr>
        <w:t>Si la entidad ha retenido el control, continuará reconociendo el activo financiero en la medida de su implicación continuada en el activo financiero.</w:t>
      </w:r>
    </w:p>
    <w:p w:rsidR="00642E28" w:rsidRPr="00642E28" w:rsidRDefault="00642E28" w:rsidP="00642E28">
      <w:pPr>
        <w:pStyle w:val="Prrafodelista"/>
        <w:spacing w:line="360" w:lineRule="auto"/>
        <w:ind w:left="0"/>
        <w:jc w:val="both"/>
        <w:rPr>
          <w:rFonts w:ascii="Arial Narrow" w:hAnsi="Arial Narrow"/>
          <w:sz w:val="24"/>
          <w:szCs w:val="24"/>
        </w:rPr>
      </w:pPr>
      <w:r w:rsidRPr="00642E28">
        <w:rPr>
          <w:rFonts w:ascii="Arial Narrow" w:hAnsi="Arial Narrow"/>
          <w:sz w:val="24"/>
          <w:szCs w:val="24"/>
        </w:rPr>
        <w:t>Medición posterior de activos financieros</w:t>
      </w:r>
    </w:p>
    <w:p w:rsidR="00642E28" w:rsidRPr="00601378" w:rsidRDefault="00642E28" w:rsidP="00642E28">
      <w:pPr>
        <w:spacing w:line="360" w:lineRule="auto"/>
        <w:jc w:val="both"/>
        <w:rPr>
          <w:rFonts w:ascii="Arial Narrow" w:hAnsi="Arial Narrow"/>
          <w:sz w:val="24"/>
          <w:szCs w:val="24"/>
        </w:rPr>
      </w:pPr>
      <w:r w:rsidRPr="00601378">
        <w:rPr>
          <w:rFonts w:ascii="Arial Narrow" w:hAnsi="Arial Narrow"/>
          <w:sz w:val="24"/>
          <w:szCs w:val="24"/>
        </w:rPr>
        <w:t>A los efectos de la medición de un activo financiero después del reconocimiento inicial, esta Norma clasifica a los activos financieros en las cuatro siguientes categorías:</w:t>
      </w:r>
    </w:p>
    <w:p w:rsidR="00642E28" w:rsidRPr="00601378" w:rsidRDefault="00642E28" w:rsidP="00642E28">
      <w:pPr>
        <w:spacing w:line="360" w:lineRule="auto"/>
        <w:jc w:val="both"/>
        <w:rPr>
          <w:rFonts w:ascii="Arial Narrow" w:hAnsi="Arial Narrow"/>
          <w:sz w:val="24"/>
          <w:szCs w:val="24"/>
        </w:rPr>
      </w:pPr>
      <w:r w:rsidRPr="00601378">
        <w:rPr>
          <w:rFonts w:ascii="Arial Narrow" w:hAnsi="Arial Narrow"/>
          <w:sz w:val="24"/>
          <w:szCs w:val="24"/>
        </w:rPr>
        <w:t xml:space="preserve"> a) activos financieros al valor razonable con cambios en resultados</w:t>
      </w:r>
    </w:p>
    <w:p w:rsidR="00642E28" w:rsidRPr="00601378" w:rsidRDefault="00642E28" w:rsidP="00642E28">
      <w:pPr>
        <w:spacing w:line="360" w:lineRule="auto"/>
        <w:jc w:val="both"/>
        <w:rPr>
          <w:rFonts w:ascii="Arial Narrow" w:hAnsi="Arial Narrow"/>
          <w:sz w:val="24"/>
          <w:szCs w:val="24"/>
        </w:rPr>
      </w:pPr>
      <w:r w:rsidRPr="00601378">
        <w:rPr>
          <w:rFonts w:ascii="Arial Narrow" w:hAnsi="Arial Narrow"/>
          <w:sz w:val="24"/>
          <w:szCs w:val="24"/>
        </w:rPr>
        <w:t>b) inversiones mantenidas hasta el vencimiento</w:t>
      </w:r>
    </w:p>
    <w:p w:rsidR="00642E28" w:rsidRPr="00601378" w:rsidRDefault="00642E28" w:rsidP="00642E28">
      <w:pPr>
        <w:spacing w:line="360" w:lineRule="auto"/>
        <w:jc w:val="both"/>
        <w:rPr>
          <w:rFonts w:ascii="Arial Narrow" w:hAnsi="Arial Narrow"/>
          <w:sz w:val="24"/>
          <w:szCs w:val="24"/>
        </w:rPr>
      </w:pPr>
      <w:r w:rsidRPr="00601378">
        <w:rPr>
          <w:rFonts w:ascii="Arial Narrow" w:hAnsi="Arial Narrow"/>
          <w:sz w:val="24"/>
          <w:szCs w:val="24"/>
        </w:rPr>
        <w:t>c) préstamos y cuentas por cobrar</w:t>
      </w:r>
    </w:p>
    <w:p w:rsidR="00E53599" w:rsidRDefault="00642E28" w:rsidP="00642E28">
      <w:pPr>
        <w:spacing w:line="360" w:lineRule="auto"/>
        <w:jc w:val="both"/>
        <w:rPr>
          <w:rFonts w:ascii="Arial Narrow" w:hAnsi="Arial Narrow"/>
          <w:sz w:val="24"/>
          <w:szCs w:val="24"/>
        </w:rPr>
      </w:pPr>
      <w:r w:rsidRPr="00601378">
        <w:rPr>
          <w:rFonts w:ascii="Arial Narrow" w:hAnsi="Arial Narrow"/>
          <w:sz w:val="24"/>
          <w:szCs w:val="24"/>
        </w:rPr>
        <w:t>d) activo financieros disponibles para la venta. Una modificación a la Norma, emitida en junio de 2005, permite que una entidad designe cualquier activo o pasivo financiero (o un grupo de activos financieros, pasivos financieros o ambos), en el momento de su reconocimiento inicial, como una partida (o partidas) a ser medida(s) al valor razonable, reconociendo en resultados los cambios en el valor razonable. Para imponer disciplina en esta clasificación, se prohíbe que una entidad reclasifique posteriormente instrumentos financieros hacia esta categoría o desde ella.</w:t>
      </w:r>
    </w:p>
    <w:p w:rsidR="00642E28" w:rsidRPr="00601378" w:rsidRDefault="00642E28" w:rsidP="00642E28">
      <w:pPr>
        <w:spacing w:line="360" w:lineRule="auto"/>
        <w:jc w:val="both"/>
        <w:rPr>
          <w:rFonts w:ascii="Arial Narrow" w:hAnsi="Arial Narrow"/>
          <w:sz w:val="24"/>
          <w:szCs w:val="24"/>
        </w:rPr>
      </w:pPr>
      <w:r w:rsidRPr="00601378">
        <w:rPr>
          <w:rFonts w:ascii="Arial Narrow" w:hAnsi="Arial Narrow"/>
          <w:b/>
          <w:noProof/>
          <w:sz w:val="24"/>
          <w:szCs w:val="24"/>
        </w:rPr>
        <w:lastRenderedPageBreak/>
        <w:drawing>
          <wp:anchor distT="0" distB="0" distL="114300" distR="114300" simplePos="0" relativeHeight="251685888" behindDoc="0" locked="0" layoutInCell="1" allowOverlap="1" wp14:anchorId="0FAF7560" wp14:editId="59368BD9">
            <wp:simplePos x="0" y="0"/>
            <wp:positionH relativeFrom="margin">
              <wp:posOffset>3729990</wp:posOffset>
            </wp:positionH>
            <wp:positionV relativeFrom="margin">
              <wp:posOffset>3919855</wp:posOffset>
            </wp:positionV>
            <wp:extent cx="1908810" cy="1228725"/>
            <wp:effectExtent l="76200" t="76200" r="129540" b="142875"/>
            <wp:wrapSquare wrapText="bothSides"/>
            <wp:docPr id="26" name="Imagen 7" descr="Resultado de imagen de instrumentos financi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instrumentos financieros"/>
                    <pic:cNvPicPr>
                      <a:picLocks noChangeAspect="1" noChangeArrowheads="1"/>
                    </pic:cNvPicPr>
                  </pic:nvPicPr>
                  <pic:blipFill>
                    <a:blip r:embed="rId30"/>
                    <a:srcRect/>
                    <a:stretch>
                      <a:fillRect/>
                    </a:stretch>
                  </pic:blipFill>
                  <pic:spPr bwMode="auto">
                    <a:xfrm>
                      <a:off x="0" y="0"/>
                      <a:ext cx="1908810" cy="1228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601378">
        <w:rPr>
          <w:rFonts w:ascii="Arial Narrow" w:hAnsi="Arial Narrow"/>
          <w:sz w:val="24"/>
          <w:szCs w:val="24"/>
        </w:rPr>
        <w:t xml:space="preserve">Después del reconocimiento inicial, una entidad medirá los activos financieros, incluyendo aquellos derivados que sean activos, por sus valores razonables, sin deducir los costos de transacción en que pueda incurrir en la venta o disposición por otra vía del activo, salvo para los siguientes activos financieros: </w:t>
      </w:r>
    </w:p>
    <w:p w:rsidR="00642E28" w:rsidRPr="00601378" w:rsidRDefault="00642E28" w:rsidP="00642E28">
      <w:pPr>
        <w:spacing w:line="360" w:lineRule="auto"/>
        <w:jc w:val="both"/>
        <w:rPr>
          <w:rFonts w:ascii="Arial Narrow" w:hAnsi="Arial Narrow"/>
          <w:sz w:val="24"/>
          <w:szCs w:val="24"/>
        </w:rPr>
      </w:pPr>
      <w:r w:rsidRPr="00601378">
        <w:rPr>
          <w:rFonts w:ascii="Arial Narrow" w:hAnsi="Arial Narrow"/>
          <w:sz w:val="24"/>
          <w:szCs w:val="24"/>
        </w:rPr>
        <w:t>a) Préstamos y cuentas por cobrar, que se medirán al costo amortizado utilizando el método de la tasa de interés efectiva</w:t>
      </w:r>
    </w:p>
    <w:p w:rsidR="00642E28" w:rsidRPr="00601378" w:rsidRDefault="00642E28" w:rsidP="00642E28">
      <w:pPr>
        <w:spacing w:line="360" w:lineRule="auto"/>
        <w:jc w:val="both"/>
        <w:rPr>
          <w:rFonts w:ascii="Arial Narrow" w:hAnsi="Arial Narrow"/>
          <w:sz w:val="24"/>
          <w:szCs w:val="24"/>
        </w:rPr>
      </w:pPr>
      <w:r w:rsidRPr="00601378">
        <w:rPr>
          <w:rFonts w:ascii="Arial Narrow" w:hAnsi="Arial Narrow"/>
          <w:sz w:val="24"/>
          <w:szCs w:val="24"/>
        </w:rPr>
        <w:t xml:space="preserve"> b) Inversiones mantenidas hasta el vencimiento, que se medirán al costo amortizado utilizando el método de la tasa de interés efectiva</w:t>
      </w:r>
    </w:p>
    <w:p w:rsidR="00642E28" w:rsidRPr="00601378" w:rsidRDefault="00642E28" w:rsidP="00642E28">
      <w:pPr>
        <w:spacing w:line="360" w:lineRule="auto"/>
        <w:jc w:val="both"/>
        <w:rPr>
          <w:rFonts w:ascii="Arial Narrow" w:hAnsi="Arial Narrow"/>
          <w:sz w:val="24"/>
          <w:szCs w:val="24"/>
        </w:rPr>
      </w:pPr>
      <w:r w:rsidRPr="00601378">
        <w:rPr>
          <w:rFonts w:ascii="Arial Narrow" w:hAnsi="Arial Narrow"/>
          <w:sz w:val="24"/>
          <w:szCs w:val="24"/>
        </w:rPr>
        <w:t>c) Las inversiones en instrumentos de patrimonio que no tengan un precio de mercado cotizado de un mercado activo y cuyo valor razonable no pueda ser medido con fiabilidad, y los instrumentos derivados que estén vinculados a dichos instrumentos de patrimonio no cotizados y que deben ser liquidados mediante su entrega, que se medirán al costo . Los activos financieros que se designen como partidas cubiertas se medirán de acuerdo con los requerimientos de la contabilidad de coberturas.</w:t>
      </w:r>
    </w:p>
    <w:p w:rsidR="00642E28" w:rsidRPr="00601378" w:rsidRDefault="00642E28" w:rsidP="00642E28">
      <w:pPr>
        <w:spacing w:line="360" w:lineRule="auto"/>
        <w:jc w:val="both"/>
        <w:rPr>
          <w:rFonts w:ascii="Arial Narrow" w:hAnsi="Arial Narrow"/>
          <w:sz w:val="24"/>
          <w:szCs w:val="24"/>
        </w:rPr>
      </w:pPr>
      <w:r w:rsidRPr="00642E28">
        <w:rPr>
          <w:rFonts w:ascii="Arial Narrow" w:hAnsi="Arial Narrow"/>
          <w:sz w:val="24"/>
          <w:szCs w:val="24"/>
        </w:rPr>
        <w:t>Medición posterior de pasivos financieros. Después del reconocimiento inicial, u</w:t>
      </w:r>
      <w:r w:rsidRPr="00601378">
        <w:rPr>
          <w:rFonts w:ascii="Arial Narrow" w:hAnsi="Arial Narrow"/>
          <w:sz w:val="24"/>
          <w:szCs w:val="24"/>
        </w:rPr>
        <w:t>na entidad medirá todos sus pasivos financieros al costo amortizado utilizando el método de la tasa de interés efectiva, excepto:</w:t>
      </w:r>
    </w:p>
    <w:p w:rsidR="00642E28" w:rsidRPr="00601378" w:rsidRDefault="00642E28" w:rsidP="00642E28">
      <w:pPr>
        <w:spacing w:line="360" w:lineRule="auto"/>
        <w:jc w:val="both"/>
        <w:rPr>
          <w:rFonts w:ascii="Arial Narrow" w:hAnsi="Arial Narrow"/>
          <w:sz w:val="24"/>
          <w:szCs w:val="24"/>
        </w:rPr>
      </w:pPr>
      <w:r w:rsidRPr="00601378">
        <w:rPr>
          <w:rFonts w:ascii="Arial Narrow" w:hAnsi="Arial Narrow"/>
          <w:sz w:val="24"/>
          <w:szCs w:val="24"/>
        </w:rPr>
        <w:t xml:space="preserve"> a) Los pasivos financieros que se contabilicen al valor razonable con cambios en resultados. Tales pasivos, incluyendo los derivados que sean pasivos, se medirán al valor razonable, con la excepción de los instrumentos derivados que, siendo pasivos financieros, estén vinculados con y deban ser liquidados mediante la entrega de un instrumento de patrimonio no cotizado cuyo valor razonable no pueda ser medido con fiabilidad, que se medirán al costo. </w:t>
      </w:r>
    </w:p>
    <w:p w:rsidR="00642E28" w:rsidRPr="00601378" w:rsidRDefault="00642E28" w:rsidP="00642E28">
      <w:pPr>
        <w:spacing w:line="360" w:lineRule="auto"/>
        <w:jc w:val="both"/>
        <w:rPr>
          <w:rFonts w:ascii="Arial Narrow" w:hAnsi="Arial Narrow"/>
          <w:sz w:val="24"/>
          <w:szCs w:val="24"/>
        </w:rPr>
      </w:pPr>
      <w:r w:rsidRPr="00601378">
        <w:rPr>
          <w:rFonts w:ascii="Arial Narrow" w:hAnsi="Arial Narrow"/>
          <w:sz w:val="24"/>
          <w:szCs w:val="24"/>
        </w:rPr>
        <w:t xml:space="preserve">b) Los pasivos financieros que surjan por una transferencia de activos financieros que no cumpla con los requisitos para su baja en cuentas o que se contabilicen utilizando el enfoque de la implicación continuada. </w:t>
      </w:r>
    </w:p>
    <w:p w:rsidR="00642E28" w:rsidRPr="00601378" w:rsidRDefault="00642E28" w:rsidP="00642E28">
      <w:pPr>
        <w:spacing w:line="360" w:lineRule="auto"/>
        <w:jc w:val="both"/>
        <w:rPr>
          <w:rFonts w:ascii="Arial Narrow" w:hAnsi="Arial Narrow"/>
          <w:sz w:val="24"/>
          <w:szCs w:val="24"/>
        </w:rPr>
      </w:pPr>
      <w:r w:rsidRPr="00601378">
        <w:rPr>
          <w:rFonts w:ascii="Arial Narrow" w:hAnsi="Arial Narrow"/>
          <w:sz w:val="24"/>
          <w:szCs w:val="24"/>
        </w:rPr>
        <w:lastRenderedPageBreak/>
        <w:t xml:space="preserve">c) Los contratos de garantía financiera, después del reconocimiento inicial, un emisor de dichos contratos los medirá:  </w:t>
      </w:r>
    </w:p>
    <w:p w:rsidR="00642E28" w:rsidRPr="00642E28" w:rsidRDefault="00642E28" w:rsidP="00642E28">
      <w:pPr>
        <w:spacing w:line="360" w:lineRule="auto"/>
        <w:jc w:val="both"/>
        <w:rPr>
          <w:rFonts w:ascii="Arial Narrow" w:hAnsi="Arial Narrow"/>
          <w:sz w:val="24"/>
          <w:szCs w:val="24"/>
        </w:rPr>
      </w:pPr>
      <w:r w:rsidRPr="00642E28">
        <w:rPr>
          <w:rFonts w:ascii="Arial Narrow" w:hAnsi="Arial Narrow"/>
          <w:sz w:val="24"/>
          <w:szCs w:val="24"/>
        </w:rPr>
        <w:t>Ganancias y pérdidas</w:t>
      </w:r>
    </w:p>
    <w:p w:rsidR="00642E28" w:rsidRPr="00601378" w:rsidRDefault="00642E28" w:rsidP="00642E28">
      <w:pPr>
        <w:spacing w:line="360" w:lineRule="auto"/>
        <w:jc w:val="both"/>
        <w:rPr>
          <w:rFonts w:ascii="Arial Narrow" w:hAnsi="Arial Narrow"/>
          <w:sz w:val="24"/>
          <w:szCs w:val="24"/>
        </w:rPr>
      </w:pPr>
      <w:r w:rsidRPr="00601378">
        <w:rPr>
          <w:rFonts w:ascii="Arial Narrow" w:hAnsi="Arial Narrow"/>
          <w:noProof/>
          <w:sz w:val="24"/>
          <w:szCs w:val="24"/>
        </w:rPr>
        <w:drawing>
          <wp:anchor distT="0" distB="0" distL="114300" distR="114300" simplePos="0" relativeHeight="251686912" behindDoc="0" locked="0" layoutInCell="1" allowOverlap="1" wp14:anchorId="7D30BA4E" wp14:editId="51684AB4">
            <wp:simplePos x="0" y="0"/>
            <wp:positionH relativeFrom="margin">
              <wp:posOffset>3519170</wp:posOffset>
            </wp:positionH>
            <wp:positionV relativeFrom="margin">
              <wp:posOffset>2429510</wp:posOffset>
            </wp:positionV>
            <wp:extent cx="2007870" cy="1353820"/>
            <wp:effectExtent l="76200" t="76200" r="125730" b="132080"/>
            <wp:wrapSquare wrapText="bothSides"/>
            <wp:docPr id="27" name="Imagen 27" descr="Resultado de imagen de instrumentos financi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instrumentos financieros"/>
                    <pic:cNvPicPr>
                      <a:picLocks noChangeAspect="1" noChangeArrowheads="1"/>
                    </pic:cNvPicPr>
                  </pic:nvPicPr>
                  <pic:blipFill>
                    <a:blip r:embed="rId31"/>
                    <a:srcRect/>
                    <a:stretch>
                      <a:fillRect/>
                    </a:stretch>
                  </pic:blipFill>
                  <pic:spPr bwMode="auto">
                    <a:xfrm>
                      <a:off x="0" y="0"/>
                      <a:ext cx="2007870" cy="1353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601378">
        <w:rPr>
          <w:rFonts w:ascii="Arial Narrow" w:hAnsi="Arial Narrow"/>
          <w:sz w:val="24"/>
          <w:szCs w:val="24"/>
        </w:rPr>
        <w:t xml:space="preserve">Una ganancia o pérdida surgida de la variación del valor razonable de un activo o pasivo financieros que no forme parte de una operación de cobertura se reconocerá de la siguiente forma: </w:t>
      </w:r>
    </w:p>
    <w:p w:rsidR="00642E28" w:rsidRPr="00601378" w:rsidRDefault="00642E28" w:rsidP="00642E28">
      <w:pPr>
        <w:spacing w:line="360" w:lineRule="auto"/>
        <w:jc w:val="both"/>
        <w:rPr>
          <w:rFonts w:ascii="Arial Narrow" w:hAnsi="Arial Narrow"/>
          <w:sz w:val="24"/>
          <w:szCs w:val="24"/>
        </w:rPr>
      </w:pPr>
      <w:r w:rsidRPr="00601378">
        <w:rPr>
          <w:rFonts w:ascii="Arial Narrow" w:hAnsi="Arial Narrow"/>
          <w:sz w:val="24"/>
          <w:szCs w:val="24"/>
        </w:rPr>
        <w:t xml:space="preserve">a) Una ganancia o pérdida ocasionada por un activo o pasivo financieros al valor razonable con cambios en resultados, se reconocerá en el resultado del periodo. </w:t>
      </w:r>
    </w:p>
    <w:p w:rsidR="00642E28" w:rsidRDefault="00642E28" w:rsidP="00642E28">
      <w:pPr>
        <w:spacing w:line="360" w:lineRule="auto"/>
        <w:jc w:val="both"/>
        <w:rPr>
          <w:rFonts w:ascii="Arial Narrow" w:hAnsi="Arial Narrow"/>
          <w:sz w:val="24"/>
          <w:szCs w:val="24"/>
        </w:rPr>
      </w:pPr>
      <w:r w:rsidRPr="00601378">
        <w:rPr>
          <w:rFonts w:ascii="Arial Narrow" w:hAnsi="Arial Narrow"/>
          <w:sz w:val="24"/>
          <w:szCs w:val="24"/>
        </w:rPr>
        <w:t>b) Una ganancia o pérdida ocasionada por un activo disponible para la venta, se reconocerá directamente en el patrimonio neto, a través del estado de cambios en el patrimonio neto (véase la NIC 1 Presentación de Estados Financieros) con excepción de las pérdidas por deterioro del valor y de las ganancias y pérdidas de cambio hasta que el activo financiero se dé de baja, momento en el cual la ganancia o pérdida que hubiese sido reconocida previamente en el patrimonio neto se reconocerá en el resultado del periodo. Sin embargo, los intereses calculados según el método de la tasa de interés efectiva se reconocerán en el resultado del periodo Los dividendos de un instrumento de patrimonio clasificado como disponible para la venta se reconocerán en el resultado del periodo cuando se establezca el derecho de la entidad a recibir el.</w:t>
      </w:r>
    </w:p>
    <w:p w:rsidR="00642E28" w:rsidRPr="00601378" w:rsidRDefault="00642E28" w:rsidP="00642E28">
      <w:pPr>
        <w:spacing w:line="360" w:lineRule="auto"/>
        <w:jc w:val="both"/>
        <w:rPr>
          <w:rFonts w:ascii="Arial Narrow" w:hAnsi="Arial Narrow"/>
          <w:sz w:val="24"/>
          <w:szCs w:val="24"/>
        </w:rPr>
      </w:pPr>
      <w:r w:rsidRPr="00601378">
        <w:rPr>
          <w:rFonts w:ascii="Arial Narrow" w:hAnsi="Arial Narrow"/>
          <w:sz w:val="24"/>
          <w:szCs w:val="24"/>
        </w:rPr>
        <w:t>Para los activos financieros y los pasivos financieros llevados al costo amortizado, se reconocerán ganancias o pérdidas en el resultado del periodo cuando el activo o pasivo financieros se dé de baja o se haya deteriorado, así como a través del proceso de amortización.</w:t>
      </w:r>
    </w:p>
    <w:p w:rsidR="00642E28" w:rsidRPr="00601378" w:rsidRDefault="00642E28" w:rsidP="00642E28">
      <w:pPr>
        <w:spacing w:line="360" w:lineRule="auto"/>
        <w:jc w:val="both"/>
        <w:rPr>
          <w:rFonts w:ascii="Arial Narrow" w:hAnsi="Arial Narrow"/>
          <w:sz w:val="24"/>
          <w:szCs w:val="24"/>
        </w:rPr>
      </w:pPr>
      <w:r w:rsidRPr="00601378">
        <w:rPr>
          <w:rFonts w:ascii="Arial Narrow" w:hAnsi="Arial Narrow"/>
          <w:sz w:val="24"/>
          <w:szCs w:val="24"/>
        </w:rPr>
        <w:t xml:space="preserve"> Deterioro e incobrabilidad de activos financieros</w:t>
      </w:r>
    </w:p>
    <w:p w:rsidR="00BE39DB" w:rsidRPr="00642E28" w:rsidRDefault="00642E28" w:rsidP="00642E28">
      <w:pPr>
        <w:spacing w:line="360" w:lineRule="auto"/>
        <w:jc w:val="both"/>
        <w:rPr>
          <w:rFonts w:ascii="Arial Narrow" w:hAnsi="Arial Narrow"/>
          <w:sz w:val="24"/>
          <w:szCs w:val="24"/>
        </w:rPr>
      </w:pPr>
      <w:r w:rsidRPr="00601378">
        <w:rPr>
          <w:rFonts w:ascii="Arial Narrow" w:hAnsi="Arial Narrow"/>
          <w:sz w:val="24"/>
          <w:szCs w:val="24"/>
        </w:rPr>
        <w:t>Una entidad evaluará en cada fecha de balance si existe evidencia objetiva de que un activo financiero o un grupo de ellos estén deteriorados.</w:t>
      </w:r>
    </w:p>
    <w:p w:rsidR="00BE39DB" w:rsidRDefault="00642E28" w:rsidP="008A4F02">
      <w:pPr>
        <w:jc w:val="both"/>
      </w:pPr>
      <w:r>
        <w:rPr>
          <w:noProof/>
        </w:rPr>
        <w:lastRenderedPageBreak/>
        <w:drawing>
          <wp:inline distT="0" distB="0" distL="0" distR="0">
            <wp:extent cx="5610225" cy="6981825"/>
            <wp:effectExtent l="76200" t="76200" r="142875" b="1428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6981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0237D" w:rsidRDefault="00BE39DB" w:rsidP="008A4F02">
      <w:pPr>
        <w:tabs>
          <w:tab w:val="left" w:pos="3510"/>
        </w:tabs>
        <w:jc w:val="both"/>
      </w:pPr>
      <w:r>
        <w:tab/>
      </w:r>
    </w:p>
    <w:p w:rsidR="0030237D" w:rsidRDefault="00F51491" w:rsidP="008A4F02">
      <w:pPr>
        <w:tabs>
          <w:tab w:val="left" w:pos="3510"/>
        </w:tabs>
        <w:jc w:val="both"/>
      </w:pPr>
      <w:r>
        <w:rPr>
          <w:noProof/>
        </w:rPr>
        <w:lastRenderedPageBreak/>
        <w:drawing>
          <wp:inline distT="0" distB="0" distL="0" distR="0" wp14:anchorId="5BE2D0DD" wp14:editId="277389A0">
            <wp:extent cx="5610225" cy="3705225"/>
            <wp:effectExtent l="76200" t="76200" r="142875" b="1428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0225" cy="3705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51491" w:rsidRDefault="00F51491" w:rsidP="00F51491">
      <w:pPr>
        <w:spacing w:line="360" w:lineRule="auto"/>
        <w:jc w:val="both"/>
        <w:rPr>
          <w:rFonts w:ascii="Arial Narrow" w:hAnsi="Arial Narrow"/>
          <w:b/>
          <w:sz w:val="24"/>
          <w:szCs w:val="24"/>
        </w:rPr>
      </w:pPr>
      <w:r w:rsidRPr="00151B13">
        <w:rPr>
          <w:rFonts w:ascii="Arial Narrow" w:hAnsi="Arial Narrow"/>
          <w:b/>
          <w:sz w:val="24"/>
          <w:szCs w:val="24"/>
        </w:rPr>
        <w:t xml:space="preserve">Análisis según código de comercio: </w:t>
      </w:r>
      <w:r w:rsidRPr="00151B13">
        <w:rPr>
          <w:rFonts w:ascii="Arial Narrow" w:hAnsi="Arial Narrow"/>
          <w:sz w:val="24"/>
          <w:szCs w:val="24"/>
        </w:rPr>
        <w:t xml:space="preserve">Todas las entidades pueden aumentar o disminuir sus capitales, esto quiere decir que puede ser que  por los requerimientos directos de  los socios; es decir partiendo que los socios están inmersos a las actividades financieras de la entidad para lo cual se advierte sobre lo que está establecido en el </w:t>
      </w:r>
      <w:r w:rsidRPr="00151B13">
        <w:rPr>
          <w:rFonts w:ascii="Arial Narrow" w:hAnsi="Arial Narrow"/>
          <w:b/>
          <w:sz w:val="24"/>
          <w:szCs w:val="24"/>
        </w:rPr>
        <w:t xml:space="preserve">código de comercio según los artículos 30 y 32, </w:t>
      </w:r>
      <w:r w:rsidRPr="00151B13">
        <w:rPr>
          <w:rFonts w:ascii="Arial Narrow" w:hAnsi="Arial Narrow"/>
          <w:sz w:val="24"/>
          <w:szCs w:val="24"/>
        </w:rPr>
        <w:t>esto es tratándose de las actividades que cada entidad y por su actividad económica. Específicamente el artículo 32 establece de manera directa sobre los instrumentos financieros desde la concepción mercantil y correlación a lo que los socios (accionistas)   estos valores que los socios o accionistas aportan pueden incrementar el patrimonio de la entidad de manera directa sobre los títulos valores, que estos puedan aportar y sobre la manera que estos están impactando el patrimonio de la entidad. Para lo cual la aportación sustancial dan como legitimidad a los accionistas. Pero también se debe advertir que cuando hay una disminución del patrimonio también hay un impacto en el patrimonio y por ende también de los instrumentos financieros puede sufrir pérdidas o  disminuciones en los capitales accionarios tanto en los instrumentos financieros como en el patrimonio de la entidad.</w:t>
      </w:r>
    </w:p>
    <w:p w:rsidR="00F51491" w:rsidRPr="00F51491" w:rsidRDefault="00F51491" w:rsidP="00F51491">
      <w:pPr>
        <w:spacing w:line="360" w:lineRule="auto"/>
        <w:jc w:val="both"/>
        <w:rPr>
          <w:rFonts w:ascii="Arial Narrow" w:hAnsi="Arial Narrow"/>
          <w:b/>
          <w:sz w:val="24"/>
          <w:szCs w:val="24"/>
        </w:rPr>
      </w:pPr>
      <w:bookmarkStart w:id="1" w:name="OLE_LINK1"/>
      <w:bookmarkStart w:id="2" w:name="OLE_LINK2"/>
      <w:r w:rsidRPr="00151B13">
        <w:rPr>
          <w:rFonts w:ascii="Arial Narrow" w:hAnsi="Arial Narrow"/>
          <w:b/>
          <w:sz w:val="24"/>
          <w:szCs w:val="24"/>
        </w:rPr>
        <w:lastRenderedPageBreak/>
        <w:t>Análisis según el código tributario</w:t>
      </w:r>
      <w:r>
        <w:rPr>
          <w:rFonts w:ascii="Arial Narrow" w:hAnsi="Arial Narrow"/>
          <w:b/>
          <w:sz w:val="24"/>
          <w:szCs w:val="24"/>
        </w:rPr>
        <w:t xml:space="preserve">: </w:t>
      </w:r>
      <w:r w:rsidRPr="00151B13">
        <w:rPr>
          <w:rFonts w:ascii="Arial Narrow" w:hAnsi="Arial Narrow"/>
          <w:sz w:val="24"/>
          <w:szCs w:val="24"/>
        </w:rPr>
        <w:t xml:space="preserve">Lo concerniente a lo establecido en el </w:t>
      </w:r>
      <w:r w:rsidRPr="00151B13">
        <w:rPr>
          <w:rFonts w:ascii="Arial Narrow" w:hAnsi="Arial Narrow"/>
          <w:b/>
          <w:sz w:val="24"/>
          <w:szCs w:val="24"/>
        </w:rPr>
        <w:t xml:space="preserve">código tributario artículo 105 </w:t>
      </w:r>
      <w:bookmarkEnd w:id="1"/>
      <w:bookmarkEnd w:id="2"/>
      <w:r w:rsidRPr="00151B13">
        <w:rPr>
          <w:rFonts w:ascii="Arial Narrow" w:hAnsi="Arial Narrow"/>
          <w:b/>
          <w:sz w:val="24"/>
          <w:szCs w:val="24"/>
        </w:rPr>
        <w:t xml:space="preserve">y 124 </w:t>
      </w:r>
      <w:r w:rsidRPr="00151B13">
        <w:rPr>
          <w:rFonts w:ascii="Arial Narrow" w:hAnsi="Arial Narrow"/>
          <w:sz w:val="24"/>
          <w:szCs w:val="24"/>
        </w:rPr>
        <w:t>sobre la actividad económica financiera de entidades y sobre  los resultados que estas tengan provenientes de aquellas actividad realizada durante el ciclo  económico, llámese aquellas fuentes de ingresos económicos directos que aumentan las utilidades o disminuciones de los accionistas provenientes  de (disminución de dividendos, utilidades, excedentes o utilidades) tendrán que informar y reportar a la administración correspondiente es decir: a la administración tributaria sobre el aumentos o disminución del valor de las acciones ,aportes o derechos de dividendos y tendrán como plazo los 2 años según lo determina el código tributario. También establece asimismo para aquellos que tengan la calidad de socio, accionista o cooperado esto está determinado como el procedimiento fiscal que tendrán los involucrados de las entidad y que esta tenga como actividad generadora para el incremento en el patrimonio y de sus utilidades tendrá que  seguir el procedimiento específico para lo que está determinado su actividades.</w:t>
      </w:r>
    </w:p>
    <w:p w:rsidR="00F51491" w:rsidRPr="00F51491" w:rsidRDefault="00F51491" w:rsidP="00F51491">
      <w:pPr>
        <w:spacing w:line="360" w:lineRule="auto"/>
        <w:jc w:val="both"/>
        <w:rPr>
          <w:rFonts w:ascii="Arial Narrow" w:hAnsi="Arial Narrow"/>
          <w:b/>
          <w:sz w:val="24"/>
          <w:szCs w:val="24"/>
        </w:rPr>
      </w:pPr>
      <w:r w:rsidRPr="00151B13">
        <w:rPr>
          <w:rFonts w:ascii="Arial Narrow" w:hAnsi="Arial Narrow"/>
          <w:b/>
          <w:sz w:val="24"/>
          <w:szCs w:val="24"/>
        </w:rPr>
        <w:t>Análisis según ley de renta</w:t>
      </w:r>
      <w:r>
        <w:rPr>
          <w:rFonts w:ascii="Arial Narrow" w:hAnsi="Arial Narrow"/>
          <w:b/>
          <w:sz w:val="24"/>
          <w:szCs w:val="24"/>
        </w:rPr>
        <w:t xml:space="preserve">: </w:t>
      </w:r>
      <w:r w:rsidRPr="00151B13">
        <w:rPr>
          <w:rFonts w:ascii="Arial Narrow" w:hAnsi="Arial Narrow"/>
          <w:sz w:val="24"/>
          <w:szCs w:val="24"/>
        </w:rPr>
        <w:t>Lo que determina la ley de renta para los instrumentos financieros según los artículos 14 y 14 A son los que más concretamente determinan como aquellas actividades  económicas para los socios o accionistas  esto quiere decir que de las rentas obtenidas proveniente de las utilidades tendrán como resultado favorable al patrimonio de la entidad siempre y cuando esta ganancia sea positiva, pero si esta ganancia sean negativa es un impacto negativo para el patrimonio y por ende el impacto negativo será tanto para la entidad como para los accionistas de la entidad es decir: que tanto el incrementos de las utilidades como el decrementos siempre tendrá que tener énfasis económicos para la entidad como los accionistas para sus mayor actividad económica, como aquellas actividades que estén en la bolsa de valores como de aquellos instrumentos financieros que determinan el futuro de la entidad.</w:t>
      </w:r>
      <w:r>
        <w:rPr>
          <w:rFonts w:ascii="Arial Narrow" w:hAnsi="Arial Narrow"/>
          <w:b/>
          <w:sz w:val="24"/>
          <w:szCs w:val="24"/>
        </w:rPr>
        <w:t xml:space="preserve"> </w:t>
      </w:r>
      <w:r w:rsidRPr="00151B13">
        <w:rPr>
          <w:rFonts w:ascii="Arial Narrow" w:hAnsi="Arial Narrow"/>
          <w:sz w:val="24"/>
          <w:szCs w:val="24"/>
        </w:rPr>
        <w:t xml:space="preserve">Estas rentas obtenidas de títulos valores como también aquellos instrumentos financieros , hay que advertir son los que dan vida y son los que mayormente tienden a tener mayor énfasis para la entidad por la razón fundamental que estos representan en las entidades tanto económicas y financieras se determina que “Por renta atribuida”, aquella que, para efectos tributarios, corresponda total o parcialmente a los contribuyentes de los impuestos global complementario o adicional, al término del año comercial respectivo, atendido su carácter de propietario, comunero, socio o accionista de una empresa sujeta al impuesto de primera categoría conforme a las disposiciones del artículo 14, letra A) y demás normas legales, en cuanto se trate de </w:t>
      </w:r>
      <w:r w:rsidRPr="00151B13">
        <w:rPr>
          <w:rFonts w:ascii="Arial Narrow" w:hAnsi="Arial Narrow"/>
          <w:sz w:val="24"/>
          <w:szCs w:val="24"/>
        </w:rPr>
        <w:lastRenderedPageBreak/>
        <w:t>rentas percibidas o devengadas por dicha empresa, o aquellas que le hubiesen sido atribuidas de empresas en que ésta participe y así sucesivamente”</w:t>
      </w:r>
    </w:p>
    <w:p w:rsidR="00F51491" w:rsidRPr="00F51491" w:rsidRDefault="00F51491" w:rsidP="00F51491">
      <w:pPr>
        <w:spacing w:line="360" w:lineRule="auto"/>
        <w:jc w:val="both"/>
        <w:rPr>
          <w:rFonts w:ascii="Arial Narrow" w:hAnsi="Arial Narrow"/>
          <w:b/>
          <w:sz w:val="24"/>
          <w:szCs w:val="24"/>
        </w:rPr>
      </w:pPr>
      <w:r w:rsidRPr="006D4CB3">
        <w:rPr>
          <w:rFonts w:ascii="Arial Narrow" w:hAnsi="Arial Narrow"/>
          <w:b/>
          <w:sz w:val="24"/>
          <w:szCs w:val="24"/>
        </w:rPr>
        <w:t>Análisis según Ley del IVA</w:t>
      </w:r>
      <w:r>
        <w:rPr>
          <w:rFonts w:ascii="Arial Narrow" w:hAnsi="Arial Narrow"/>
          <w:b/>
          <w:sz w:val="24"/>
          <w:szCs w:val="24"/>
        </w:rPr>
        <w:t xml:space="preserve">: </w:t>
      </w:r>
      <w:r w:rsidRPr="006D4CB3">
        <w:rPr>
          <w:rFonts w:ascii="Arial Narrow" w:hAnsi="Arial Narrow"/>
          <w:sz w:val="24"/>
          <w:szCs w:val="24"/>
        </w:rPr>
        <w:t xml:space="preserve">“En esta Ley según </w:t>
      </w:r>
      <w:r w:rsidRPr="006D4CB3">
        <w:rPr>
          <w:rFonts w:ascii="Arial Narrow" w:hAnsi="Arial Narrow"/>
          <w:b/>
          <w:sz w:val="24"/>
          <w:szCs w:val="24"/>
        </w:rPr>
        <w:t>artículos 54 y 55</w:t>
      </w:r>
      <w:r w:rsidRPr="006D4CB3">
        <w:rPr>
          <w:rFonts w:ascii="Arial Narrow" w:hAnsi="Arial Narrow"/>
          <w:sz w:val="24"/>
          <w:szCs w:val="24"/>
        </w:rPr>
        <w:t xml:space="preserve"> se determina el porcentaje de impuesto a pagar de trece por ciento que se aplica a los bienes adquiridos por los activos que la empresa tendrá a su disposición al igual que en los pasivos se aplica a la base imponible de los hechos generadores que se causa por cada operación realizada en un período tributario correspondiente  denominado “Débito Fiscal”, aunque según el </w:t>
      </w:r>
      <w:r w:rsidRPr="006D4CB3">
        <w:rPr>
          <w:rFonts w:ascii="Arial Narrow" w:hAnsi="Arial Narrow"/>
          <w:b/>
          <w:sz w:val="24"/>
          <w:szCs w:val="24"/>
        </w:rPr>
        <w:t>artículo 75</w:t>
      </w:r>
      <w:r w:rsidRPr="006D4CB3">
        <w:rPr>
          <w:rFonts w:ascii="Arial Narrow" w:hAnsi="Arial Narrow"/>
          <w:sz w:val="24"/>
          <w:szCs w:val="24"/>
        </w:rPr>
        <w:t xml:space="preserve"> de la presente Ley las exportaciones estarán afectas a una tasa del cero por ciento ya que las exportaciones no generan un impuesto a la base imponible”</w:t>
      </w:r>
    </w:p>
    <w:p w:rsidR="00F51491" w:rsidRPr="006D4CB3" w:rsidRDefault="00F51491" w:rsidP="00F51491">
      <w:pPr>
        <w:spacing w:line="360" w:lineRule="auto"/>
        <w:jc w:val="both"/>
        <w:rPr>
          <w:rFonts w:ascii="Arial Narrow" w:hAnsi="Arial Narrow"/>
          <w:sz w:val="24"/>
          <w:szCs w:val="24"/>
        </w:rPr>
      </w:pPr>
    </w:p>
    <w:p w:rsidR="00F51491" w:rsidRDefault="00F51491" w:rsidP="00F51491">
      <w:pPr>
        <w:spacing w:line="360" w:lineRule="auto"/>
        <w:jc w:val="both"/>
      </w:pPr>
    </w:p>
    <w:p w:rsidR="0030237D" w:rsidRDefault="0030237D" w:rsidP="00F51491">
      <w:pPr>
        <w:tabs>
          <w:tab w:val="left" w:pos="3510"/>
        </w:tabs>
        <w:jc w:val="both"/>
      </w:pPr>
    </w:p>
    <w:p w:rsidR="0030237D" w:rsidRDefault="0030237D" w:rsidP="00F51491">
      <w:pPr>
        <w:tabs>
          <w:tab w:val="left" w:pos="3510"/>
        </w:tabs>
        <w:jc w:val="both"/>
      </w:pPr>
    </w:p>
    <w:p w:rsidR="0030237D" w:rsidRDefault="0030237D" w:rsidP="008A4F02">
      <w:pPr>
        <w:tabs>
          <w:tab w:val="left" w:pos="3510"/>
        </w:tabs>
        <w:jc w:val="both"/>
      </w:pPr>
    </w:p>
    <w:p w:rsidR="0030237D" w:rsidRDefault="0030237D" w:rsidP="008A4F02">
      <w:pPr>
        <w:tabs>
          <w:tab w:val="left" w:pos="3510"/>
        </w:tabs>
        <w:jc w:val="both"/>
      </w:pPr>
    </w:p>
    <w:p w:rsidR="0030237D" w:rsidRDefault="0030237D" w:rsidP="008A4F02">
      <w:pPr>
        <w:tabs>
          <w:tab w:val="left" w:pos="3510"/>
        </w:tabs>
        <w:jc w:val="both"/>
      </w:pPr>
    </w:p>
    <w:p w:rsidR="0030237D" w:rsidRDefault="0030237D" w:rsidP="008A4F02">
      <w:pPr>
        <w:tabs>
          <w:tab w:val="left" w:pos="3510"/>
        </w:tabs>
        <w:jc w:val="both"/>
      </w:pPr>
    </w:p>
    <w:p w:rsidR="0030237D" w:rsidRDefault="0030237D" w:rsidP="008A4F02">
      <w:pPr>
        <w:tabs>
          <w:tab w:val="left" w:pos="3510"/>
        </w:tabs>
        <w:jc w:val="both"/>
      </w:pPr>
    </w:p>
    <w:p w:rsidR="0030237D" w:rsidRDefault="0030237D" w:rsidP="008A4F02">
      <w:pPr>
        <w:tabs>
          <w:tab w:val="left" w:pos="3510"/>
        </w:tabs>
        <w:jc w:val="both"/>
      </w:pPr>
    </w:p>
    <w:p w:rsidR="0030237D" w:rsidRDefault="0030237D" w:rsidP="008A4F02">
      <w:pPr>
        <w:tabs>
          <w:tab w:val="left" w:pos="3510"/>
        </w:tabs>
        <w:jc w:val="both"/>
      </w:pPr>
    </w:p>
    <w:p w:rsidR="0030237D" w:rsidRDefault="0030237D" w:rsidP="008A4F02">
      <w:pPr>
        <w:tabs>
          <w:tab w:val="left" w:pos="3510"/>
        </w:tabs>
        <w:jc w:val="both"/>
      </w:pPr>
    </w:p>
    <w:p w:rsidR="00574445" w:rsidRDefault="00574445" w:rsidP="008A4F02">
      <w:pPr>
        <w:tabs>
          <w:tab w:val="left" w:pos="3510"/>
        </w:tabs>
        <w:jc w:val="both"/>
      </w:pPr>
    </w:p>
    <w:p w:rsidR="00F51491" w:rsidRDefault="00F51491" w:rsidP="009D0CA1">
      <w:pPr>
        <w:jc w:val="center"/>
        <w:rPr>
          <w:rFonts w:ascii="Arial Narrow" w:hAnsi="Arial Narrow"/>
          <w:b/>
          <w:bCs/>
          <w:sz w:val="28"/>
          <w:szCs w:val="28"/>
          <w:u w:val="single"/>
        </w:rPr>
      </w:pPr>
    </w:p>
    <w:p w:rsidR="00A66AFE" w:rsidRDefault="00A66AFE" w:rsidP="009D0CA1">
      <w:pPr>
        <w:jc w:val="center"/>
        <w:rPr>
          <w:rFonts w:ascii="Arial Narrow" w:hAnsi="Arial Narrow"/>
          <w:b/>
          <w:bCs/>
          <w:sz w:val="28"/>
          <w:szCs w:val="28"/>
          <w:u w:val="single"/>
        </w:rPr>
      </w:pPr>
    </w:p>
    <w:p w:rsidR="005556FB" w:rsidRPr="00A66AFE" w:rsidRDefault="00574445" w:rsidP="00A66AFE">
      <w:pPr>
        <w:jc w:val="center"/>
        <w:rPr>
          <w:rStyle w:val="Textoennegrita"/>
          <w:rFonts w:ascii="Arial Narrow" w:hAnsi="Arial Narrow"/>
          <w:sz w:val="28"/>
          <w:szCs w:val="28"/>
          <w:u w:val="single"/>
        </w:rPr>
      </w:pPr>
      <w:r>
        <w:rPr>
          <w:rFonts w:ascii="Arial Narrow" w:hAnsi="Arial Narrow"/>
          <w:b/>
          <w:bCs/>
          <w:sz w:val="28"/>
          <w:szCs w:val="28"/>
          <w:u w:val="single"/>
        </w:rPr>
        <w:lastRenderedPageBreak/>
        <w:t xml:space="preserve">PARTE II: ANALISIS POR NORMATIVA </w:t>
      </w:r>
      <w:r w:rsidR="009D0CA1">
        <w:rPr>
          <w:rFonts w:ascii="Arial Narrow" w:hAnsi="Arial Narrow"/>
          <w:b/>
          <w:bCs/>
          <w:sz w:val="28"/>
          <w:szCs w:val="28"/>
          <w:u w:val="single"/>
        </w:rPr>
        <w:t>APLICADO EN</w:t>
      </w:r>
      <w:r>
        <w:rPr>
          <w:rFonts w:ascii="Arial Narrow" w:hAnsi="Arial Narrow"/>
          <w:b/>
          <w:bCs/>
          <w:sz w:val="28"/>
          <w:szCs w:val="28"/>
          <w:u w:val="single"/>
        </w:rPr>
        <w:t xml:space="preserve"> BOLSA DE VALORES</w:t>
      </w:r>
    </w:p>
    <w:p w:rsidR="00574445" w:rsidRPr="008344FE" w:rsidRDefault="00D84AD0" w:rsidP="00574445">
      <w:pPr>
        <w:pStyle w:val="title3"/>
        <w:shd w:val="clear" w:color="auto" w:fill="FFFFFF"/>
        <w:spacing w:before="0" w:beforeAutospacing="0" w:after="0" w:afterAutospacing="0" w:line="360" w:lineRule="auto"/>
        <w:jc w:val="both"/>
        <w:textAlignment w:val="baseline"/>
        <w:rPr>
          <w:rFonts w:ascii="Arial Narrow" w:hAnsi="Arial Narrow" w:cs="Arial"/>
          <w:b/>
          <w:u w:val="single"/>
        </w:rPr>
      </w:pPr>
      <w:hyperlink r:id="rId34" w:tgtFrame="_self" w:history="1">
        <w:r w:rsidR="005556FB" w:rsidRPr="008344FE">
          <w:rPr>
            <w:rStyle w:val="Hipervnculo"/>
            <w:rFonts w:ascii="Arial Narrow" w:hAnsi="Arial Narrow" w:cs="Arial"/>
            <w:b/>
            <w:bCs/>
            <w:color w:val="auto"/>
            <w:bdr w:val="none" w:sz="0" w:space="0" w:color="auto" w:frame="1"/>
          </w:rPr>
          <w:t>LA BOLSA DE VALORES</w:t>
        </w:r>
      </w:hyperlink>
      <w:r w:rsidR="005556FB" w:rsidRPr="008344FE">
        <w:rPr>
          <w:rStyle w:val="Textoennegrita"/>
          <w:rFonts w:ascii="Arial Narrow" w:eastAsiaTheme="minorEastAsia" w:hAnsi="Arial Narrow" w:cs="Arial"/>
          <w:b w:val="0"/>
          <w:u w:val="single"/>
          <w:bdr w:val="none" w:sz="0" w:space="0" w:color="auto" w:frame="1"/>
        </w:rPr>
        <w:t> </w:t>
      </w:r>
    </w:p>
    <w:p w:rsidR="00574445" w:rsidRPr="00574445" w:rsidRDefault="00574445" w:rsidP="00574445">
      <w:pPr>
        <w:pStyle w:val="NormalWeb"/>
        <w:shd w:val="clear" w:color="auto" w:fill="FFFFFF"/>
        <w:spacing w:before="180" w:beforeAutospacing="0" w:after="180" w:afterAutospacing="0" w:line="360" w:lineRule="auto"/>
        <w:jc w:val="both"/>
        <w:textAlignment w:val="baseline"/>
        <w:rPr>
          <w:rFonts w:ascii="Arial Narrow" w:hAnsi="Arial Narrow" w:cs="Arial"/>
          <w:color w:val="000000"/>
        </w:rPr>
      </w:pPr>
      <w:r w:rsidRPr="00574445">
        <w:rPr>
          <w:rFonts w:ascii="Arial Narrow" w:hAnsi="Arial Narrow" w:cs="Arial"/>
          <w:color w:val="000000"/>
        </w:rPr>
        <w:t>La Bolsa de Valores de El Salvador (BVES) es una institución privada, que forma parte del Mercado de Valores, iniciando sus operaciones el 27 de Abril de 1992.</w:t>
      </w:r>
      <w:r w:rsidRPr="00574445">
        <w:rPr>
          <w:rFonts w:ascii="Arial Narrow" w:hAnsi="Arial Narrow" w:cs="Arial"/>
          <w:color w:val="000000"/>
        </w:rPr>
        <w:br/>
        <w:t>Desde 1992, la Bolsa de Valores ha desarrollado un papel muy importante en el ámbito económico nacional al facilitar la Desintermediación Financiera, al permitir el acercamiento directo entre empresas e inversionistas, a través de la negociación de  instrumentos financieros  como acciones, valores de deuda,  y otros instrumentos, que permiten canalizar el excedente de recursos hacia las necesidades de financiamiento de las empresas.</w:t>
      </w:r>
    </w:p>
    <w:p w:rsidR="00574445" w:rsidRPr="00574445" w:rsidRDefault="00574445" w:rsidP="00574445">
      <w:pPr>
        <w:spacing w:line="360" w:lineRule="auto"/>
        <w:jc w:val="both"/>
        <w:textAlignment w:val="baseline"/>
        <w:outlineLvl w:val="0"/>
        <w:rPr>
          <w:rFonts w:ascii="Arial Narrow" w:eastAsia="Times New Roman" w:hAnsi="Arial Narrow" w:cs="Arial"/>
          <w:kern w:val="36"/>
          <w:sz w:val="24"/>
          <w:szCs w:val="24"/>
          <w:lang w:eastAsia="es-SV"/>
        </w:rPr>
      </w:pPr>
      <w:r w:rsidRPr="00574445">
        <w:rPr>
          <w:rFonts w:ascii="Arial Narrow" w:eastAsia="Times New Roman" w:hAnsi="Arial Narrow" w:cs="Arial"/>
          <w:kern w:val="36"/>
          <w:sz w:val="24"/>
          <w:szCs w:val="24"/>
          <w:lang w:eastAsia="es-SV"/>
        </w:rPr>
        <w:t>Como Opera La Bolsa</w:t>
      </w:r>
    </w:p>
    <w:p w:rsidR="00574445" w:rsidRPr="00574445" w:rsidRDefault="00574445" w:rsidP="00574445">
      <w:pPr>
        <w:spacing w:after="0" w:line="360" w:lineRule="auto"/>
        <w:jc w:val="both"/>
        <w:textAlignment w:val="baseline"/>
        <w:rPr>
          <w:rFonts w:ascii="Arial Narrow" w:eastAsia="Times New Roman" w:hAnsi="Arial Narrow" w:cs="Arial"/>
          <w:bCs/>
          <w:sz w:val="24"/>
          <w:szCs w:val="24"/>
          <w:bdr w:val="none" w:sz="0" w:space="0" w:color="auto" w:frame="1"/>
          <w:lang w:eastAsia="es-SV"/>
        </w:rPr>
      </w:pPr>
      <w:r w:rsidRPr="00574445">
        <w:rPr>
          <w:rFonts w:ascii="Arial Narrow" w:eastAsia="Times New Roman" w:hAnsi="Arial Narrow" w:cs="Arial"/>
          <w:bCs/>
          <w:sz w:val="24"/>
          <w:szCs w:val="24"/>
          <w:bdr w:val="none" w:sz="0" w:space="0" w:color="auto" w:frame="1"/>
          <w:lang w:eastAsia="es-SV"/>
        </w:rPr>
        <w:t>Tipos De Mercado </w:t>
      </w:r>
    </w:p>
    <w:p w:rsidR="005556FB" w:rsidRDefault="00574445" w:rsidP="00574445">
      <w:pPr>
        <w:spacing w:after="0" w:line="360" w:lineRule="auto"/>
        <w:jc w:val="both"/>
        <w:textAlignment w:val="baseline"/>
        <w:rPr>
          <w:rFonts w:ascii="Arial Narrow" w:eastAsia="Times New Roman" w:hAnsi="Arial Narrow" w:cs="Arial"/>
          <w:sz w:val="24"/>
          <w:szCs w:val="24"/>
          <w:lang w:eastAsia="es-SV"/>
        </w:rPr>
      </w:pPr>
      <w:r w:rsidRPr="00574445">
        <w:rPr>
          <w:rFonts w:ascii="Arial Narrow" w:eastAsia="Times New Roman" w:hAnsi="Arial Narrow" w:cs="Arial"/>
          <w:sz w:val="24"/>
          <w:szCs w:val="24"/>
          <w:lang w:eastAsia="es-SV"/>
        </w:rPr>
        <w:br/>
        <w:t>En la Bolsa de Valores de El Salvador (BVES), las operaciones se realizan en tres diferentes tipos de mercados:</w:t>
      </w:r>
    </w:p>
    <w:p w:rsidR="005556FB" w:rsidRPr="00A66AFE" w:rsidRDefault="00574445" w:rsidP="00574445">
      <w:pPr>
        <w:spacing w:after="0" w:line="360" w:lineRule="auto"/>
        <w:jc w:val="both"/>
        <w:textAlignment w:val="baseline"/>
        <w:rPr>
          <w:rFonts w:ascii="Arial Narrow" w:eastAsia="Times New Roman" w:hAnsi="Arial Narrow" w:cs="Arial"/>
          <w:sz w:val="24"/>
          <w:szCs w:val="24"/>
          <w:lang w:eastAsia="es-SV"/>
        </w:rPr>
      </w:pPr>
      <w:r w:rsidRPr="00574445">
        <w:rPr>
          <w:rFonts w:ascii="Arial Narrow" w:eastAsia="Times New Roman" w:hAnsi="Arial Narrow" w:cs="Arial"/>
          <w:sz w:val="24"/>
          <w:szCs w:val="24"/>
          <w:lang w:eastAsia="es-SV"/>
        </w:rPr>
        <w:br/>
      </w:r>
      <w:r w:rsidRPr="005556FB">
        <w:rPr>
          <w:rFonts w:ascii="Arial Narrow" w:eastAsia="Times New Roman" w:hAnsi="Arial Narrow" w:cs="Arial"/>
          <w:b/>
          <w:bCs/>
          <w:sz w:val="24"/>
          <w:szCs w:val="24"/>
          <w:bdr w:val="none" w:sz="0" w:space="0" w:color="auto" w:frame="1"/>
          <w:lang w:eastAsia="es-SV"/>
        </w:rPr>
        <w:t>Mercado Primario:</w:t>
      </w:r>
      <w:r w:rsidRPr="00574445">
        <w:rPr>
          <w:rFonts w:ascii="Arial Narrow" w:eastAsia="Times New Roman" w:hAnsi="Arial Narrow" w:cs="Arial"/>
          <w:sz w:val="24"/>
          <w:szCs w:val="24"/>
          <w:lang w:eastAsia="es-SV"/>
        </w:rPr>
        <w:t> Se relaciona con la Colocación Inicial de Valores. Los inversionistas adquieren directamente de los emisores, a través de una Casa de Corredores de Bolsa, los valores ofrecidos al público por primera vez, recibiendo directamente el emisor, los recursos que requiere. Es decir que en este mercado se realiza la Primera Venta de los valores del emisor para el inversionista.</w:t>
      </w:r>
    </w:p>
    <w:p w:rsidR="005556FB" w:rsidRDefault="00574445" w:rsidP="005556FB">
      <w:pPr>
        <w:tabs>
          <w:tab w:val="left" w:pos="3510"/>
        </w:tabs>
        <w:jc w:val="center"/>
      </w:pPr>
      <w:r w:rsidRPr="005E579A">
        <w:rPr>
          <w:rFonts w:ascii="Arial Narrow" w:eastAsia="Times New Roman" w:hAnsi="Arial Narrow" w:cs="Arial"/>
          <w:noProof/>
          <w:color w:val="B5953F"/>
          <w:sz w:val="24"/>
          <w:szCs w:val="24"/>
          <w:bdr w:val="none" w:sz="0" w:space="0" w:color="auto" w:frame="1"/>
        </w:rPr>
        <w:drawing>
          <wp:inline distT="0" distB="0" distL="0" distR="0" wp14:anchorId="1CF19981" wp14:editId="7B9AA368">
            <wp:extent cx="4530725" cy="1923803"/>
            <wp:effectExtent l="76200" t="76200" r="136525" b="133985"/>
            <wp:docPr id="11" name="Imagen 11" descr="29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0">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33250" cy="1924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445" w:rsidRPr="005556FB" w:rsidRDefault="00574445" w:rsidP="005556FB">
      <w:pPr>
        <w:tabs>
          <w:tab w:val="left" w:pos="3510"/>
        </w:tabs>
        <w:spacing w:line="360" w:lineRule="auto"/>
        <w:jc w:val="both"/>
      </w:pPr>
      <w:r w:rsidRPr="005E579A">
        <w:rPr>
          <w:rFonts w:ascii="Arial Narrow" w:eastAsia="Times New Roman" w:hAnsi="Arial Narrow" w:cs="Arial"/>
          <w:b/>
          <w:bCs/>
          <w:sz w:val="24"/>
          <w:szCs w:val="24"/>
          <w:bdr w:val="none" w:sz="0" w:space="0" w:color="auto" w:frame="1"/>
          <w:lang w:eastAsia="es-SV"/>
        </w:rPr>
        <w:lastRenderedPageBreak/>
        <w:t>Mercado Secundario:</w:t>
      </w:r>
      <w:r w:rsidRPr="005E579A">
        <w:rPr>
          <w:rFonts w:ascii="Arial Narrow" w:eastAsia="Times New Roman" w:hAnsi="Arial Narrow" w:cs="Arial"/>
          <w:sz w:val="24"/>
          <w:szCs w:val="24"/>
          <w:lang w:eastAsia="es-SV"/>
        </w:rPr>
        <w:t> Comprende las ventas sucesivas de Valores, una vez éstos han sido negociados en Mercado Primario y/o Mercado Secundario. Es una "Reventa" de los valores adquiridos con anterioridad, es decir que los inversionistas que posean valores (Bonos o acciones), pueden venderlos a otros inversionistas antes que los valores en cuestión se venzan. Todo el proceso de negociación se realiza a través de las Casas de Corredores de Bolsa.</w:t>
      </w:r>
    </w:p>
    <w:p w:rsidR="00574445" w:rsidRPr="005E579A" w:rsidRDefault="00574445" w:rsidP="005556FB">
      <w:pPr>
        <w:spacing w:after="0" w:line="360" w:lineRule="auto"/>
        <w:jc w:val="center"/>
        <w:textAlignment w:val="baseline"/>
        <w:rPr>
          <w:rFonts w:ascii="Arial Narrow" w:eastAsia="Times New Roman" w:hAnsi="Arial Narrow" w:cs="Arial"/>
          <w:sz w:val="24"/>
          <w:szCs w:val="24"/>
          <w:lang w:eastAsia="es-SV"/>
        </w:rPr>
      </w:pPr>
      <w:r w:rsidRPr="005E579A">
        <w:rPr>
          <w:rFonts w:ascii="Arial Narrow" w:eastAsia="Times New Roman" w:hAnsi="Arial Narrow" w:cs="Arial"/>
          <w:noProof/>
          <w:color w:val="B5953F"/>
          <w:sz w:val="24"/>
          <w:szCs w:val="24"/>
          <w:bdr w:val="none" w:sz="0" w:space="0" w:color="auto" w:frame="1"/>
        </w:rPr>
        <w:drawing>
          <wp:inline distT="0" distB="0" distL="0" distR="0" wp14:anchorId="0B361D97" wp14:editId="3619F383">
            <wp:extent cx="4724400" cy="1779608"/>
            <wp:effectExtent l="76200" t="76200" r="133350" b="125730"/>
            <wp:docPr id="15" name="Imagen 15" descr="Mercado Secundari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rcado Secundario">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28247" cy="17810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4445" w:rsidRPr="005E579A" w:rsidRDefault="00574445" w:rsidP="00574445">
      <w:pPr>
        <w:spacing w:line="360" w:lineRule="auto"/>
        <w:jc w:val="both"/>
        <w:textAlignment w:val="baseline"/>
        <w:rPr>
          <w:rFonts w:ascii="Arial Narrow" w:eastAsia="Times New Roman" w:hAnsi="Arial Narrow" w:cs="Arial"/>
          <w:sz w:val="24"/>
          <w:szCs w:val="24"/>
          <w:lang w:eastAsia="es-SV"/>
        </w:rPr>
      </w:pPr>
      <w:r w:rsidRPr="005E579A">
        <w:rPr>
          <w:rFonts w:ascii="Arial Narrow" w:eastAsia="Times New Roman" w:hAnsi="Arial Narrow" w:cs="Arial"/>
          <w:b/>
          <w:bCs/>
          <w:sz w:val="24"/>
          <w:szCs w:val="24"/>
          <w:bdr w:val="none" w:sz="0" w:space="0" w:color="auto" w:frame="1"/>
          <w:lang w:eastAsia="es-SV"/>
        </w:rPr>
        <w:t>Mercado de Reportos:</w:t>
      </w:r>
      <w:r w:rsidRPr="005E579A">
        <w:rPr>
          <w:rFonts w:ascii="Arial Narrow" w:eastAsia="Times New Roman" w:hAnsi="Arial Narrow" w:cs="Arial"/>
          <w:sz w:val="24"/>
          <w:szCs w:val="24"/>
          <w:lang w:eastAsia="es-SV"/>
        </w:rPr>
        <w:t> En éste mercado se realizan las operaciones de Reporto. Un Reporto es un préstamo de Corto Plazo (entre 2 y 45 días), en el que se transfiere temporalmente como garantía valores. Al inicio de la operación, se pacta el plazo de la misma así como el rendimiento que pagará. Al finalizar el plazo de la operación, la persona que prestó el dinero recibe el importe del préstamo más el rendimiento previamente pactado, y transfiere nuevamente los valores a su dueño.</w:t>
      </w:r>
      <w:r w:rsidRPr="005E579A">
        <w:rPr>
          <w:rFonts w:ascii="Arial Narrow" w:eastAsia="Times New Roman" w:hAnsi="Arial Narrow" w:cs="Arial"/>
          <w:color w:val="B5953F"/>
          <w:sz w:val="24"/>
          <w:szCs w:val="24"/>
          <w:u w:val="single"/>
          <w:bdr w:val="none" w:sz="0" w:space="0" w:color="auto" w:frame="1"/>
          <w:shd w:val="clear" w:color="auto" w:fill="FFFFFF"/>
          <w:lang w:eastAsia="es-SV"/>
        </w:rPr>
        <w:t xml:space="preserve"> </w:t>
      </w:r>
    </w:p>
    <w:p w:rsidR="00574445" w:rsidRPr="005E579A" w:rsidRDefault="00574445" w:rsidP="00574445">
      <w:pPr>
        <w:pStyle w:val="Ttulo1"/>
        <w:shd w:val="clear" w:color="auto" w:fill="FFFFFF"/>
        <w:spacing w:before="0" w:beforeAutospacing="0" w:after="0" w:afterAutospacing="0" w:line="360" w:lineRule="auto"/>
        <w:jc w:val="both"/>
        <w:textAlignment w:val="baseline"/>
        <w:rPr>
          <w:rFonts w:ascii="Arial Narrow" w:hAnsi="Arial Narrow" w:cs="Arial"/>
          <w:bCs w:val="0"/>
          <w:sz w:val="24"/>
          <w:szCs w:val="24"/>
        </w:rPr>
      </w:pPr>
      <w:r w:rsidRPr="005E579A">
        <w:rPr>
          <w:rFonts w:ascii="Arial Narrow" w:hAnsi="Arial Narrow" w:cs="Arial"/>
          <w:bCs w:val="0"/>
          <w:sz w:val="24"/>
          <w:szCs w:val="24"/>
        </w:rPr>
        <w:t>Instrumentos Bursátiles</w:t>
      </w:r>
    </w:p>
    <w:p w:rsidR="00A66AFE" w:rsidRDefault="00574445" w:rsidP="005556FB">
      <w:pPr>
        <w:pStyle w:val="NormalWeb"/>
        <w:shd w:val="clear" w:color="auto" w:fill="FFFFFF"/>
        <w:spacing w:before="180" w:beforeAutospacing="0" w:after="180" w:afterAutospacing="0" w:line="360" w:lineRule="auto"/>
        <w:jc w:val="both"/>
        <w:textAlignment w:val="baseline"/>
        <w:rPr>
          <w:rFonts w:ascii="Arial Narrow" w:hAnsi="Arial Narrow" w:cs="Arial"/>
          <w:color w:val="000000"/>
        </w:rPr>
      </w:pPr>
      <w:r w:rsidRPr="005E579A">
        <w:rPr>
          <w:rFonts w:ascii="Arial Narrow" w:hAnsi="Arial Narrow" w:cs="Arial"/>
          <w:color w:val="000000"/>
        </w:rPr>
        <w:t xml:space="preserve">El Mercado de Valores es el conjunto de varios participantes, los cuales interactúan para darle "vida y dinamismo" al mismo. Todos desempeñan un papel importante para garantizar la transparencia, la confianza, la equidad y la seguridad del mercado. Estos participantes son: la Bolsa de Valores, las Casas de Corredores de Bolsa, las Empresas Emisoras, los Inversionistas, las Calificadoras de Riesgo, la Superintendencia del Sistema Financiero y la Central Depositaria </w:t>
      </w:r>
      <w:r w:rsidR="005556FB">
        <w:rPr>
          <w:rFonts w:ascii="Arial Narrow" w:hAnsi="Arial Narrow" w:cs="Arial"/>
          <w:color w:val="000000"/>
        </w:rPr>
        <w:t>de Valores –CEDEVAL, Sociedades.</w:t>
      </w:r>
      <w:r w:rsidR="008344FE">
        <w:rPr>
          <w:rFonts w:ascii="Arial Narrow" w:hAnsi="Arial Narrow" w:cs="Arial"/>
          <w:color w:val="000000"/>
        </w:rPr>
        <w:t xml:space="preserve"> </w:t>
      </w:r>
      <w:r w:rsidRPr="005E579A">
        <w:rPr>
          <w:rFonts w:ascii="Arial Narrow" w:hAnsi="Arial Narrow" w:cs="Arial"/>
          <w:color w:val="000000"/>
        </w:rPr>
        <w:t>La Bolsa de Valores permite y fomenta el ahorro interno del país, al canalizar el dinero disponible de los Inversionistas, hacia las instituciones que requieren de financiamiento para el desarrollo de sus proyectos.</w:t>
      </w:r>
      <w:r w:rsidR="005556FB">
        <w:rPr>
          <w:rFonts w:ascii="Arial Narrow" w:hAnsi="Arial Narrow" w:cs="Arial"/>
          <w:color w:val="000000"/>
        </w:rPr>
        <w:t xml:space="preserve"> </w:t>
      </w:r>
    </w:p>
    <w:p w:rsidR="00574445" w:rsidRPr="005556FB" w:rsidRDefault="00574445" w:rsidP="005556FB">
      <w:pPr>
        <w:pStyle w:val="NormalWeb"/>
        <w:shd w:val="clear" w:color="auto" w:fill="FFFFFF"/>
        <w:spacing w:before="180" w:beforeAutospacing="0" w:after="180" w:afterAutospacing="0" w:line="360" w:lineRule="auto"/>
        <w:jc w:val="both"/>
        <w:textAlignment w:val="baseline"/>
        <w:rPr>
          <w:rFonts w:ascii="Arial Narrow" w:hAnsi="Arial Narrow" w:cs="Arial"/>
          <w:color w:val="000000"/>
        </w:rPr>
      </w:pPr>
      <w:r w:rsidRPr="005E579A">
        <w:rPr>
          <w:rFonts w:ascii="Arial Narrow" w:hAnsi="Arial Narrow" w:cs="Arial"/>
          <w:color w:val="000000"/>
        </w:rPr>
        <w:lastRenderedPageBreak/>
        <w:t xml:space="preserve">En el presente portafolio se muestran las características generales de los productos bursátiles, como los valores de deuda y los valores de renta variable, que desde el punto de vista del inversionista son opciones de inversión, y para una empresa emisora </w:t>
      </w:r>
      <w:r w:rsidR="00A66AFE">
        <w:rPr>
          <w:rFonts w:ascii="Arial Narrow" w:hAnsi="Arial Narrow" w:cs="Arial"/>
          <w:color w:val="000000"/>
        </w:rPr>
        <w:t>son opciones de financiamiento.</w:t>
      </w:r>
      <w:r w:rsidRPr="005E579A">
        <w:rPr>
          <w:rFonts w:ascii="Arial Narrow" w:hAnsi="Arial Narrow" w:cs="Arial"/>
          <w:color w:val="000000"/>
        </w:rPr>
        <w:br/>
      </w:r>
      <w:r w:rsidRPr="005556FB">
        <w:rPr>
          <w:rFonts w:ascii="Arial Narrow" w:hAnsi="Arial Narrow" w:cs="Arial"/>
          <w:color w:val="000000"/>
        </w:rPr>
        <w:t xml:space="preserve">Los Instrumentos Bursátiles se </w:t>
      </w:r>
      <w:r w:rsidR="005556FB" w:rsidRPr="005556FB">
        <w:rPr>
          <w:rFonts w:ascii="Arial Narrow" w:hAnsi="Arial Narrow" w:cs="Arial"/>
          <w:color w:val="000000"/>
        </w:rPr>
        <w:t>dividen</w:t>
      </w:r>
      <w:r w:rsidRPr="005556FB">
        <w:rPr>
          <w:rFonts w:ascii="Arial Narrow" w:hAnsi="Arial Narrow" w:cs="Arial"/>
          <w:color w:val="000000"/>
        </w:rPr>
        <w:t xml:space="preserve"> en dos categorías:</w:t>
      </w:r>
    </w:p>
    <w:p w:rsidR="00574445" w:rsidRPr="005556FB" w:rsidRDefault="00574445" w:rsidP="005556FB">
      <w:pPr>
        <w:numPr>
          <w:ilvl w:val="0"/>
          <w:numId w:val="5"/>
        </w:numPr>
        <w:spacing w:after="0" w:line="360" w:lineRule="auto"/>
        <w:ind w:left="300" w:right="150"/>
        <w:jc w:val="both"/>
        <w:textAlignment w:val="baseline"/>
        <w:rPr>
          <w:rFonts w:ascii="Arial Narrow" w:hAnsi="Arial Narrow" w:cs="Arial"/>
          <w:color w:val="000000"/>
          <w:sz w:val="24"/>
          <w:szCs w:val="24"/>
        </w:rPr>
      </w:pPr>
      <w:r w:rsidRPr="005556FB">
        <w:rPr>
          <w:rStyle w:val="Textoennegrita"/>
          <w:rFonts w:ascii="Arial Narrow" w:hAnsi="Arial Narrow" w:cs="Arial"/>
          <w:b w:val="0"/>
          <w:color w:val="000000"/>
          <w:sz w:val="24"/>
          <w:szCs w:val="24"/>
          <w:bdr w:val="none" w:sz="0" w:space="0" w:color="auto" w:frame="1"/>
        </w:rPr>
        <w:t>Renta Fija:</w:t>
      </w:r>
      <w:r w:rsidRPr="005556FB">
        <w:rPr>
          <w:rStyle w:val="apple-converted-space"/>
          <w:rFonts w:ascii="Arial Narrow" w:hAnsi="Arial Narrow" w:cs="Arial"/>
          <w:color w:val="000000"/>
          <w:sz w:val="24"/>
          <w:szCs w:val="24"/>
        </w:rPr>
        <w:t> </w:t>
      </w:r>
      <w:r w:rsidRPr="005556FB">
        <w:rPr>
          <w:rFonts w:ascii="Arial Narrow" w:hAnsi="Arial Narrow" w:cs="Arial"/>
          <w:color w:val="000000"/>
          <w:sz w:val="24"/>
          <w:szCs w:val="24"/>
        </w:rPr>
        <w:t xml:space="preserve">Llamados también Valores de Deuda, entre los cuales podemos mencionar Certificados de Inversión, Papel </w:t>
      </w:r>
      <w:r w:rsidR="005556FB" w:rsidRPr="005556FB">
        <w:rPr>
          <w:rFonts w:ascii="Arial Narrow" w:hAnsi="Arial Narrow" w:cs="Arial"/>
          <w:color w:val="000000"/>
          <w:sz w:val="24"/>
          <w:szCs w:val="24"/>
        </w:rPr>
        <w:t>Bursátil</w:t>
      </w:r>
      <w:r w:rsidRPr="005556FB">
        <w:rPr>
          <w:rFonts w:ascii="Arial Narrow" w:hAnsi="Arial Narrow" w:cs="Arial"/>
          <w:color w:val="000000"/>
          <w:sz w:val="24"/>
          <w:szCs w:val="24"/>
        </w:rPr>
        <w:t xml:space="preserve">, </w:t>
      </w:r>
      <w:r w:rsidR="005556FB" w:rsidRPr="005556FB">
        <w:rPr>
          <w:rFonts w:ascii="Arial Narrow" w:hAnsi="Arial Narrow" w:cs="Arial"/>
          <w:color w:val="000000"/>
          <w:sz w:val="24"/>
          <w:szCs w:val="24"/>
        </w:rPr>
        <w:t>Cénela</w:t>
      </w:r>
      <w:r w:rsidRPr="005556FB">
        <w:rPr>
          <w:rFonts w:ascii="Arial Narrow" w:hAnsi="Arial Narrow" w:cs="Arial"/>
          <w:color w:val="000000"/>
          <w:sz w:val="24"/>
          <w:szCs w:val="24"/>
        </w:rPr>
        <w:t>, Eurobonos, Notas Corporativas, NCTP´s, LETES, entre otros.</w:t>
      </w:r>
    </w:p>
    <w:p w:rsidR="00574445" w:rsidRPr="005556FB" w:rsidRDefault="00574445" w:rsidP="005556FB">
      <w:pPr>
        <w:numPr>
          <w:ilvl w:val="0"/>
          <w:numId w:val="5"/>
        </w:numPr>
        <w:spacing w:after="0" w:line="360" w:lineRule="auto"/>
        <w:ind w:left="300" w:right="150"/>
        <w:jc w:val="both"/>
        <w:textAlignment w:val="baseline"/>
        <w:rPr>
          <w:rFonts w:ascii="Arial Narrow" w:hAnsi="Arial Narrow" w:cs="Arial"/>
          <w:color w:val="000000"/>
          <w:sz w:val="24"/>
          <w:szCs w:val="24"/>
        </w:rPr>
      </w:pPr>
      <w:r w:rsidRPr="005556FB">
        <w:rPr>
          <w:rStyle w:val="Textoennegrita"/>
          <w:rFonts w:ascii="Arial Narrow" w:hAnsi="Arial Narrow" w:cs="Arial"/>
          <w:b w:val="0"/>
          <w:color w:val="000000"/>
          <w:sz w:val="24"/>
          <w:szCs w:val="24"/>
          <w:bdr w:val="none" w:sz="0" w:space="0" w:color="auto" w:frame="1"/>
        </w:rPr>
        <w:t>Renta Variable:</w:t>
      </w:r>
      <w:r w:rsidRPr="005556FB">
        <w:rPr>
          <w:rStyle w:val="apple-converted-space"/>
          <w:rFonts w:ascii="Arial Narrow" w:hAnsi="Arial Narrow" w:cs="Arial"/>
          <w:bCs/>
          <w:color w:val="000000"/>
          <w:sz w:val="24"/>
          <w:szCs w:val="24"/>
          <w:bdr w:val="none" w:sz="0" w:space="0" w:color="auto" w:frame="1"/>
        </w:rPr>
        <w:t> </w:t>
      </w:r>
      <w:r w:rsidRPr="005556FB">
        <w:rPr>
          <w:rFonts w:ascii="Arial Narrow" w:hAnsi="Arial Narrow" w:cs="Arial"/>
          <w:color w:val="000000"/>
          <w:sz w:val="24"/>
          <w:szCs w:val="24"/>
        </w:rPr>
        <w:t>Bajo la categoría de Renta Variable se encuentran las Acciones, Exchange Traded Funds y American Deposit Receipt.</w:t>
      </w:r>
    </w:p>
    <w:p w:rsidR="00574445" w:rsidRPr="005556FB" w:rsidRDefault="00574445" w:rsidP="005556FB">
      <w:pPr>
        <w:pStyle w:val="NormalWeb"/>
        <w:shd w:val="clear" w:color="auto" w:fill="FFFFFF"/>
        <w:spacing w:before="180" w:beforeAutospacing="0" w:after="180" w:afterAutospacing="0" w:line="360" w:lineRule="auto"/>
        <w:jc w:val="both"/>
        <w:textAlignment w:val="baseline"/>
        <w:rPr>
          <w:rFonts w:ascii="Arial Narrow" w:hAnsi="Arial Narrow" w:cs="Arial"/>
          <w:color w:val="000000"/>
        </w:rPr>
      </w:pPr>
      <w:r w:rsidRPr="005556FB">
        <w:rPr>
          <w:rFonts w:ascii="Arial Narrow" w:hAnsi="Arial Narrow" w:cs="Arial"/>
          <w:color w:val="000000"/>
        </w:rPr>
        <w:t>La Bolsa de Valores de El Salvador cuenta con una amplia diversidad de valores locales y extranjeros, dentro del portafolio de productos inscritos en la Bolsa, podemos mencionar:</w:t>
      </w:r>
    </w:p>
    <w:p w:rsidR="00574445" w:rsidRPr="005556FB" w:rsidRDefault="00574445" w:rsidP="005556FB">
      <w:pPr>
        <w:numPr>
          <w:ilvl w:val="0"/>
          <w:numId w:val="6"/>
        </w:numPr>
        <w:spacing w:after="0" w:line="360" w:lineRule="auto"/>
        <w:ind w:left="300" w:right="150"/>
        <w:jc w:val="both"/>
        <w:textAlignment w:val="baseline"/>
        <w:rPr>
          <w:rFonts w:ascii="Arial Narrow" w:hAnsi="Arial Narrow" w:cs="Arial"/>
          <w:color w:val="000000"/>
          <w:sz w:val="24"/>
          <w:szCs w:val="24"/>
        </w:rPr>
      </w:pPr>
      <w:r w:rsidRPr="005556FB">
        <w:rPr>
          <w:rStyle w:val="Textoennegrita"/>
          <w:rFonts w:ascii="Arial Narrow" w:hAnsi="Arial Narrow" w:cs="Arial"/>
          <w:b w:val="0"/>
          <w:color w:val="000000"/>
          <w:sz w:val="24"/>
          <w:szCs w:val="24"/>
          <w:bdr w:val="none" w:sz="0" w:space="0" w:color="auto" w:frame="1"/>
        </w:rPr>
        <w:t>Mercado Local:</w:t>
      </w:r>
      <w:r w:rsidRPr="005556FB">
        <w:rPr>
          <w:rStyle w:val="apple-converted-space"/>
          <w:rFonts w:ascii="Arial Narrow" w:hAnsi="Arial Narrow" w:cs="Arial"/>
          <w:bCs/>
          <w:color w:val="000000"/>
          <w:sz w:val="24"/>
          <w:szCs w:val="24"/>
          <w:bdr w:val="none" w:sz="0" w:space="0" w:color="auto" w:frame="1"/>
        </w:rPr>
        <w:t> </w:t>
      </w:r>
      <w:r w:rsidRPr="005556FB">
        <w:rPr>
          <w:rFonts w:ascii="Arial Narrow" w:hAnsi="Arial Narrow" w:cs="Arial"/>
          <w:color w:val="000000"/>
          <w:sz w:val="24"/>
          <w:szCs w:val="24"/>
        </w:rPr>
        <w:t xml:space="preserve">Valores emitidos en El Salvador por empresas emisoras inscritas en la Bolsa, tales como Certificados de Inversión y Papel </w:t>
      </w:r>
      <w:r w:rsidR="005556FB" w:rsidRPr="005556FB">
        <w:rPr>
          <w:rFonts w:ascii="Arial Narrow" w:hAnsi="Arial Narrow" w:cs="Arial"/>
          <w:color w:val="000000"/>
          <w:sz w:val="24"/>
          <w:szCs w:val="24"/>
        </w:rPr>
        <w:t>Bursátil</w:t>
      </w:r>
      <w:r w:rsidRPr="005556FB">
        <w:rPr>
          <w:rFonts w:ascii="Arial Narrow" w:hAnsi="Arial Narrow" w:cs="Arial"/>
          <w:color w:val="000000"/>
          <w:sz w:val="24"/>
          <w:szCs w:val="24"/>
        </w:rPr>
        <w:t>. El detalle de los valores locales disponibles los puede encontrar en la sección "Emisores Inscritos"</w:t>
      </w:r>
    </w:p>
    <w:p w:rsidR="00863D3E" w:rsidRPr="00A66AFE" w:rsidRDefault="00863D3E" w:rsidP="00A66AFE">
      <w:pPr>
        <w:numPr>
          <w:ilvl w:val="0"/>
          <w:numId w:val="6"/>
        </w:numPr>
        <w:spacing w:after="0" w:line="360" w:lineRule="auto"/>
        <w:ind w:left="300" w:right="150"/>
        <w:jc w:val="both"/>
        <w:textAlignment w:val="baseline"/>
        <w:rPr>
          <w:rFonts w:ascii="Arial Narrow" w:hAnsi="Arial Narrow" w:cs="Arial"/>
          <w:color w:val="000000"/>
          <w:sz w:val="24"/>
          <w:szCs w:val="24"/>
        </w:rPr>
      </w:pPr>
      <w:r w:rsidRPr="005E579A">
        <w:rPr>
          <w:rFonts w:ascii="Arial Narrow" w:eastAsia="Times New Roman" w:hAnsi="Arial Narrow" w:cs="Arial"/>
          <w:noProof/>
          <w:color w:val="B5953F"/>
          <w:sz w:val="24"/>
          <w:szCs w:val="24"/>
          <w:bdr w:val="none" w:sz="0" w:space="0" w:color="auto" w:frame="1"/>
        </w:rPr>
        <w:drawing>
          <wp:anchor distT="0" distB="0" distL="114300" distR="114300" simplePos="0" relativeHeight="251681792" behindDoc="0" locked="0" layoutInCell="1" allowOverlap="1" wp14:anchorId="251229B2" wp14:editId="44D6510E">
            <wp:simplePos x="0" y="0"/>
            <wp:positionH relativeFrom="margin">
              <wp:posOffset>-32385</wp:posOffset>
            </wp:positionH>
            <wp:positionV relativeFrom="paragraph">
              <wp:posOffset>1539875</wp:posOffset>
            </wp:positionV>
            <wp:extent cx="5652135" cy="2019300"/>
            <wp:effectExtent l="76200" t="76200" r="139065" b="133350"/>
            <wp:wrapSquare wrapText="bothSides"/>
            <wp:docPr id="16" name="Imagen 16" descr="Participantes del Mercad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ticipantes del Mercado">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2135" cy="2019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74445" w:rsidRPr="005556FB">
        <w:rPr>
          <w:rStyle w:val="Textoennegrita"/>
          <w:rFonts w:ascii="Arial Narrow" w:hAnsi="Arial Narrow" w:cs="Arial"/>
          <w:b w:val="0"/>
          <w:color w:val="000000"/>
          <w:sz w:val="24"/>
          <w:szCs w:val="24"/>
          <w:bdr w:val="none" w:sz="0" w:space="0" w:color="auto" w:frame="1"/>
        </w:rPr>
        <w:t>Mercado Global:</w:t>
      </w:r>
      <w:r w:rsidR="00574445" w:rsidRPr="005556FB">
        <w:rPr>
          <w:rStyle w:val="apple-converted-space"/>
          <w:rFonts w:ascii="Arial Narrow" w:hAnsi="Arial Narrow" w:cs="Arial"/>
          <w:bCs/>
          <w:color w:val="000000"/>
          <w:sz w:val="24"/>
          <w:szCs w:val="24"/>
          <w:bdr w:val="none" w:sz="0" w:space="0" w:color="auto" w:frame="1"/>
        </w:rPr>
        <w:t> </w:t>
      </w:r>
      <w:r w:rsidR="00574445" w:rsidRPr="005556FB">
        <w:rPr>
          <w:rFonts w:ascii="Arial Narrow" w:hAnsi="Arial Narrow" w:cs="Arial"/>
          <w:color w:val="000000"/>
          <w:sz w:val="24"/>
          <w:szCs w:val="24"/>
        </w:rPr>
        <w:t>Valores extranjeros inscritos en la Bolsa, donde el inversionista puede seleccionar entre una amplia variedad de acciones de reconocidas empresas de todo el mundo, Exchange Traded Funds (ETF’s) de diversos sectores y países, Eurobonos, Notas Corporativas, entre otros. El detalle de los valores extranjeros disponibles los puede encontrar en la sección "Valores Extranjeros"</w:t>
      </w:r>
    </w:p>
    <w:p w:rsidR="00A66AFE" w:rsidRPr="005E579A" w:rsidRDefault="00574445" w:rsidP="00574445">
      <w:pPr>
        <w:shd w:val="clear" w:color="auto" w:fill="FFFFFF"/>
        <w:spacing w:line="360" w:lineRule="auto"/>
        <w:jc w:val="both"/>
        <w:textAlignment w:val="baseline"/>
        <w:outlineLvl w:val="0"/>
        <w:rPr>
          <w:rFonts w:ascii="Arial Narrow" w:eastAsia="Times New Roman" w:hAnsi="Arial Narrow" w:cs="Arial"/>
          <w:kern w:val="36"/>
          <w:sz w:val="24"/>
          <w:szCs w:val="24"/>
          <w:lang w:eastAsia="es-SV"/>
        </w:rPr>
      </w:pPr>
      <w:r w:rsidRPr="005E579A">
        <w:rPr>
          <w:rFonts w:ascii="Arial Narrow" w:eastAsia="Times New Roman" w:hAnsi="Arial Narrow" w:cs="Arial"/>
          <w:kern w:val="36"/>
          <w:sz w:val="24"/>
          <w:szCs w:val="24"/>
          <w:lang w:eastAsia="es-SV"/>
        </w:rPr>
        <w:lastRenderedPageBreak/>
        <w:t>Participantes del Mercado</w:t>
      </w:r>
    </w:p>
    <w:p w:rsidR="00574445" w:rsidRDefault="00574445" w:rsidP="00574445">
      <w:pPr>
        <w:shd w:val="clear" w:color="auto" w:fill="FFFFFF"/>
        <w:spacing w:after="0" w:line="360" w:lineRule="auto"/>
        <w:jc w:val="both"/>
        <w:textAlignment w:val="baseline"/>
        <w:rPr>
          <w:rFonts w:ascii="Arial Narrow" w:eastAsia="Times New Roman" w:hAnsi="Arial Narrow" w:cs="Arial"/>
          <w:color w:val="000000"/>
          <w:sz w:val="24"/>
          <w:szCs w:val="24"/>
          <w:lang w:eastAsia="es-SV"/>
        </w:rPr>
      </w:pPr>
      <w:r w:rsidRPr="00863D3E">
        <w:rPr>
          <w:rFonts w:ascii="Arial Narrow" w:eastAsia="Times New Roman" w:hAnsi="Arial Narrow" w:cs="Arial"/>
          <w:color w:val="000000"/>
          <w:sz w:val="24"/>
          <w:szCs w:val="24"/>
          <w:lang w:eastAsia="es-SV"/>
        </w:rPr>
        <w:t>El Mercado de Valores fomenta el ahorro interno del país, al canalizar el dinero disponible de los </w:t>
      </w:r>
      <w:r w:rsidRPr="00863D3E">
        <w:rPr>
          <w:rFonts w:ascii="Arial Narrow" w:eastAsia="Times New Roman" w:hAnsi="Arial Narrow" w:cs="Arial"/>
          <w:bCs/>
          <w:color w:val="000000"/>
          <w:sz w:val="24"/>
          <w:szCs w:val="24"/>
          <w:bdr w:val="none" w:sz="0" w:space="0" w:color="auto" w:frame="1"/>
          <w:lang w:eastAsia="es-SV"/>
        </w:rPr>
        <w:t>inversionistas</w:t>
      </w:r>
      <w:r w:rsidRPr="00863D3E">
        <w:rPr>
          <w:rFonts w:ascii="Arial Narrow" w:eastAsia="Times New Roman" w:hAnsi="Arial Narrow" w:cs="Arial"/>
          <w:color w:val="000000"/>
          <w:sz w:val="24"/>
          <w:szCs w:val="24"/>
          <w:lang w:eastAsia="es-SV"/>
        </w:rPr>
        <w:t xml:space="preserve"> hacia </w:t>
      </w:r>
      <w:r w:rsidR="005556FB" w:rsidRPr="00863D3E">
        <w:rPr>
          <w:rFonts w:ascii="Arial Narrow" w:eastAsia="Times New Roman" w:hAnsi="Arial Narrow" w:cs="Arial"/>
          <w:color w:val="000000"/>
          <w:sz w:val="24"/>
          <w:szCs w:val="24"/>
          <w:lang w:eastAsia="es-SV"/>
        </w:rPr>
        <w:t>las</w:t>
      </w:r>
      <w:r w:rsidR="005556FB" w:rsidRPr="00863D3E">
        <w:rPr>
          <w:rFonts w:ascii="Arial Narrow" w:eastAsia="Times New Roman" w:hAnsi="Arial Narrow" w:cs="Arial"/>
          <w:bCs/>
          <w:color w:val="000000"/>
          <w:sz w:val="24"/>
          <w:szCs w:val="24"/>
          <w:bdr w:val="none" w:sz="0" w:space="0" w:color="auto" w:frame="1"/>
          <w:lang w:eastAsia="es-SV"/>
        </w:rPr>
        <w:t xml:space="preserve"> empresas</w:t>
      </w:r>
      <w:r w:rsidRPr="00863D3E">
        <w:rPr>
          <w:rFonts w:ascii="Arial Narrow" w:eastAsia="Times New Roman" w:hAnsi="Arial Narrow" w:cs="Arial"/>
          <w:bCs/>
          <w:color w:val="000000"/>
          <w:sz w:val="24"/>
          <w:szCs w:val="24"/>
          <w:bdr w:val="none" w:sz="0" w:space="0" w:color="auto" w:frame="1"/>
          <w:lang w:eastAsia="es-SV"/>
        </w:rPr>
        <w:t xml:space="preserve"> emisoras </w:t>
      </w:r>
      <w:r w:rsidRPr="00863D3E">
        <w:rPr>
          <w:rFonts w:ascii="Arial Narrow" w:eastAsia="Times New Roman" w:hAnsi="Arial Narrow" w:cs="Arial"/>
          <w:color w:val="000000"/>
          <w:sz w:val="24"/>
          <w:szCs w:val="24"/>
          <w:lang w:eastAsia="es-SV"/>
        </w:rPr>
        <w:t>que requieren de financiamiento para el desarrollo de sus proyectos de crecimiento.</w:t>
      </w:r>
      <w:r w:rsidR="008344FE">
        <w:rPr>
          <w:rFonts w:ascii="Arial Narrow" w:eastAsia="Times New Roman" w:hAnsi="Arial Narrow" w:cs="Arial"/>
          <w:color w:val="000000"/>
          <w:sz w:val="24"/>
          <w:szCs w:val="24"/>
          <w:lang w:eastAsia="es-SV"/>
        </w:rPr>
        <w:t xml:space="preserve"> </w:t>
      </w:r>
      <w:r w:rsidRPr="00863D3E">
        <w:rPr>
          <w:rFonts w:ascii="Arial Narrow" w:eastAsia="Times New Roman" w:hAnsi="Arial Narrow" w:cs="Arial"/>
          <w:color w:val="000000"/>
          <w:sz w:val="24"/>
          <w:szCs w:val="24"/>
          <w:lang w:eastAsia="es-SV"/>
        </w:rPr>
        <w:t>En sí, el Mercado de Valores es el conjunto de </w:t>
      </w:r>
      <w:r w:rsidRPr="00863D3E">
        <w:rPr>
          <w:rFonts w:ascii="Arial Narrow" w:eastAsia="Times New Roman" w:hAnsi="Arial Narrow" w:cs="Arial"/>
          <w:bCs/>
          <w:color w:val="000000"/>
          <w:sz w:val="24"/>
          <w:szCs w:val="24"/>
          <w:bdr w:val="none" w:sz="0" w:space="0" w:color="auto" w:frame="1"/>
          <w:lang w:eastAsia="es-SV"/>
        </w:rPr>
        <w:t>varios participantes,</w:t>
      </w:r>
      <w:r w:rsidRPr="00863D3E">
        <w:rPr>
          <w:rFonts w:ascii="Arial Narrow" w:eastAsia="Times New Roman" w:hAnsi="Arial Narrow" w:cs="Arial"/>
          <w:color w:val="000000"/>
          <w:sz w:val="24"/>
          <w:szCs w:val="24"/>
          <w:lang w:eastAsia="es-SV"/>
        </w:rPr>
        <w:t> los cuales interactúan para darle "vida y dinamismo" al mismo. Todos desempeñan un papel importante para garantizar la transparencia, la confianza, el dinamismo y la seguridad del mercado. Estos 7 participantes son:</w:t>
      </w:r>
    </w:p>
    <w:p w:rsidR="00A66AFE" w:rsidRPr="005E579A" w:rsidRDefault="00A66AFE" w:rsidP="00574445">
      <w:pPr>
        <w:shd w:val="clear" w:color="auto" w:fill="FFFFFF"/>
        <w:spacing w:after="0" w:line="360" w:lineRule="auto"/>
        <w:jc w:val="both"/>
        <w:textAlignment w:val="baseline"/>
        <w:rPr>
          <w:rFonts w:ascii="Arial Narrow" w:eastAsia="Times New Roman" w:hAnsi="Arial Narrow" w:cs="Arial"/>
          <w:color w:val="000000"/>
          <w:sz w:val="24"/>
          <w:szCs w:val="24"/>
          <w:lang w:eastAsia="es-SV"/>
        </w:rPr>
      </w:pPr>
    </w:p>
    <w:p w:rsidR="00574445" w:rsidRPr="00863D3E" w:rsidRDefault="00574445" w:rsidP="00574445">
      <w:pPr>
        <w:numPr>
          <w:ilvl w:val="0"/>
          <w:numId w:val="7"/>
        </w:numPr>
        <w:spacing w:after="0" w:line="360" w:lineRule="auto"/>
        <w:ind w:left="300" w:right="150"/>
        <w:jc w:val="both"/>
        <w:textAlignment w:val="baseline"/>
        <w:rPr>
          <w:rFonts w:ascii="Arial Narrow" w:eastAsia="Times New Roman" w:hAnsi="Arial Narrow" w:cs="Arial"/>
          <w:color w:val="000000"/>
          <w:sz w:val="24"/>
          <w:szCs w:val="24"/>
          <w:lang w:eastAsia="es-SV"/>
        </w:rPr>
      </w:pPr>
      <w:r w:rsidRPr="00863D3E">
        <w:rPr>
          <w:rFonts w:ascii="Arial Narrow" w:eastAsia="Times New Roman" w:hAnsi="Arial Narrow" w:cs="Arial"/>
          <w:color w:val="000000"/>
          <w:sz w:val="24"/>
          <w:szCs w:val="24"/>
          <w:lang w:eastAsia="es-SV"/>
        </w:rPr>
        <w:t>La</w:t>
      </w:r>
      <w:r w:rsidRPr="00863D3E">
        <w:rPr>
          <w:rFonts w:ascii="Arial Narrow" w:eastAsia="Times New Roman" w:hAnsi="Arial Narrow" w:cs="Arial"/>
          <w:bCs/>
          <w:color w:val="000000"/>
          <w:sz w:val="24"/>
          <w:szCs w:val="24"/>
          <w:bdr w:val="none" w:sz="0" w:space="0" w:color="auto" w:frame="1"/>
          <w:lang w:eastAsia="es-SV"/>
        </w:rPr>
        <w:t> Bolsa de Valores</w:t>
      </w:r>
      <w:r w:rsidRPr="00863D3E">
        <w:rPr>
          <w:rFonts w:ascii="Arial Narrow" w:eastAsia="Times New Roman" w:hAnsi="Arial Narrow" w:cs="Arial"/>
          <w:color w:val="000000"/>
          <w:sz w:val="24"/>
          <w:szCs w:val="24"/>
          <w:lang w:eastAsia="es-SV"/>
        </w:rPr>
        <w:t> facilita las negociaciones de Valores y procura el desarrollo del Mercado Bursátil. Es la “Plaza” o lugar, en la que converge la oferta y demanda de Valores.</w:t>
      </w:r>
    </w:p>
    <w:p w:rsidR="00574445" w:rsidRPr="00863D3E" w:rsidRDefault="00574445" w:rsidP="00574445">
      <w:pPr>
        <w:numPr>
          <w:ilvl w:val="0"/>
          <w:numId w:val="7"/>
        </w:numPr>
        <w:spacing w:after="0" w:line="360" w:lineRule="auto"/>
        <w:ind w:left="300" w:right="150"/>
        <w:jc w:val="both"/>
        <w:textAlignment w:val="baseline"/>
        <w:rPr>
          <w:rFonts w:ascii="Arial Narrow" w:eastAsia="Times New Roman" w:hAnsi="Arial Narrow" w:cs="Arial"/>
          <w:color w:val="000000"/>
          <w:sz w:val="24"/>
          <w:szCs w:val="24"/>
          <w:lang w:eastAsia="es-SV"/>
        </w:rPr>
      </w:pPr>
      <w:r w:rsidRPr="00863D3E">
        <w:rPr>
          <w:rFonts w:ascii="Arial Narrow" w:eastAsia="Times New Roman" w:hAnsi="Arial Narrow" w:cs="Arial"/>
          <w:color w:val="000000"/>
          <w:sz w:val="24"/>
          <w:szCs w:val="24"/>
          <w:lang w:eastAsia="es-SV"/>
        </w:rPr>
        <w:t>Las</w:t>
      </w:r>
      <w:r w:rsidRPr="00863D3E">
        <w:rPr>
          <w:rFonts w:ascii="Arial Narrow" w:eastAsia="Times New Roman" w:hAnsi="Arial Narrow" w:cs="Arial"/>
          <w:bCs/>
          <w:color w:val="000000"/>
          <w:sz w:val="24"/>
          <w:szCs w:val="24"/>
          <w:bdr w:val="none" w:sz="0" w:space="0" w:color="auto" w:frame="1"/>
          <w:lang w:eastAsia="es-SV"/>
        </w:rPr>
        <w:t> Casas de Corredores de Bolsa </w:t>
      </w:r>
      <w:r w:rsidRPr="00863D3E">
        <w:rPr>
          <w:rFonts w:ascii="Arial Narrow" w:eastAsia="Times New Roman" w:hAnsi="Arial Narrow" w:cs="Arial"/>
          <w:color w:val="000000"/>
          <w:sz w:val="24"/>
          <w:szCs w:val="24"/>
          <w:lang w:eastAsia="es-SV"/>
        </w:rPr>
        <w:t> son los entes que realizan las operaciones de compra y de venta de valores por instrucciones de sus clientes. Son el Eslabón que permite que se concreten las transacciones entre quienes desean comprar valores y quienes los ofrecen.</w:t>
      </w:r>
    </w:p>
    <w:p w:rsidR="00574445" w:rsidRPr="00863D3E" w:rsidRDefault="00574445" w:rsidP="00574445">
      <w:pPr>
        <w:numPr>
          <w:ilvl w:val="0"/>
          <w:numId w:val="7"/>
        </w:numPr>
        <w:spacing w:after="0" w:line="360" w:lineRule="auto"/>
        <w:ind w:left="300" w:right="150"/>
        <w:jc w:val="both"/>
        <w:textAlignment w:val="baseline"/>
        <w:rPr>
          <w:rFonts w:ascii="Arial Narrow" w:eastAsia="Times New Roman" w:hAnsi="Arial Narrow" w:cs="Arial"/>
          <w:color w:val="000000"/>
          <w:sz w:val="24"/>
          <w:szCs w:val="24"/>
          <w:lang w:eastAsia="es-SV"/>
        </w:rPr>
      </w:pPr>
      <w:r w:rsidRPr="00863D3E">
        <w:rPr>
          <w:rFonts w:ascii="Arial Narrow" w:eastAsia="Times New Roman" w:hAnsi="Arial Narrow" w:cs="Arial"/>
          <w:color w:val="000000"/>
          <w:sz w:val="24"/>
          <w:szCs w:val="24"/>
          <w:lang w:eastAsia="es-SV"/>
        </w:rPr>
        <w:t>Las </w:t>
      </w:r>
      <w:r w:rsidRPr="00863D3E">
        <w:rPr>
          <w:rFonts w:ascii="Arial Narrow" w:eastAsia="Times New Roman" w:hAnsi="Arial Narrow" w:cs="Arial"/>
          <w:bCs/>
          <w:color w:val="000000"/>
          <w:sz w:val="24"/>
          <w:szCs w:val="24"/>
          <w:bdr w:val="none" w:sz="0" w:space="0" w:color="auto" w:frame="1"/>
          <w:lang w:eastAsia="es-SV"/>
        </w:rPr>
        <w:t>Empresas Emisoras</w:t>
      </w:r>
      <w:r w:rsidRPr="00863D3E">
        <w:rPr>
          <w:rFonts w:ascii="Arial Narrow" w:eastAsia="Times New Roman" w:hAnsi="Arial Narrow" w:cs="Arial"/>
          <w:color w:val="000000"/>
          <w:sz w:val="24"/>
          <w:szCs w:val="24"/>
          <w:lang w:eastAsia="es-SV"/>
        </w:rPr>
        <w:t> son las que emiten los valores que se negocian en la Bolsa de Valores, es decir que ponen a disposición de los inversionistas sus valores.</w:t>
      </w:r>
    </w:p>
    <w:p w:rsidR="00574445" w:rsidRPr="00863D3E" w:rsidRDefault="00574445" w:rsidP="00574445">
      <w:pPr>
        <w:numPr>
          <w:ilvl w:val="0"/>
          <w:numId w:val="7"/>
        </w:numPr>
        <w:spacing w:after="0" w:line="360" w:lineRule="auto"/>
        <w:ind w:left="300" w:right="150"/>
        <w:jc w:val="both"/>
        <w:textAlignment w:val="baseline"/>
        <w:rPr>
          <w:rFonts w:ascii="Arial Narrow" w:eastAsia="Times New Roman" w:hAnsi="Arial Narrow" w:cs="Arial"/>
          <w:color w:val="000000"/>
          <w:sz w:val="24"/>
          <w:szCs w:val="24"/>
          <w:lang w:eastAsia="es-SV"/>
        </w:rPr>
      </w:pPr>
      <w:r w:rsidRPr="00863D3E">
        <w:rPr>
          <w:rFonts w:ascii="Arial Narrow" w:eastAsia="Times New Roman" w:hAnsi="Arial Narrow" w:cs="Arial"/>
          <w:color w:val="000000"/>
          <w:sz w:val="24"/>
          <w:szCs w:val="24"/>
          <w:lang w:eastAsia="es-SV"/>
        </w:rPr>
        <w:t>Los </w:t>
      </w:r>
      <w:r w:rsidRPr="00863D3E">
        <w:rPr>
          <w:rFonts w:ascii="Arial Narrow" w:eastAsia="Times New Roman" w:hAnsi="Arial Narrow" w:cs="Arial"/>
          <w:bCs/>
          <w:color w:val="000000"/>
          <w:sz w:val="24"/>
          <w:szCs w:val="24"/>
          <w:bdr w:val="none" w:sz="0" w:space="0" w:color="auto" w:frame="1"/>
          <w:lang w:eastAsia="es-SV"/>
        </w:rPr>
        <w:t>Inversionistas</w:t>
      </w:r>
      <w:r w:rsidRPr="00863D3E">
        <w:rPr>
          <w:rFonts w:ascii="Arial Narrow" w:eastAsia="Times New Roman" w:hAnsi="Arial Narrow" w:cs="Arial"/>
          <w:color w:val="000000"/>
          <w:sz w:val="24"/>
          <w:szCs w:val="24"/>
          <w:lang w:eastAsia="es-SV"/>
        </w:rPr>
        <w:t> son las personas naturales o jurídicas que invierten su dinero en Valores con el fin de obtener un rendimiento a cambio. Un Inversionista puede ser: Accionista, es decir que es dueño de acciones y  que compra acciones, o Dueño de Valores de Deuda o Bonos, es decir que posee y que compra Valores de Deuda o Bonos.</w:t>
      </w:r>
    </w:p>
    <w:p w:rsidR="00574445" w:rsidRPr="00863D3E" w:rsidRDefault="00574445" w:rsidP="00574445">
      <w:pPr>
        <w:numPr>
          <w:ilvl w:val="0"/>
          <w:numId w:val="7"/>
        </w:numPr>
        <w:spacing w:after="0" w:line="360" w:lineRule="auto"/>
        <w:ind w:left="300" w:right="150"/>
        <w:jc w:val="both"/>
        <w:textAlignment w:val="baseline"/>
        <w:rPr>
          <w:rFonts w:ascii="Arial Narrow" w:eastAsia="Times New Roman" w:hAnsi="Arial Narrow" w:cs="Arial"/>
          <w:color w:val="000000"/>
          <w:sz w:val="24"/>
          <w:szCs w:val="24"/>
          <w:lang w:eastAsia="es-SV"/>
        </w:rPr>
      </w:pPr>
      <w:r w:rsidRPr="00863D3E">
        <w:rPr>
          <w:rFonts w:ascii="Arial Narrow" w:eastAsia="Times New Roman" w:hAnsi="Arial Narrow" w:cs="Arial"/>
          <w:color w:val="000000"/>
          <w:sz w:val="24"/>
          <w:szCs w:val="24"/>
          <w:lang w:eastAsia="es-SV"/>
        </w:rPr>
        <w:t>La</w:t>
      </w:r>
      <w:r w:rsidRPr="00863D3E">
        <w:rPr>
          <w:rFonts w:ascii="Arial Narrow" w:eastAsia="Times New Roman" w:hAnsi="Arial Narrow" w:cs="Arial"/>
          <w:bCs/>
          <w:color w:val="000000"/>
          <w:sz w:val="24"/>
          <w:szCs w:val="24"/>
          <w:bdr w:val="none" w:sz="0" w:space="0" w:color="auto" w:frame="1"/>
          <w:lang w:eastAsia="es-SV"/>
        </w:rPr>
        <w:t> Superintendencia del Sistema Financiero</w:t>
      </w:r>
      <w:r w:rsidRPr="00863D3E">
        <w:rPr>
          <w:rFonts w:ascii="Arial Narrow" w:eastAsia="Times New Roman" w:hAnsi="Arial Narrow" w:cs="Arial"/>
          <w:color w:val="000000"/>
          <w:sz w:val="24"/>
          <w:szCs w:val="24"/>
          <w:lang w:eastAsia="es-SV"/>
        </w:rPr>
        <w:t> es el ente que fiscaliza y regula todo el sistema bursátil y sus participantes.</w:t>
      </w:r>
    </w:p>
    <w:p w:rsidR="00574445" w:rsidRPr="00863D3E" w:rsidRDefault="00574445" w:rsidP="00574445">
      <w:pPr>
        <w:numPr>
          <w:ilvl w:val="0"/>
          <w:numId w:val="7"/>
        </w:numPr>
        <w:spacing w:after="0" w:line="360" w:lineRule="auto"/>
        <w:ind w:left="300" w:right="150"/>
        <w:jc w:val="both"/>
        <w:textAlignment w:val="baseline"/>
        <w:rPr>
          <w:rFonts w:ascii="Arial Narrow" w:eastAsia="Times New Roman" w:hAnsi="Arial Narrow" w:cs="Arial"/>
          <w:color w:val="000000"/>
          <w:sz w:val="24"/>
          <w:szCs w:val="24"/>
          <w:lang w:eastAsia="es-SV"/>
        </w:rPr>
      </w:pPr>
      <w:r w:rsidRPr="00863D3E">
        <w:rPr>
          <w:rFonts w:ascii="Arial Narrow" w:eastAsia="Times New Roman" w:hAnsi="Arial Narrow" w:cs="Arial"/>
          <w:color w:val="000000"/>
          <w:sz w:val="24"/>
          <w:szCs w:val="24"/>
          <w:lang w:eastAsia="es-SV"/>
        </w:rPr>
        <w:t>Las </w:t>
      </w:r>
      <w:r w:rsidRPr="00863D3E">
        <w:rPr>
          <w:rFonts w:ascii="Arial Narrow" w:eastAsia="Times New Roman" w:hAnsi="Arial Narrow" w:cs="Arial"/>
          <w:bCs/>
          <w:color w:val="000000"/>
          <w:sz w:val="24"/>
          <w:szCs w:val="24"/>
          <w:bdr w:val="none" w:sz="0" w:space="0" w:color="auto" w:frame="1"/>
          <w:lang w:eastAsia="es-SV"/>
        </w:rPr>
        <w:t>Calificadoras de Riesgo</w:t>
      </w:r>
      <w:r w:rsidRPr="00863D3E">
        <w:rPr>
          <w:rFonts w:ascii="Arial Narrow" w:eastAsia="Times New Roman" w:hAnsi="Arial Narrow" w:cs="Arial"/>
          <w:color w:val="000000"/>
          <w:sz w:val="24"/>
          <w:szCs w:val="24"/>
          <w:lang w:eastAsia="es-SV"/>
        </w:rPr>
        <w:t> son empresas dedicadas al análisis profundo de riesgo económico-financiero, las cuales emiten su opinión sobre la calidad crediticia de una emisión de valores y/o Empresa Emisora de los mismos.</w:t>
      </w:r>
    </w:p>
    <w:p w:rsidR="00863D3E" w:rsidRDefault="00574445" w:rsidP="00863D3E">
      <w:pPr>
        <w:numPr>
          <w:ilvl w:val="0"/>
          <w:numId w:val="7"/>
        </w:numPr>
        <w:spacing w:after="0" w:line="360" w:lineRule="auto"/>
        <w:ind w:left="300" w:right="150"/>
        <w:jc w:val="both"/>
        <w:textAlignment w:val="baseline"/>
        <w:rPr>
          <w:rFonts w:ascii="Arial Narrow" w:eastAsia="Times New Roman" w:hAnsi="Arial Narrow" w:cs="Arial"/>
          <w:color w:val="000000"/>
          <w:sz w:val="24"/>
          <w:szCs w:val="24"/>
          <w:lang w:eastAsia="es-SV"/>
        </w:rPr>
      </w:pPr>
      <w:r w:rsidRPr="00863D3E">
        <w:rPr>
          <w:rFonts w:ascii="Arial Narrow" w:eastAsia="Times New Roman" w:hAnsi="Arial Narrow" w:cs="Arial"/>
          <w:color w:val="000000"/>
          <w:sz w:val="24"/>
          <w:szCs w:val="24"/>
          <w:lang w:eastAsia="es-SV"/>
        </w:rPr>
        <w:t>La</w:t>
      </w:r>
      <w:r w:rsidRPr="00863D3E">
        <w:rPr>
          <w:rFonts w:ascii="Arial Narrow" w:eastAsia="Times New Roman" w:hAnsi="Arial Narrow" w:cs="Arial"/>
          <w:bCs/>
          <w:color w:val="000000"/>
          <w:sz w:val="24"/>
          <w:szCs w:val="24"/>
          <w:bdr w:val="none" w:sz="0" w:space="0" w:color="auto" w:frame="1"/>
          <w:lang w:eastAsia="es-SV"/>
        </w:rPr>
        <w:t> Central de Depósito de Valores (CEDEVAL)</w:t>
      </w:r>
      <w:r w:rsidRPr="00863D3E">
        <w:rPr>
          <w:rFonts w:ascii="Arial Narrow" w:eastAsia="Times New Roman" w:hAnsi="Arial Narrow" w:cs="Arial"/>
          <w:color w:val="000000"/>
          <w:sz w:val="24"/>
          <w:szCs w:val="24"/>
          <w:lang w:eastAsia="es-SV"/>
        </w:rPr>
        <w:t> es la entidad especializada que recibe valores para su custodia y administración</w:t>
      </w:r>
    </w:p>
    <w:p w:rsidR="008344FE" w:rsidRDefault="008344FE" w:rsidP="008344FE">
      <w:pPr>
        <w:spacing w:after="0" w:line="360" w:lineRule="auto"/>
        <w:ind w:left="300" w:right="150"/>
        <w:jc w:val="both"/>
        <w:textAlignment w:val="baseline"/>
        <w:rPr>
          <w:rFonts w:ascii="Arial Narrow" w:eastAsia="Times New Roman" w:hAnsi="Arial Narrow" w:cs="Arial"/>
          <w:color w:val="000000"/>
          <w:sz w:val="24"/>
          <w:szCs w:val="24"/>
          <w:lang w:eastAsia="es-SV"/>
        </w:rPr>
      </w:pPr>
    </w:p>
    <w:p w:rsidR="00A66AFE" w:rsidRDefault="00A66AFE" w:rsidP="008344FE">
      <w:pPr>
        <w:spacing w:after="0" w:line="360" w:lineRule="auto"/>
        <w:ind w:left="300" w:right="150"/>
        <w:jc w:val="both"/>
        <w:textAlignment w:val="baseline"/>
        <w:rPr>
          <w:rFonts w:ascii="Arial Narrow" w:eastAsia="Times New Roman" w:hAnsi="Arial Narrow" w:cs="Arial"/>
          <w:color w:val="000000"/>
          <w:sz w:val="24"/>
          <w:szCs w:val="24"/>
          <w:lang w:eastAsia="es-SV"/>
        </w:rPr>
      </w:pPr>
    </w:p>
    <w:p w:rsidR="00A66AFE" w:rsidRDefault="00A66AFE" w:rsidP="008344FE">
      <w:pPr>
        <w:spacing w:after="0" w:line="360" w:lineRule="auto"/>
        <w:ind w:left="300" w:right="150"/>
        <w:jc w:val="both"/>
        <w:textAlignment w:val="baseline"/>
        <w:rPr>
          <w:rFonts w:ascii="Arial Narrow" w:eastAsia="Times New Roman" w:hAnsi="Arial Narrow" w:cs="Arial"/>
          <w:color w:val="000000"/>
          <w:sz w:val="24"/>
          <w:szCs w:val="24"/>
          <w:lang w:eastAsia="es-SV"/>
        </w:rPr>
      </w:pPr>
    </w:p>
    <w:p w:rsidR="00574445" w:rsidRPr="00863D3E" w:rsidRDefault="00574445" w:rsidP="008344FE">
      <w:pPr>
        <w:spacing w:after="0" w:line="360" w:lineRule="auto"/>
        <w:ind w:left="-60" w:right="150"/>
        <w:jc w:val="both"/>
        <w:textAlignment w:val="baseline"/>
        <w:rPr>
          <w:rFonts w:ascii="Arial Narrow" w:eastAsia="Times New Roman" w:hAnsi="Arial Narrow" w:cs="Arial"/>
          <w:color w:val="000000"/>
          <w:sz w:val="24"/>
          <w:szCs w:val="24"/>
          <w:lang w:eastAsia="es-SV"/>
        </w:rPr>
      </w:pPr>
      <w:r w:rsidRPr="00863D3E">
        <w:rPr>
          <w:rFonts w:ascii="Arial Narrow" w:eastAsia="Times New Roman" w:hAnsi="Arial Narrow" w:cs="Arial"/>
          <w:color w:val="000000"/>
          <w:sz w:val="24"/>
          <w:szCs w:val="24"/>
          <w:lang w:eastAsia="es-SV"/>
        </w:rPr>
        <w:lastRenderedPageBreak/>
        <w:t>En la Titularización participan nuevos actores:</w:t>
      </w:r>
    </w:p>
    <w:p w:rsidR="00574445" w:rsidRPr="00863D3E" w:rsidRDefault="00574445" w:rsidP="00574445">
      <w:pPr>
        <w:numPr>
          <w:ilvl w:val="0"/>
          <w:numId w:val="8"/>
        </w:numPr>
        <w:spacing w:after="0" w:line="360" w:lineRule="auto"/>
        <w:ind w:left="300" w:right="150"/>
        <w:jc w:val="both"/>
        <w:textAlignment w:val="baseline"/>
        <w:rPr>
          <w:rFonts w:ascii="Arial Narrow" w:eastAsia="Times New Roman" w:hAnsi="Arial Narrow" w:cs="Arial"/>
          <w:color w:val="000000"/>
          <w:sz w:val="24"/>
          <w:szCs w:val="24"/>
          <w:lang w:eastAsia="es-SV"/>
        </w:rPr>
      </w:pPr>
      <w:r w:rsidRPr="00863D3E">
        <w:rPr>
          <w:rFonts w:ascii="Arial Narrow" w:eastAsia="Times New Roman" w:hAnsi="Arial Narrow" w:cs="Arial"/>
          <w:bCs/>
          <w:color w:val="000000"/>
          <w:sz w:val="24"/>
          <w:szCs w:val="24"/>
          <w:bdr w:val="none" w:sz="0" w:space="0" w:color="auto" w:frame="1"/>
          <w:lang w:eastAsia="es-SV"/>
        </w:rPr>
        <w:t>Sociedad Titularizadora</w:t>
      </w:r>
      <w:r w:rsidRPr="00863D3E">
        <w:rPr>
          <w:rFonts w:ascii="Arial Narrow" w:eastAsia="Times New Roman" w:hAnsi="Arial Narrow" w:cs="Arial"/>
          <w:color w:val="000000"/>
          <w:sz w:val="24"/>
          <w:szCs w:val="24"/>
          <w:lang w:eastAsia="es-SV"/>
        </w:rPr>
        <w:t> es la entidad encargada de estructurar la titularización y administrar el Fondo de Titularización.</w:t>
      </w:r>
    </w:p>
    <w:p w:rsidR="008344FE" w:rsidRDefault="00574445" w:rsidP="008344FE">
      <w:pPr>
        <w:numPr>
          <w:ilvl w:val="0"/>
          <w:numId w:val="8"/>
        </w:numPr>
        <w:spacing w:after="160" w:line="360" w:lineRule="auto"/>
        <w:ind w:left="300" w:right="150"/>
        <w:jc w:val="both"/>
        <w:textAlignment w:val="baseline"/>
        <w:rPr>
          <w:rFonts w:ascii="Arial Narrow" w:eastAsia="Times New Roman" w:hAnsi="Arial Narrow" w:cs="Arial"/>
          <w:color w:val="000000"/>
          <w:sz w:val="24"/>
          <w:szCs w:val="24"/>
          <w:lang w:eastAsia="es-SV"/>
        </w:rPr>
      </w:pPr>
      <w:r w:rsidRPr="00863D3E">
        <w:rPr>
          <w:rFonts w:ascii="Arial Narrow" w:eastAsia="Times New Roman" w:hAnsi="Arial Narrow" w:cs="Arial"/>
          <w:bCs/>
          <w:color w:val="000000"/>
          <w:sz w:val="24"/>
          <w:szCs w:val="24"/>
          <w:bdr w:val="none" w:sz="0" w:space="0" w:color="auto" w:frame="1"/>
          <w:lang w:eastAsia="es-SV"/>
        </w:rPr>
        <w:t>Representante de los Tenedores:</w:t>
      </w:r>
      <w:r w:rsidRPr="00863D3E">
        <w:rPr>
          <w:rFonts w:ascii="Arial Narrow" w:eastAsia="Times New Roman" w:hAnsi="Arial Narrow" w:cs="Arial"/>
          <w:color w:val="000000"/>
          <w:sz w:val="24"/>
          <w:szCs w:val="24"/>
          <w:lang w:eastAsia="es-SV"/>
        </w:rPr>
        <w:t> se encarga de verificar que el proceso se desarrolle adecuadamente, representando los intereses de los inversionistas.</w:t>
      </w:r>
    </w:p>
    <w:p w:rsidR="00574445" w:rsidRPr="008344FE" w:rsidRDefault="00574445" w:rsidP="008344FE">
      <w:pPr>
        <w:spacing w:after="160" w:line="360" w:lineRule="auto"/>
        <w:ind w:left="-60" w:right="150"/>
        <w:jc w:val="both"/>
        <w:textAlignment w:val="baseline"/>
        <w:rPr>
          <w:rFonts w:ascii="Arial Narrow" w:eastAsia="Times New Roman" w:hAnsi="Arial Narrow" w:cs="Arial"/>
          <w:color w:val="000000"/>
          <w:sz w:val="24"/>
          <w:szCs w:val="24"/>
          <w:lang w:eastAsia="es-SV"/>
        </w:rPr>
      </w:pPr>
      <w:r w:rsidRPr="008344FE">
        <w:rPr>
          <w:rFonts w:ascii="Arial Narrow" w:hAnsi="Arial Narrow" w:cs="Arial"/>
          <w:sz w:val="24"/>
          <w:szCs w:val="24"/>
        </w:rPr>
        <w:t>Marco Legal</w:t>
      </w:r>
    </w:p>
    <w:p w:rsidR="00574445" w:rsidRPr="005E579A" w:rsidRDefault="00574445" w:rsidP="00863D3E">
      <w:pPr>
        <w:pStyle w:val="NormalWeb"/>
        <w:shd w:val="clear" w:color="auto" w:fill="FFFFFF"/>
        <w:spacing w:before="0" w:beforeAutospacing="0" w:after="0" w:afterAutospacing="0" w:line="360" w:lineRule="auto"/>
        <w:jc w:val="both"/>
        <w:textAlignment w:val="baseline"/>
        <w:rPr>
          <w:rFonts w:ascii="Arial Narrow" w:hAnsi="Arial Narrow" w:cs="Arial"/>
          <w:color w:val="000000"/>
        </w:rPr>
      </w:pPr>
      <w:r w:rsidRPr="005E579A">
        <w:rPr>
          <w:rFonts w:ascii="Arial Narrow" w:hAnsi="Arial Narrow" w:cs="Arial"/>
          <w:color w:val="000000"/>
          <w:bdr w:val="none" w:sz="0" w:space="0" w:color="auto" w:frame="1"/>
        </w:rPr>
        <w:t>La Bolsa de Valores de El Salvador  forma parte de un Mercado de Valores regulado  y organizado. Todos los participantes del mercado son supervisados por la Superintendencia del Sistema Financiero, que se rige por la Ley del Mercado de Valores, sus instructivos y reglamentos, los cuales regulan la oferta pública de valores, sus transacciones, sus respectivos mercados e intermediarios y a los emisores, con la finalidad de promover el desarrollo eficiente de dichos mercados y velar por los intereses del público inversionista.</w:t>
      </w:r>
    </w:p>
    <w:p w:rsidR="00574445" w:rsidRPr="005E579A" w:rsidRDefault="00574445" w:rsidP="00574445">
      <w:pPr>
        <w:pStyle w:val="Prrafodelista"/>
        <w:numPr>
          <w:ilvl w:val="0"/>
          <w:numId w:val="9"/>
        </w:numPr>
        <w:spacing w:after="160" w:line="360" w:lineRule="auto"/>
        <w:jc w:val="both"/>
        <w:rPr>
          <w:rFonts w:ascii="Arial Narrow" w:hAnsi="Arial Narrow" w:cs="Arial"/>
          <w:sz w:val="24"/>
          <w:szCs w:val="24"/>
        </w:rPr>
      </w:pPr>
      <w:r w:rsidRPr="005E579A">
        <w:rPr>
          <w:rFonts w:ascii="Arial Narrow" w:hAnsi="Arial Narrow" w:cs="Arial"/>
          <w:sz w:val="24"/>
          <w:szCs w:val="24"/>
        </w:rPr>
        <w:t>Ley de mercado de valores</w:t>
      </w:r>
    </w:p>
    <w:p w:rsidR="00574445" w:rsidRPr="005E579A" w:rsidRDefault="00574445" w:rsidP="00574445">
      <w:pPr>
        <w:pStyle w:val="Prrafodelista"/>
        <w:numPr>
          <w:ilvl w:val="0"/>
          <w:numId w:val="9"/>
        </w:numPr>
        <w:spacing w:after="160" w:line="360" w:lineRule="auto"/>
        <w:jc w:val="both"/>
        <w:rPr>
          <w:rFonts w:ascii="Arial Narrow" w:hAnsi="Arial Narrow" w:cs="Arial"/>
          <w:sz w:val="24"/>
          <w:szCs w:val="24"/>
        </w:rPr>
      </w:pPr>
      <w:r w:rsidRPr="005E579A">
        <w:rPr>
          <w:rFonts w:ascii="Arial Narrow" w:hAnsi="Arial Narrow" w:cs="Arial"/>
          <w:sz w:val="24"/>
          <w:szCs w:val="24"/>
        </w:rPr>
        <w:t>Ley de fondos de inversión</w:t>
      </w:r>
    </w:p>
    <w:p w:rsidR="00574445" w:rsidRPr="005E579A" w:rsidRDefault="00574445" w:rsidP="00574445">
      <w:pPr>
        <w:pStyle w:val="Prrafodelista"/>
        <w:numPr>
          <w:ilvl w:val="0"/>
          <w:numId w:val="9"/>
        </w:numPr>
        <w:spacing w:after="160" w:line="360" w:lineRule="auto"/>
        <w:jc w:val="both"/>
        <w:rPr>
          <w:rFonts w:ascii="Arial Narrow" w:hAnsi="Arial Narrow" w:cs="Arial"/>
          <w:sz w:val="24"/>
          <w:szCs w:val="24"/>
        </w:rPr>
      </w:pPr>
      <w:r w:rsidRPr="005E579A">
        <w:rPr>
          <w:rFonts w:ascii="Arial Narrow" w:hAnsi="Arial Narrow" w:cs="Arial"/>
          <w:sz w:val="24"/>
          <w:szCs w:val="24"/>
        </w:rPr>
        <w:t xml:space="preserve">Ley de anotaciones electrónicas de valores en cuenta </w:t>
      </w:r>
    </w:p>
    <w:p w:rsidR="00574445" w:rsidRPr="00863D3E" w:rsidRDefault="00574445" w:rsidP="00863D3E">
      <w:pPr>
        <w:pStyle w:val="Prrafodelista"/>
        <w:numPr>
          <w:ilvl w:val="0"/>
          <w:numId w:val="9"/>
        </w:numPr>
        <w:spacing w:after="160" w:line="360" w:lineRule="auto"/>
        <w:jc w:val="both"/>
        <w:rPr>
          <w:rFonts w:ascii="Arial Narrow" w:hAnsi="Arial Narrow" w:cs="Arial"/>
          <w:sz w:val="24"/>
          <w:szCs w:val="24"/>
        </w:rPr>
      </w:pPr>
      <w:r w:rsidRPr="005E579A">
        <w:rPr>
          <w:rFonts w:ascii="Arial Narrow" w:hAnsi="Arial Narrow" w:cs="Arial"/>
          <w:sz w:val="24"/>
          <w:szCs w:val="24"/>
        </w:rPr>
        <w:t xml:space="preserve">Ley de titularización de activos </w:t>
      </w:r>
    </w:p>
    <w:p w:rsidR="00574445" w:rsidRPr="00863D3E" w:rsidRDefault="00574445" w:rsidP="00574445">
      <w:pPr>
        <w:spacing w:line="360" w:lineRule="auto"/>
        <w:jc w:val="both"/>
        <w:rPr>
          <w:rStyle w:val="apple-converted-space"/>
          <w:rFonts w:ascii="Arial Narrow" w:hAnsi="Arial Narrow" w:cs="Arial"/>
          <w:sz w:val="24"/>
          <w:szCs w:val="24"/>
        </w:rPr>
      </w:pPr>
      <w:r w:rsidRPr="005E579A">
        <w:rPr>
          <w:rFonts w:ascii="Arial Narrow" w:hAnsi="Arial Narrow" w:cs="Arial"/>
          <w:sz w:val="24"/>
          <w:szCs w:val="24"/>
        </w:rPr>
        <w:t>Normativa:</w:t>
      </w:r>
      <w:r w:rsidR="00863D3E">
        <w:rPr>
          <w:rFonts w:ascii="Arial Narrow" w:hAnsi="Arial Narrow" w:cs="Arial"/>
          <w:sz w:val="24"/>
          <w:szCs w:val="24"/>
        </w:rPr>
        <w:t xml:space="preserve"> </w:t>
      </w:r>
      <w:r w:rsidRPr="005E579A">
        <w:rPr>
          <w:rFonts w:ascii="Arial Narrow" w:hAnsi="Arial Narrow" w:cs="Arial"/>
          <w:sz w:val="24"/>
          <w:szCs w:val="24"/>
          <w:shd w:val="clear" w:color="auto" w:fill="FFFFFF"/>
        </w:rPr>
        <w:t>Las normas contenidas en esta sección son aplicables a todos los integrantes y supervisados del mercado de valores en el salvador.</w:t>
      </w:r>
      <w:r w:rsidRPr="005E579A">
        <w:rPr>
          <w:rStyle w:val="apple-converted-space"/>
          <w:rFonts w:ascii="Arial Narrow" w:hAnsi="Arial Narrow" w:cs="Arial"/>
          <w:sz w:val="24"/>
          <w:szCs w:val="24"/>
          <w:shd w:val="clear" w:color="auto" w:fill="FFFFFF"/>
        </w:rPr>
        <w:t> </w:t>
      </w:r>
      <w:r w:rsidR="00863D3E">
        <w:rPr>
          <w:rStyle w:val="apple-converted-space"/>
          <w:rFonts w:ascii="Arial Narrow" w:hAnsi="Arial Narrow" w:cs="Arial"/>
          <w:sz w:val="24"/>
          <w:szCs w:val="24"/>
        </w:rPr>
        <w:t xml:space="preserve"> </w:t>
      </w:r>
      <w:r w:rsidRPr="005E579A">
        <w:rPr>
          <w:rFonts w:ascii="Arial Narrow" w:hAnsi="Arial Narrow" w:cs="Arial"/>
          <w:sz w:val="24"/>
          <w:szCs w:val="24"/>
          <w:shd w:val="clear" w:color="auto" w:fill="FFFFFF"/>
        </w:rPr>
        <w:t>Además, las normas generales aplican a todos los sujetos de esta categoría y se incluyen normas para Peritos y Auditores que prestan sus servicios a estas instituciones.</w:t>
      </w:r>
      <w:r w:rsidRPr="005E579A">
        <w:rPr>
          <w:rStyle w:val="apple-converted-space"/>
          <w:rFonts w:ascii="Arial Narrow" w:hAnsi="Arial Narrow" w:cs="Arial"/>
          <w:sz w:val="24"/>
          <w:szCs w:val="24"/>
          <w:shd w:val="clear" w:color="auto" w:fill="FFFFFF"/>
        </w:rPr>
        <w:t> </w:t>
      </w:r>
    </w:p>
    <w:p w:rsidR="00863D3E" w:rsidRDefault="00863D3E" w:rsidP="00574445">
      <w:pPr>
        <w:spacing w:line="360" w:lineRule="auto"/>
        <w:jc w:val="both"/>
        <w:rPr>
          <w:rFonts w:ascii="Arial Narrow" w:hAnsi="Arial Narrow" w:cs="Arial"/>
          <w:b/>
          <w:sz w:val="24"/>
          <w:szCs w:val="24"/>
        </w:rPr>
      </w:pPr>
    </w:p>
    <w:p w:rsidR="00863D3E" w:rsidRDefault="00863D3E" w:rsidP="00574445">
      <w:pPr>
        <w:spacing w:line="360" w:lineRule="auto"/>
        <w:jc w:val="both"/>
        <w:rPr>
          <w:rFonts w:ascii="Arial Narrow" w:hAnsi="Arial Narrow" w:cs="Arial"/>
          <w:b/>
          <w:sz w:val="24"/>
          <w:szCs w:val="24"/>
        </w:rPr>
      </w:pPr>
    </w:p>
    <w:p w:rsidR="00863D3E" w:rsidRDefault="00863D3E" w:rsidP="00574445">
      <w:pPr>
        <w:spacing w:line="360" w:lineRule="auto"/>
        <w:jc w:val="both"/>
        <w:rPr>
          <w:rFonts w:ascii="Arial Narrow" w:hAnsi="Arial Narrow" w:cs="Arial"/>
          <w:b/>
          <w:sz w:val="24"/>
          <w:szCs w:val="24"/>
        </w:rPr>
      </w:pPr>
    </w:p>
    <w:p w:rsidR="00863D3E" w:rsidRDefault="00863D3E" w:rsidP="00574445">
      <w:pPr>
        <w:spacing w:line="360" w:lineRule="auto"/>
        <w:jc w:val="both"/>
        <w:rPr>
          <w:rFonts w:ascii="Arial Narrow" w:hAnsi="Arial Narrow" w:cs="Arial"/>
          <w:b/>
          <w:sz w:val="24"/>
          <w:szCs w:val="24"/>
        </w:rPr>
      </w:pPr>
    </w:p>
    <w:p w:rsidR="00A66AFE" w:rsidRDefault="00A66AFE" w:rsidP="00574445">
      <w:pPr>
        <w:spacing w:line="360" w:lineRule="auto"/>
        <w:jc w:val="both"/>
        <w:rPr>
          <w:rFonts w:ascii="Arial Narrow" w:hAnsi="Arial Narrow" w:cs="Arial"/>
          <w:b/>
          <w:sz w:val="24"/>
          <w:szCs w:val="24"/>
        </w:rPr>
      </w:pPr>
    </w:p>
    <w:p w:rsidR="00574445" w:rsidRPr="008344FE" w:rsidRDefault="00574445" w:rsidP="00574445">
      <w:pPr>
        <w:spacing w:line="360" w:lineRule="auto"/>
        <w:jc w:val="both"/>
        <w:rPr>
          <w:rFonts w:ascii="Arial Narrow" w:hAnsi="Arial Narrow" w:cs="Arial"/>
          <w:b/>
          <w:sz w:val="24"/>
          <w:szCs w:val="24"/>
          <w:u w:val="single"/>
        </w:rPr>
      </w:pPr>
      <w:r w:rsidRPr="008344FE">
        <w:rPr>
          <w:rFonts w:ascii="Arial Narrow" w:hAnsi="Arial Narrow" w:cs="Arial"/>
          <w:b/>
          <w:sz w:val="24"/>
          <w:szCs w:val="24"/>
          <w:u w:val="single"/>
        </w:rPr>
        <w:lastRenderedPageBreak/>
        <w:t xml:space="preserve">NIC 31 Norma </w:t>
      </w:r>
      <w:r w:rsidR="008344FE">
        <w:rPr>
          <w:rFonts w:ascii="Arial Narrow" w:hAnsi="Arial Narrow" w:cs="Arial"/>
          <w:b/>
          <w:sz w:val="24"/>
          <w:szCs w:val="24"/>
          <w:u w:val="single"/>
        </w:rPr>
        <w:t xml:space="preserve">Internacional de Contabilidad - </w:t>
      </w:r>
      <w:r w:rsidRPr="008344FE">
        <w:rPr>
          <w:rFonts w:ascii="Arial Narrow" w:hAnsi="Arial Narrow" w:cs="Arial"/>
          <w:b/>
          <w:sz w:val="24"/>
          <w:szCs w:val="24"/>
          <w:u w:val="single"/>
        </w:rPr>
        <w:t>Participaciones en negocios conjuntos</w:t>
      </w:r>
    </w:p>
    <w:p w:rsidR="00574445" w:rsidRPr="007164BB" w:rsidRDefault="00574445" w:rsidP="00574445">
      <w:pPr>
        <w:spacing w:line="360" w:lineRule="auto"/>
        <w:jc w:val="both"/>
        <w:rPr>
          <w:rFonts w:ascii="Arial Narrow" w:hAnsi="Arial Narrow" w:cs="Arial"/>
          <w:sz w:val="24"/>
          <w:szCs w:val="24"/>
        </w:rPr>
      </w:pPr>
      <w:r w:rsidRPr="005E579A">
        <w:rPr>
          <w:rFonts w:ascii="Arial Narrow" w:hAnsi="Arial Narrow" w:cs="Arial"/>
          <w:sz w:val="24"/>
          <w:szCs w:val="24"/>
        </w:rPr>
        <w:t xml:space="preserve">Párrafo 2-(ii) los instrumentos de pasivo o de capital del partícipe no se negocian en un mercado público (ya sea una bolsa de valores nacional o extranjera, o un mercado no organizado, incluyendo </w:t>
      </w:r>
      <w:r w:rsidRPr="007164BB">
        <w:rPr>
          <w:rFonts w:ascii="Arial Narrow" w:hAnsi="Arial Narrow" w:cs="Arial"/>
          <w:sz w:val="24"/>
          <w:szCs w:val="24"/>
        </w:rPr>
        <w:t>mercados locales o regionales)</w:t>
      </w:r>
    </w:p>
    <w:p w:rsidR="00574445" w:rsidRPr="007164BB" w:rsidRDefault="00574445" w:rsidP="00574445">
      <w:pPr>
        <w:spacing w:line="360" w:lineRule="auto"/>
        <w:jc w:val="both"/>
        <w:rPr>
          <w:rFonts w:ascii="Arial Narrow" w:hAnsi="Arial Narrow" w:cs="Arial"/>
          <w:sz w:val="24"/>
          <w:szCs w:val="24"/>
        </w:rPr>
      </w:pPr>
      <w:r w:rsidRPr="007164BB">
        <w:rPr>
          <w:rFonts w:ascii="Arial Narrow" w:hAnsi="Arial Narrow" w:cs="Arial"/>
          <w:sz w:val="24"/>
          <w:szCs w:val="24"/>
        </w:rPr>
        <w:t>Control conjunto</w:t>
      </w:r>
    </w:p>
    <w:p w:rsidR="00574445" w:rsidRPr="007164BB" w:rsidRDefault="00574445" w:rsidP="00574445">
      <w:pPr>
        <w:spacing w:line="360" w:lineRule="auto"/>
        <w:jc w:val="both"/>
        <w:rPr>
          <w:rFonts w:ascii="Arial Narrow" w:hAnsi="Arial Narrow" w:cs="Arial"/>
          <w:sz w:val="24"/>
          <w:szCs w:val="24"/>
        </w:rPr>
      </w:pPr>
      <w:r w:rsidRPr="007164BB">
        <w:rPr>
          <w:rFonts w:ascii="Arial Narrow" w:hAnsi="Arial Narrow" w:cs="Arial"/>
          <w:sz w:val="24"/>
          <w:szCs w:val="24"/>
        </w:rPr>
        <w:t>8. El control conjunto puede no darse en el caso de que la participada se encuentre en un proceso concursalo de reorganización legal, o bien cuando opere bajo importantes restricciones a largo plazo que Condicionen su capacidad para transferir fondos al partícipe. Si se conserva el control conjunto, los anteriores sucesos no son, en sí mismos, suficientes para justificar la falta de aplicación de esta Norma al contabilizar los negocios conjuntos.</w:t>
      </w:r>
    </w:p>
    <w:p w:rsidR="00574445" w:rsidRPr="007164BB" w:rsidRDefault="00574445" w:rsidP="00574445">
      <w:pPr>
        <w:spacing w:line="360" w:lineRule="auto"/>
        <w:jc w:val="both"/>
        <w:rPr>
          <w:rFonts w:ascii="Arial Narrow" w:hAnsi="Arial Narrow" w:cs="Arial"/>
          <w:sz w:val="24"/>
          <w:szCs w:val="24"/>
        </w:rPr>
      </w:pPr>
      <w:r w:rsidRPr="007164BB">
        <w:rPr>
          <w:rFonts w:ascii="Arial Narrow" w:hAnsi="Arial Narrow" w:cs="Arial"/>
          <w:sz w:val="24"/>
          <w:szCs w:val="24"/>
        </w:rPr>
        <w:t>Explotaciones controladas de forma conjunta</w:t>
      </w:r>
    </w:p>
    <w:p w:rsidR="00574445" w:rsidRPr="007164BB" w:rsidRDefault="00574445" w:rsidP="00574445">
      <w:pPr>
        <w:spacing w:line="360" w:lineRule="auto"/>
        <w:jc w:val="both"/>
        <w:rPr>
          <w:rFonts w:ascii="Arial Narrow" w:hAnsi="Arial Narrow" w:cs="Arial"/>
          <w:sz w:val="24"/>
          <w:szCs w:val="24"/>
        </w:rPr>
      </w:pPr>
      <w:r w:rsidRPr="007164BB">
        <w:rPr>
          <w:rFonts w:ascii="Arial Narrow" w:hAnsi="Arial Narrow" w:cs="Arial"/>
          <w:sz w:val="24"/>
          <w:szCs w:val="24"/>
        </w:rPr>
        <w:t xml:space="preserve">13. Algunas veces, la explotación de un negocio conjunto implica tan sólo el uso de activos y otros </w:t>
      </w:r>
      <w:r w:rsidR="005556FB" w:rsidRPr="007164BB">
        <w:rPr>
          <w:rFonts w:ascii="Arial Narrow" w:hAnsi="Arial Narrow" w:cs="Arial"/>
          <w:sz w:val="24"/>
          <w:szCs w:val="24"/>
        </w:rPr>
        <w:t>recursos de</w:t>
      </w:r>
      <w:r w:rsidRPr="007164BB">
        <w:rPr>
          <w:rFonts w:ascii="Arial Narrow" w:hAnsi="Arial Narrow" w:cs="Arial"/>
          <w:sz w:val="24"/>
          <w:szCs w:val="24"/>
        </w:rPr>
        <w:t xml:space="preserve"> los partícipes en el mismo, y no la constitución de una sociedad por acciones, asociación con fines empresariales u otra entidad, o el establecimiento de una estructura financiera independiente de los partícipes. Así, cada partícipe utilizará sus elementos del inmovilizado material y gestionará sus propias existencias. También incurrirá, cada uno de ellos, en sus propios gastos y pasivos, obteniendo así mismo su propia financiación, que pasará a formar parte de sus propias obligaciones. Las actividades del negocio conjunto podrán llevarse a cabo por los empleados del partícipe, al tiempo que realizan actividades similares para el mismo. Normalmente, el acuerdo del negocio conjunto contendrá las normas precisas para el reparto, entre los partícipes, de los ingresos ordinarios provenientes de la venta del producto conjunto y de cualquier gasto compartido.</w:t>
      </w:r>
    </w:p>
    <w:p w:rsidR="00574445" w:rsidRPr="007164BB" w:rsidRDefault="00574445" w:rsidP="00574445">
      <w:pPr>
        <w:spacing w:line="360" w:lineRule="auto"/>
        <w:jc w:val="both"/>
        <w:rPr>
          <w:rFonts w:ascii="Arial Narrow" w:hAnsi="Arial Narrow" w:cs="Arial"/>
          <w:sz w:val="24"/>
          <w:szCs w:val="24"/>
        </w:rPr>
      </w:pPr>
      <w:r w:rsidRPr="007164BB">
        <w:rPr>
          <w:rFonts w:ascii="Arial Narrow" w:hAnsi="Arial Narrow" w:cs="Arial"/>
          <w:sz w:val="24"/>
          <w:szCs w:val="24"/>
        </w:rPr>
        <w:t>Entidades controladas de forma conjunta</w:t>
      </w:r>
    </w:p>
    <w:p w:rsidR="00A66AFE" w:rsidRDefault="00574445" w:rsidP="00574445">
      <w:pPr>
        <w:spacing w:line="360" w:lineRule="auto"/>
        <w:jc w:val="both"/>
        <w:rPr>
          <w:rFonts w:ascii="Arial Narrow" w:hAnsi="Arial Narrow" w:cs="Arial"/>
          <w:sz w:val="24"/>
          <w:szCs w:val="24"/>
        </w:rPr>
      </w:pPr>
      <w:r w:rsidRPr="007164BB">
        <w:rPr>
          <w:rFonts w:ascii="Arial Narrow" w:hAnsi="Arial Narrow" w:cs="Arial"/>
          <w:sz w:val="24"/>
          <w:szCs w:val="24"/>
        </w:rPr>
        <w:t>24. Una entidad controlada de forma conjunta es un negocio conjunto que implica la creación de una sociedad por acciones, una asociación con fines empresariales u otro</w:t>
      </w:r>
      <w:r w:rsidRPr="005E579A">
        <w:rPr>
          <w:rFonts w:ascii="Arial Narrow" w:hAnsi="Arial Narrow" w:cs="Arial"/>
          <w:sz w:val="24"/>
          <w:szCs w:val="24"/>
        </w:rPr>
        <w:t xml:space="preserve"> tipo de entidad, en las cuales cada partícipe adquiere una participación. </w:t>
      </w:r>
    </w:p>
    <w:p w:rsidR="00574445" w:rsidRPr="005E579A" w:rsidRDefault="00574445" w:rsidP="00574445">
      <w:pPr>
        <w:spacing w:line="360" w:lineRule="auto"/>
        <w:jc w:val="both"/>
        <w:rPr>
          <w:rFonts w:ascii="Arial Narrow" w:hAnsi="Arial Narrow" w:cs="Arial"/>
          <w:sz w:val="24"/>
          <w:szCs w:val="24"/>
        </w:rPr>
      </w:pPr>
      <w:r w:rsidRPr="005E579A">
        <w:rPr>
          <w:rFonts w:ascii="Arial Narrow" w:hAnsi="Arial Narrow" w:cs="Arial"/>
          <w:sz w:val="24"/>
          <w:szCs w:val="24"/>
        </w:rPr>
        <w:lastRenderedPageBreak/>
        <w:t xml:space="preserve">La entidad operará de la misma manera que otras entidades, salvo que exista </w:t>
      </w:r>
      <w:r w:rsidR="005556FB" w:rsidRPr="005E579A">
        <w:rPr>
          <w:rFonts w:ascii="Arial Narrow" w:hAnsi="Arial Narrow" w:cs="Arial"/>
          <w:sz w:val="24"/>
          <w:szCs w:val="24"/>
        </w:rPr>
        <w:t>un</w:t>
      </w:r>
      <w:r w:rsidRPr="005E579A">
        <w:rPr>
          <w:rFonts w:ascii="Arial Narrow" w:hAnsi="Arial Narrow" w:cs="Arial"/>
          <w:sz w:val="24"/>
          <w:szCs w:val="24"/>
        </w:rPr>
        <w:t xml:space="preserve"> acuerdo contractual entre los partícipes, donde se establezca el control conjunto sobre la actividad económica de la misma.</w:t>
      </w:r>
    </w:p>
    <w:p w:rsidR="00574445" w:rsidRPr="005E579A" w:rsidRDefault="00574445" w:rsidP="00574445">
      <w:pPr>
        <w:spacing w:line="360" w:lineRule="auto"/>
        <w:jc w:val="both"/>
        <w:rPr>
          <w:rFonts w:ascii="Arial Narrow" w:hAnsi="Arial Narrow" w:cs="Arial"/>
          <w:sz w:val="24"/>
          <w:szCs w:val="24"/>
        </w:rPr>
      </w:pPr>
      <w:r w:rsidRPr="005E579A">
        <w:rPr>
          <w:rFonts w:ascii="Arial Narrow" w:hAnsi="Arial Narrow" w:cs="Arial"/>
          <w:sz w:val="24"/>
          <w:szCs w:val="24"/>
        </w:rPr>
        <w:t>25. La entidad controlada conjuntamente controlará los activos del negocio conjunto, incurrirá en pasivos y gastos y obtendrá ingresos. Podrá celebrar contratos en su propio nombre y obtener financiación para el desarrollo de los objetivos de la actividad conjunta. Cada partícipe tendrá derecho a una porción de los resultados de la entidad controlada conjuntamente, aunque en algunas de ellas también se comparta lo producido por el negocio conjunto.</w:t>
      </w:r>
    </w:p>
    <w:p w:rsidR="00574445" w:rsidRPr="008344FE" w:rsidRDefault="008344FE" w:rsidP="008344FE">
      <w:pPr>
        <w:spacing w:line="360" w:lineRule="auto"/>
        <w:jc w:val="center"/>
        <w:rPr>
          <w:rFonts w:ascii="Arial Narrow" w:hAnsi="Arial Narrow" w:cs="Arial"/>
          <w:b/>
          <w:sz w:val="24"/>
          <w:szCs w:val="24"/>
          <w:u w:val="single"/>
          <w:shd w:val="clear" w:color="auto" w:fill="FFFFFF"/>
        </w:rPr>
      </w:pPr>
      <w:r w:rsidRPr="008344FE">
        <w:rPr>
          <w:rFonts w:ascii="Arial Narrow" w:hAnsi="Arial Narrow" w:cs="Arial"/>
          <w:b/>
          <w:sz w:val="24"/>
          <w:szCs w:val="24"/>
          <w:u w:val="single"/>
          <w:shd w:val="clear" w:color="auto" w:fill="FFFFFF"/>
        </w:rPr>
        <w:t>ANÁLISIS</w:t>
      </w:r>
    </w:p>
    <w:p w:rsidR="00574445" w:rsidRPr="005E579A" w:rsidRDefault="00574445" w:rsidP="00574445">
      <w:pPr>
        <w:spacing w:line="360" w:lineRule="auto"/>
        <w:jc w:val="both"/>
        <w:rPr>
          <w:rFonts w:ascii="Arial Narrow" w:hAnsi="Arial Narrow" w:cs="Arial"/>
          <w:sz w:val="24"/>
          <w:szCs w:val="24"/>
          <w:shd w:val="clear" w:color="auto" w:fill="FFFFFF"/>
        </w:rPr>
      </w:pPr>
      <w:r w:rsidRPr="005E579A">
        <w:rPr>
          <w:rFonts w:ascii="Arial Narrow" w:hAnsi="Arial Narrow" w:cs="Arial"/>
          <w:sz w:val="24"/>
          <w:szCs w:val="24"/>
          <w:shd w:val="clear" w:color="auto" w:fill="FFFFFF"/>
        </w:rPr>
        <w:t xml:space="preserve">La relación de la bolsa de valores radica en los diferentes aspectos en los negocios conjuntos puede ser que unos de los participe de las partes involucradas pone a la  venta su participación a terceros por diferentes aspectos falta de liquidez o simplemente el participe ya no tiene el interés necesario para seguir con la inversión que desde el momento posee cuando el participe lo pone a la  venta es allí donde participa la bolsa de valores en </w:t>
      </w:r>
      <w:r w:rsidR="005556FB" w:rsidRPr="005E579A">
        <w:rPr>
          <w:rFonts w:ascii="Arial Narrow" w:hAnsi="Arial Narrow" w:cs="Arial"/>
          <w:sz w:val="24"/>
          <w:szCs w:val="24"/>
          <w:shd w:val="clear" w:color="auto" w:fill="FFFFFF"/>
        </w:rPr>
        <w:t>qué</w:t>
      </w:r>
      <w:r w:rsidRPr="005E579A">
        <w:rPr>
          <w:rFonts w:ascii="Arial Narrow" w:hAnsi="Arial Narrow" w:cs="Arial"/>
          <w:sz w:val="24"/>
          <w:szCs w:val="24"/>
          <w:shd w:val="clear" w:color="auto" w:fill="FFFFFF"/>
        </w:rPr>
        <w:t xml:space="preserve"> sentido, puede adquirir su participación o la simplemente la venta de la acción a la respectiva  bolsa de valores del país. </w:t>
      </w:r>
    </w:p>
    <w:p w:rsidR="00574445" w:rsidRPr="005E579A" w:rsidRDefault="00574445" w:rsidP="00574445">
      <w:pPr>
        <w:spacing w:line="360" w:lineRule="auto"/>
        <w:jc w:val="both"/>
        <w:rPr>
          <w:rFonts w:ascii="Arial Narrow" w:hAnsi="Arial Narrow" w:cs="Arial"/>
          <w:sz w:val="24"/>
          <w:szCs w:val="24"/>
          <w:shd w:val="clear" w:color="auto" w:fill="FFFFFF"/>
        </w:rPr>
      </w:pPr>
      <w:r w:rsidRPr="005E579A">
        <w:rPr>
          <w:rFonts w:ascii="Arial Narrow" w:hAnsi="Arial Narrow" w:cs="Arial"/>
          <w:sz w:val="24"/>
          <w:szCs w:val="24"/>
          <w:shd w:val="clear" w:color="auto" w:fill="FFFFFF"/>
        </w:rPr>
        <w:t>Según como opera la bolsa de valores primero se efectuara en el mercado primario y respectivamente en el mercado secundario que  es una reventa de los valores requeridos de los inversionista hacia una entidad ya sea financiera o en el caso de la bolsa de valores</w:t>
      </w:r>
    </w:p>
    <w:p w:rsidR="008344FE" w:rsidRDefault="008344FE" w:rsidP="008344FE">
      <w:pPr>
        <w:rPr>
          <w:rFonts w:ascii="Arial Narrow" w:hAnsi="Arial Narrow"/>
          <w:b/>
          <w:bCs/>
          <w:sz w:val="24"/>
          <w:szCs w:val="24"/>
          <w:u w:val="single"/>
        </w:rPr>
      </w:pPr>
    </w:p>
    <w:p w:rsidR="008344FE" w:rsidRDefault="008344FE" w:rsidP="008344FE">
      <w:pPr>
        <w:rPr>
          <w:rFonts w:ascii="Arial Narrow" w:hAnsi="Arial Narrow"/>
          <w:b/>
          <w:bCs/>
          <w:sz w:val="24"/>
          <w:szCs w:val="24"/>
          <w:u w:val="single"/>
        </w:rPr>
      </w:pPr>
    </w:p>
    <w:p w:rsidR="008344FE" w:rsidRDefault="008344FE" w:rsidP="008344FE">
      <w:pPr>
        <w:rPr>
          <w:rFonts w:ascii="Arial Narrow" w:hAnsi="Arial Narrow"/>
          <w:b/>
          <w:bCs/>
          <w:sz w:val="24"/>
          <w:szCs w:val="24"/>
          <w:u w:val="single"/>
        </w:rPr>
      </w:pPr>
    </w:p>
    <w:p w:rsidR="008344FE" w:rsidRDefault="008344FE" w:rsidP="008344FE">
      <w:pPr>
        <w:rPr>
          <w:rFonts w:ascii="Arial Narrow" w:hAnsi="Arial Narrow"/>
          <w:b/>
          <w:bCs/>
          <w:sz w:val="24"/>
          <w:szCs w:val="24"/>
          <w:u w:val="single"/>
        </w:rPr>
      </w:pPr>
    </w:p>
    <w:p w:rsidR="008344FE" w:rsidRDefault="008344FE" w:rsidP="008344FE">
      <w:pPr>
        <w:rPr>
          <w:rFonts w:ascii="Arial Narrow" w:hAnsi="Arial Narrow"/>
          <w:b/>
          <w:bCs/>
          <w:sz w:val="24"/>
          <w:szCs w:val="24"/>
          <w:u w:val="single"/>
        </w:rPr>
      </w:pPr>
    </w:p>
    <w:p w:rsidR="008344FE" w:rsidRDefault="008344FE" w:rsidP="008344FE">
      <w:pPr>
        <w:rPr>
          <w:rFonts w:ascii="Arial Narrow" w:hAnsi="Arial Narrow"/>
          <w:b/>
          <w:bCs/>
          <w:sz w:val="24"/>
          <w:szCs w:val="24"/>
          <w:u w:val="single"/>
        </w:rPr>
      </w:pPr>
    </w:p>
    <w:p w:rsidR="00A66AFE" w:rsidRDefault="00A66AFE" w:rsidP="008344FE">
      <w:pPr>
        <w:rPr>
          <w:rFonts w:ascii="Arial Narrow" w:hAnsi="Arial Narrow"/>
          <w:b/>
          <w:bCs/>
          <w:sz w:val="24"/>
          <w:szCs w:val="24"/>
          <w:u w:val="single"/>
        </w:rPr>
      </w:pPr>
    </w:p>
    <w:p w:rsidR="008344FE" w:rsidRPr="008344FE" w:rsidRDefault="008344FE" w:rsidP="008344FE">
      <w:pPr>
        <w:rPr>
          <w:rFonts w:ascii="Arial Narrow" w:hAnsi="Arial Narrow"/>
          <w:b/>
          <w:bCs/>
          <w:sz w:val="24"/>
          <w:szCs w:val="24"/>
          <w:u w:val="single"/>
        </w:rPr>
      </w:pPr>
      <w:r w:rsidRPr="008344FE">
        <w:rPr>
          <w:rFonts w:ascii="Arial Narrow" w:hAnsi="Arial Narrow"/>
          <w:b/>
          <w:bCs/>
          <w:sz w:val="24"/>
          <w:szCs w:val="24"/>
          <w:u w:val="single"/>
        </w:rPr>
        <w:lastRenderedPageBreak/>
        <w:t>NIC 32</w:t>
      </w:r>
      <w:r>
        <w:rPr>
          <w:rFonts w:ascii="Arial Narrow" w:hAnsi="Arial Narrow"/>
          <w:b/>
          <w:bCs/>
          <w:sz w:val="24"/>
          <w:szCs w:val="24"/>
          <w:u w:val="single"/>
        </w:rPr>
        <w:t xml:space="preserve"> </w:t>
      </w:r>
      <w:r w:rsidRPr="008344FE">
        <w:rPr>
          <w:rFonts w:ascii="Arial Narrow" w:hAnsi="Arial Narrow"/>
          <w:b/>
          <w:bCs/>
          <w:sz w:val="24"/>
          <w:szCs w:val="24"/>
          <w:u w:val="single"/>
        </w:rPr>
        <w:t>Norma Internacional</w:t>
      </w:r>
      <w:r>
        <w:rPr>
          <w:rFonts w:ascii="Arial Narrow" w:hAnsi="Arial Narrow"/>
          <w:b/>
          <w:bCs/>
          <w:sz w:val="24"/>
          <w:szCs w:val="24"/>
          <w:u w:val="single"/>
        </w:rPr>
        <w:t xml:space="preserve"> de </w:t>
      </w:r>
      <w:r w:rsidRPr="008344FE">
        <w:rPr>
          <w:rFonts w:ascii="Arial Narrow" w:hAnsi="Arial Narrow"/>
          <w:b/>
          <w:bCs/>
          <w:sz w:val="24"/>
          <w:szCs w:val="24"/>
          <w:u w:val="single"/>
        </w:rPr>
        <w:t xml:space="preserve">contabilidad - </w:t>
      </w:r>
      <w:r>
        <w:rPr>
          <w:rFonts w:ascii="Arial Narrow" w:hAnsi="Arial Narrow"/>
          <w:b/>
          <w:bCs/>
          <w:sz w:val="24"/>
          <w:szCs w:val="24"/>
          <w:u w:val="single"/>
        </w:rPr>
        <w:t>Instrumentos Financieros: P</w:t>
      </w:r>
      <w:r w:rsidRPr="008344FE">
        <w:rPr>
          <w:rFonts w:ascii="Arial Narrow" w:hAnsi="Arial Narrow"/>
          <w:b/>
          <w:bCs/>
          <w:sz w:val="24"/>
          <w:szCs w:val="24"/>
          <w:u w:val="single"/>
        </w:rPr>
        <w:t>resentaci</w:t>
      </w:r>
      <w:r>
        <w:rPr>
          <w:rFonts w:ascii="Arial Narrow" w:hAnsi="Arial Narrow"/>
          <w:b/>
          <w:bCs/>
          <w:sz w:val="24"/>
          <w:szCs w:val="24"/>
          <w:u w:val="single"/>
        </w:rPr>
        <w:t>ón e Información a R</w:t>
      </w:r>
      <w:r w:rsidRPr="008344FE">
        <w:rPr>
          <w:rFonts w:ascii="Arial Narrow" w:hAnsi="Arial Narrow"/>
          <w:b/>
          <w:bCs/>
          <w:sz w:val="24"/>
          <w:szCs w:val="24"/>
          <w:u w:val="single"/>
        </w:rPr>
        <w:t>evelar.</w:t>
      </w:r>
    </w:p>
    <w:p w:rsidR="00574445" w:rsidRPr="005E579A" w:rsidRDefault="00574445" w:rsidP="00574445">
      <w:pPr>
        <w:spacing w:line="360" w:lineRule="auto"/>
        <w:jc w:val="both"/>
        <w:rPr>
          <w:rFonts w:ascii="Arial Narrow" w:hAnsi="Arial Narrow" w:cs="Arial"/>
          <w:sz w:val="24"/>
          <w:szCs w:val="24"/>
        </w:rPr>
      </w:pPr>
      <w:r w:rsidRPr="005E579A">
        <w:rPr>
          <w:rFonts w:ascii="Arial Narrow" w:hAnsi="Arial Narrow" w:cs="Arial"/>
          <w:sz w:val="24"/>
          <w:szCs w:val="24"/>
        </w:rPr>
        <w:t>9. Existen diversas formas por las que un contrato de compra o de venta de elementos no financieros puede liquidarse por el importe neto, en efectivo o en otro instrumento financiero, o mediante el intercambio de instrumentos financieros</w:t>
      </w:r>
    </w:p>
    <w:p w:rsidR="00574445" w:rsidRPr="005E579A" w:rsidRDefault="00574445" w:rsidP="00574445">
      <w:pPr>
        <w:spacing w:line="360" w:lineRule="auto"/>
        <w:jc w:val="both"/>
        <w:rPr>
          <w:rFonts w:ascii="Arial Narrow" w:hAnsi="Arial Narrow" w:cs="Arial"/>
          <w:sz w:val="24"/>
          <w:szCs w:val="24"/>
        </w:rPr>
      </w:pPr>
      <w:r w:rsidRPr="005E579A">
        <w:rPr>
          <w:rFonts w:ascii="Arial Narrow" w:hAnsi="Arial Narrow" w:cs="Arial"/>
          <w:sz w:val="24"/>
          <w:szCs w:val="24"/>
        </w:rPr>
        <w:t xml:space="preserve">13. En esta Norma, los términos "contrato" y "contractual" hacen referencia a un acuerdo entre dos o más partes que produce, a las partes implicadas, claras consecuencias económicas que tienen poca o ninguna capacidad de evitar, ya que el cumplimiento del acuerdo es exigible legalmente. </w:t>
      </w:r>
      <w:r w:rsidR="009D0CA1">
        <w:rPr>
          <w:rFonts w:ascii="Arial Narrow" w:hAnsi="Arial Narrow" w:cs="Arial"/>
          <w:sz w:val="24"/>
          <w:szCs w:val="24"/>
        </w:rPr>
        <w:t xml:space="preserve"> </w:t>
      </w:r>
      <w:r w:rsidRPr="005E579A">
        <w:rPr>
          <w:rFonts w:ascii="Arial Narrow" w:hAnsi="Arial Narrow" w:cs="Arial"/>
          <w:sz w:val="24"/>
          <w:szCs w:val="24"/>
        </w:rPr>
        <w:t>Los contratos, y por tanto los instrumentos financieros asociados, pueden adoptar una gran variedad de formas y no precisan ser fijados por escrito.</w:t>
      </w:r>
    </w:p>
    <w:p w:rsidR="00574445" w:rsidRPr="005E579A" w:rsidRDefault="00574445" w:rsidP="00574445">
      <w:pPr>
        <w:spacing w:line="360" w:lineRule="auto"/>
        <w:jc w:val="both"/>
        <w:rPr>
          <w:rFonts w:ascii="Arial Narrow" w:hAnsi="Arial Narrow" w:cs="Arial"/>
          <w:sz w:val="24"/>
          <w:szCs w:val="24"/>
        </w:rPr>
      </w:pPr>
      <w:r w:rsidRPr="005E579A">
        <w:rPr>
          <w:rFonts w:ascii="Arial Narrow" w:hAnsi="Arial Narrow" w:cs="Arial"/>
          <w:sz w:val="24"/>
          <w:szCs w:val="24"/>
        </w:rPr>
        <w:t>Obligación no contractual de entregar efectivo u otro activo financiero</w:t>
      </w:r>
    </w:p>
    <w:p w:rsidR="00574445" w:rsidRPr="005E579A" w:rsidRDefault="00574445" w:rsidP="00574445">
      <w:pPr>
        <w:spacing w:line="360" w:lineRule="auto"/>
        <w:jc w:val="both"/>
        <w:rPr>
          <w:rFonts w:ascii="Arial Narrow" w:hAnsi="Arial Narrow" w:cs="Arial"/>
          <w:sz w:val="24"/>
          <w:szCs w:val="24"/>
        </w:rPr>
      </w:pPr>
      <w:r w:rsidRPr="005E579A">
        <w:rPr>
          <w:rFonts w:ascii="Arial Narrow" w:hAnsi="Arial Narrow" w:cs="Arial"/>
          <w:sz w:val="24"/>
          <w:szCs w:val="24"/>
        </w:rPr>
        <w:t xml:space="preserve"> 17. Un elemento clave para diferenciar un pasivo financiero de un instrumento de patrimonio, es la existencia de una obligación contractual, que recae sobre una de las partes implicadas en el instrumento financiero (el emisor), consistente en entregar efectivo u otro activo financiero a la otra parte (el tenedor), o intercambiar activos financieros o pasivos financieros con el tenedor en condiciones que sean potencialmente desfavorables para el emisor. Aunque el tenedor de un instrumento de patrimonio pueda tener derecho a recibir una proporción de los dividendos o de otros repartos de partidas del patrimonio, el emisor no tendrá la obligación contractual de realizar dichos repartos, porque no puede ser requerido para que entregue efectivo u otro activo financiero a la otra parte.</w:t>
      </w:r>
    </w:p>
    <w:p w:rsidR="00574445" w:rsidRPr="005E579A" w:rsidRDefault="00574445" w:rsidP="00574445">
      <w:pPr>
        <w:spacing w:line="360" w:lineRule="auto"/>
        <w:jc w:val="both"/>
        <w:rPr>
          <w:rFonts w:ascii="Arial Narrow" w:hAnsi="Arial Narrow" w:cs="Arial"/>
          <w:sz w:val="24"/>
          <w:szCs w:val="24"/>
        </w:rPr>
      </w:pPr>
      <w:r w:rsidRPr="005E579A">
        <w:rPr>
          <w:rFonts w:ascii="Arial Narrow" w:hAnsi="Arial Narrow" w:cs="Arial"/>
          <w:sz w:val="24"/>
          <w:szCs w:val="24"/>
        </w:rPr>
        <w:t>19. Si la entidad no tuviese un derecho incondicional de evitar la entrega de efectivo u otro activo financiero con el objetivo de liquidar una obligación contractual, esta obligación cumplirá la definición de</w:t>
      </w:r>
      <w:r w:rsidR="007164BB">
        <w:rPr>
          <w:rFonts w:ascii="Arial Narrow" w:hAnsi="Arial Narrow" w:cs="Arial"/>
          <w:sz w:val="24"/>
          <w:szCs w:val="24"/>
        </w:rPr>
        <w:t xml:space="preserve"> pasivo financiero. </w:t>
      </w:r>
    </w:p>
    <w:p w:rsidR="00A66AFE" w:rsidRDefault="00A66AFE" w:rsidP="00574445">
      <w:pPr>
        <w:spacing w:line="360" w:lineRule="auto"/>
        <w:jc w:val="both"/>
        <w:rPr>
          <w:rFonts w:ascii="Arial Narrow" w:hAnsi="Arial Narrow" w:cs="Arial"/>
          <w:sz w:val="24"/>
          <w:szCs w:val="24"/>
        </w:rPr>
      </w:pPr>
    </w:p>
    <w:p w:rsidR="00A66AFE" w:rsidRDefault="00A66AFE" w:rsidP="00574445">
      <w:pPr>
        <w:spacing w:line="360" w:lineRule="auto"/>
        <w:jc w:val="both"/>
        <w:rPr>
          <w:rFonts w:ascii="Arial Narrow" w:hAnsi="Arial Narrow" w:cs="Arial"/>
          <w:sz w:val="24"/>
          <w:szCs w:val="24"/>
        </w:rPr>
      </w:pPr>
    </w:p>
    <w:p w:rsidR="00A66AFE" w:rsidRDefault="00A66AFE" w:rsidP="00574445">
      <w:pPr>
        <w:spacing w:line="360" w:lineRule="auto"/>
        <w:jc w:val="both"/>
        <w:rPr>
          <w:rFonts w:ascii="Arial Narrow" w:hAnsi="Arial Narrow" w:cs="Arial"/>
          <w:sz w:val="24"/>
          <w:szCs w:val="24"/>
        </w:rPr>
      </w:pPr>
    </w:p>
    <w:p w:rsidR="00574445" w:rsidRPr="005E579A" w:rsidRDefault="00574445" w:rsidP="00574445">
      <w:pPr>
        <w:spacing w:line="360" w:lineRule="auto"/>
        <w:jc w:val="both"/>
        <w:rPr>
          <w:rFonts w:ascii="Arial Narrow" w:hAnsi="Arial Narrow" w:cs="Arial"/>
          <w:sz w:val="24"/>
          <w:szCs w:val="24"/>
        </w:rPr>
      </w:pPr>
      <w:r w:rsidRPr="005E579A">
        <w:rPr>
          <w:rFonts w:ascii="Arial Narrow" w:hAnsi="Arial Narrow" w:cs="Arial"/>
          <w:sz w:val="24"/>
          <w:szCs w:val="24"/>
        </w:rPr>
        <w:lastRenderedPageBreak/>
        <w:t>Cláusulas de liquidación contingente</w:t>
      </w:r>
    </w:p>
    <w:p w:rsidR="00574445" w:rsidRPr="008344FE" w:rsidRDefault="00574445" w:rsidP="008344FE">
      <w:pPr>
        <w:spacing w:line="360" w:lineRule="auto"/>
        <w:jc w:val="both"/>
        <w:rPr>
          <w:rFonts w:ascii="Arial Narrow" w:hAnsi="Arial Narrow" w:cs="Arial"/>
          <w:sz w:val="24"/>
          <w:szCs w:val="24"/>
          <w:u w:val="single"/>
        </w:rPr>
      </w:pPr>
      <w:r w:rsidRPr="005E579A">
        <w:rPr>
          <w:rFonts w:ascii="Arial Narrow" w:hAnsi="Arial Narrow" w:cs="Arial"/>
          <w:sz w:val="24"/>
          <w:szCs w:val="24"/>
        </w:rPr>
        <w:t xml:space="preserve">25. Un instrumento financiero puede obligar a la entidad a entregar efectivo u otro activo financiero, o bien </w:t>
      </w:r>
      <w:r w:rsidR="005556FB" w:rsidRPr="005E579A">
        <w:rPr>
          <w:rFonts w:ascii="Arial Narrow" w:hAnsi="Arial Narrow" w:cs="Arial"/>
          <w:sz w:val="24"/>
          <w:szCs w:val="24"/>
        </w:rPr>
        <w:t>liquidarlo</w:t>
      </w:r>
      <w:r w:rsidRPr="005E579A">
        <w:rPr>
          <w:rFonts w:ascii="Arial Narrow" w:hAnsi="Arial Narrow" w:cs="Arial"/>
          <w:sz w:val="24"/>
          <w:szCs w:val="24"/>
        </w:rPr>
        <w:t xml:space="preserve"> como si fuera un pasivo financiero, en caso de que ocurra o no, algún evento futuro incierto (o </w:t>
      </w:r>
      <w:r w:rsidR="005556FB" w:rsidRPr="005E579A">
        <w:rPr>
          <w:rFonts w:ascii="Arial Narrow" w:hAnsi="Arial Narrow" w:cs="Arial"/>
          <w:sz w:val="24"/>
          <w:szCs w:val="24"/>
        </w:rPr>
        <w:t>en función</w:t>
      </w:r>
      <w:r w:rsidRPr="005E579A">
        <w:rPr>
          <w:rFonts w:ascii="Arial Narrow" w:hAnsi="Arial Narrow" w:cs="Arial"/>
          <w:sz w:val="24"/>
          <w:szCs w:val="24"/>
        </w:rPr>
        <w:t xml:space="preserve"> del resultado de circunstancias inciertas) que esté fuera del control tanto del emisor como </w:t>
      </w:r>
      <w:r w:rsidR="005556FB" w:rsidRPr="005E579A">
        <w:rPr>
          <w:rFonts w:ascii="Arial Narrow" w:hAnsi="Arial Narrow" w:cs="Arial"/>
          <w:sz w:val="24"/>
          <w:szCs w:val="24"/>
        </w:rPr>
        <w:t>detenedor</w:t>
      </w:r>
      <w:r w:rsidRPr="005E579A">
        <w:rPr>
          <w:rFonts w:ascii="Arial Narrow" w:hAnsi="Arial Narrow" w:cs="Arial"/>
          <w:sz w:val="24"/>
          <w:szCs w:val="24"/>
        </w:rPr>
        <w:t xml:space="preserve"> del instrumento, como, por ejemplo, los cambios en un índice bursátil de acciones, en un índice </w:t>
      </w:r>
      <w:r w:rsidR="005556FB" w:rsidRPr="005E579A">
        <w:rPr>
          <w:rFonts w:ascii="Arial Narrow" w:hAnsi="Arial Narrow" w:cs="Arial"/>
          <w:sz w:val="24"/>
          <w:szCs w:val="24"/>
        </w:rPr>
        <w:t>de precios</w:t>
      </w:r>
      <w:r w:rsidRPr="005E579A">
        <w:rPr>
          <w:rFonts w:ascii="Arial Narrow" w:hAnsi="Arial Narrow" w:cs="Arial"/>
          <w:sz w:val="24"/>
          <w:szCs w:val="24"/>
        </w:rPr>
        <w:t xml:space="preserve"> al consumo, en un tipo de interés o en determinados requerimientos fiscales, o bien en los niveles </w:t>
      </w:r>
      <w:r w:rsidR="005556FB" w:rsidRPr="005E579A">
        <w:rPr>
          <w:rFonts w:ascii="Arial Narrow" w:hAnsi="Arial Narrow" w:cs="Arial"/>
          <w:sz w:val="24"/>
          <w:szCs w:val="24"/>
        </w:rPr>
        <w:t>de ingresos</w:t>
      </w:r>
      <w:r w:rsidRPr="005E579A">
        <w:rPr>
          <w:rFonts w:ascii="Arial Narrow" w:hAnsi="Arial Narrow" w:cs="Arial"/>
          <w:sz w:val="24"/>
          <w:szCs w:val="24"/>
        </w:rPr>
        <w:t xml:space="preserve"> ordinarios futuros del emisor, en los ingresos netos o en el coeficiente deuda - patrimonio </w:t>
      </w:r>
      <w:r w:rsidR="005556FB" w:rsidRPr="005E579A">
        <w:rPr>
          <w:rFonts w:ascii="Arial Narrow" w:hAnsi="Arial Narrow" w:cs="Arial"/>
          <w:sz w:val="24"/>
          <w:szCs w:val="24"/>
        </w:rPr>
        <w:t>del emisor</w:t>
      </w:r>
      <w:r w:rsidRPr="005E579A">
        <w:rPr>
          <w:rFonts w:ascii="Arial Narrow" w:hAnsi="Arial Narrow" w:cs="Arial"/>
          <w:sz w:val="24"/>
          <w:szCs w:val="24"/>
        </w:rPr>
        <w:t xml:space="preserve">. El emisor de este instrumento no tendrá el derecho incondicional de evitar la entrega de efectivo </w:t>
      </w:r>
      <w:r w:rsidR="005556FB" w:rsidRPr="005E579A">
        <w:rPr>
          <w:rFonts w:ascii="Arial Narrow" w:hAnsi="Arial Narrow" w:cs="Arial"/>
          <w:sz w:val="24"/>
          <w:szCs w:val="24"/>
        </w:rPr>
        <w:t>u otro</w:t>
      </w:r>
      <w:r w:rsidRPr="005E579A">
        <w:rPr>
          <w:rFonts w:ascii="Arial Narrow" w:hAnsi="Arial Narrow" w:cs="Arial"/>
          <w:sz w:val="24"/>
          <w:szCs w:val="24"/>
        </w:rPr>
        <w:t xml:space="preserve"> activo financiero (ni de liquidar el instrumento como si fuera un pasivo financiero). Por tanto, será </w:t>
      </w:r>
      <w:r w:rsidR="005556FB" w:rsidRPr="005E579A">
        <w:rPr>
          <w:rFonts w:ascii="Arial Narrow" w:hAnsi="Arial Narrow" w:cs="Arial"/>
          <w:sz w:val="24"/>
          <w:szCs w:val="24"/>
        </w:rPr>
        <w:t>un pasivo</w:t>
      </w:r>
      <w:r w:rsidRPr="005E579A">
        <w:rPr>
          <w:rFonts w:ascii="Arial Narrow" w:hAnsi="Arial Narrow" w:cs="Arial"/>
          <w:sz w:val="24"/>
          <w:szCs w:val="24"/>
        </w:rPr>
        <w:t xml:space="preserve"> financiero para el emisor, a menos que:</w:t>
      </w:r>
    </w:p>
    <w:p w:rsidR="00574445" w:rsidRPr="008344FE" w:rsidRDefault="008344FE" w:rsidP="008344FE">
      <w:pPr>
        <w:spacing w:line="360" w:lineRule="auto"/>
        <w:jc w:val="center"/>
        <w:rPr>
          <w:rFonts w:ascii="Arial Narrow" w:hAnsi="Arial Narrow" w:cs="Arial"/>
          <w:b/>
          <w:sz w:val="24"/>
          <w:szCs w:val="24"/>
          <w:u w:val="single"/>
        </w:rPr>
      </w:pPr>
      <w:r w:rsidRPr="008344FE">
        <w:rPr>
          <w:rFonts w:ascii="Arial Narrow" w:hAnsi="Arial Narrow" w:cs="Arial"/>
          <w:b/>
          <w:sz w:val="24"/>
          <w:szCs w:val="24"/>
          <w:u w:val="single"/>
        </w:rPr>
        <w:t>ANÁLISIS</w:t>
      </w:r>
    </w:p>
    <w:p w:rsidR="00574445" w:rsidRPr="005E579A" w:rsidRDefault="00574445" w:rsidP="00574445">
      <w:pPr>
        <w:spacing w:line="360" w:lineRule="auto"/>
        <w:jc w:val="both"/>
        <w:rPr>
          <w:rFonts w:ascii="Arial Narrow" w:hAnsi="Arial Narrow" w:cs="Arial"/>
          <w:sz w:val="24"/>
          <w:szCs w:val="24"/>
        </w:rPr>
      </w:pPr>
      <w:r w:rsidRPr="005E579A">
        <w:rPr>
          <w:rFonts w:ascii="Arial Narrow" w:hAnsi="Arial Narrow" w:cs="Arial"/>
          <w:sz w:val="24"/>
          <w:szCs w:val="24"/>
        </w:rPr>
        <w:t>Instrumentos financieros los compromisos de los inversionistas, accionistas y todos  aquellos participe que se encuentran involucrados en una entidad financiera cuando la entidad se encuentra insolvente con sus compromisos ya sea que u</w:t>
      </w:r>
      <w:r w:rsidR="009C4B7B">
        <w:rPr>
          <w:rFonts w:ascii="Arial Narrow" w:hAnsi="Arial Narrow" w:cs="Arial"/>
          <w:sz w:val="24"/>
          <w:szCs w:val="24"/>
        </w:rPr>
        <w:t>n</w:t>
      </w:r>
      <w:r w:rsidRPr="005E579A">
        <w:rPr>
          <w:rFonts w:ascii="Arial Narrow" w:hAnsi="Arial Narrow" w:cs="Arial"/>
          <w:sz w:val="24"/>
          <w:szCs w:val="24"/>
        </w:rPr>
        <w:t xml:space="preserve"> inversionista no cumpla con sus responsabilidades o el simple de tener desacuerdos en la entidad  con los pagos de sus obligaciones y responsabilidades en ocasiones se habré la compra y venta de activos la mayoría de los casos es financiado por la bolsa de valores que  a su vez  está la compra y venta de los mismo cuando entidad financiera participa dentro del capital de la entidad cuando la entidad financiada no sale con sus compromisos esta puede ser obligada directa o indirectamente ceder parte de sus activos según el párrafo 25  de las clausulas contingentes ya sea que el emisor está fuera de control del tenedor del instrumento como por ejemplos los cambios bursátiles de acciones que es en </w:t>
      </w:r>
      <w:r w:rsidR="005556FB" w:rsidRPr="005E579A">
        <w:rPr>
          <w:rFonts w:ascii="Arial Narrow" w:hAnsi="Arial Narrow" w:cs="Arial"/>
          <w:sz w:val="24"/>
          <w:szCs w:val="24"/>
        </w:rPr>
        <w:t>sí</w:t>
      </w:r>
      <w:r w:rsidRPr="005E579A">
        <w:rPr>
          <w:rFonts w:ascii="Arial Narrow" w:hAnsi="Arial Narrow" w:cs="Arial"/>
          <w:sz w:val="24"/>
          <w:szCs w:val="24"/>
        </w:rPr>
        <w:t xml:space="preserve"> las transparencia de todos esos cambios y compromisos de la entidad ya sea por el financiamiento o por los activos cedido. </w:t>
      </w:r>
    </w:p>
    <w:p w:rsidR="00574445" w:rsidRDefault="00574445" w:rsidP="00574445">
      <w:pPr>
        <w:spacing w:line="360" w:lineRule="auto"/>
        <w:jc w:val="both"/>
        <w:rPr>
          <w:rFonts w:ascii="Arial Narrow" w:hAnsi="Arial Narrow" w:cs="Arial"/>
          <w:sz w:val="24"/>
          <w:szCs w:val="24"/>
        </w:rPr>
      </w:pPr>
    </w:p>
    <w:p w:rsidR="009D0CA1" w:rsidRDefault="009D0CA1" w:rsidP="00574445">
      <w:pPr>
        <w:spacing w:line="360" w:lineRule="auto"/>
        <w:jc w:val="both"/>
        <w:rPr>
          <w:rFonts w:ascii="Arial Narrow" w:hAnsi="Arial Narrow" w:cs="Arial"/>
          <w:sz w:val="24"/>
          <w:szCs w:val="24"/>
        </w:rPr>
      </w:pPr>
    </w:p>
    <w:p w:rsidR="00A66AFE" w:rsidRDefault="00A66AFE" w:rsidP="00A66AFE">
      <w:pPr>
        <w:rPr>
          <w:rFonts w:ascii="Arial Narrow" w:hAnsi="Arial Narrow" w:cs="Arial"/>
          <w:sz w:val="24"/>
          <w:szCs w:val="24"/>
        </w:rPr>
      </w:pPr>
    </w:p>
    <w:p w:rsidR="009D0CA1" w:rsidRPr="00A66AFE" w:rsidRDefault="009D0CA1" w:rsidP="00A66AFE">
      <w:pPr>
        <w:rPr>
          <w:rFonts w:ascii="Arial Narrow" w:hAnsi="Arial Narrow"/>
          <w:b/>
          <w:bCs/>
          <w:sz w:val="24"/>
          <w:szCs w:val="24"/>
          <w:u w:val="single"/>
        </w:rPr>
      </w:pPr>
      <w:r w:rsidRPr="009D0CA1">
        <w:rPr>
          <w:rFonts w:ascii="Arial Narrow" w:hAnsi="Arial Narrow"/>
          <w:b/>
          <w:bCs/>
          <w:sz w:val="24"/>
          <w:szCs w:val="24"/>
          <w:u w:val="single"/>
        </w:rPr>
        <w:lastRenderedPageBreak/>
        <w:t xml:space="preserve">NIC 39 Norma Internacional de Contabilidad - </w:t>
      </w:r>
      <w:r w:rsidRPr="009D0CA1">
        <w:rPr>
          <w:rFonts w:ascii="Arial Narrow" w:hAnsi="Arial Narrow"/>
          <w:b/>
          <w:sz w:val="24"/>
          <w:szCs w:val="24"/>
          <w:u w:val="single"/>
        </w:rPr>
        <w:t>Instrumentos financieros: Reconocimiento y medición</w:t>
      </w:r>
      <w:r w:rsidRPr="009D0CA1">
        <w:rPr>
          <w:rFonts w:ascii="Arial Narrow" w:hAnsi="Arial Narrow"/>
          <w:b/>
          <w:bCs/>
          <w:sz w:val="24"/>
          <w:szCs w:val="24"/>
          <w:u w:val="single"/>
        </w:rPr>
        <w:t>.</w:t>
      </w:r>
    </w:p>
    <w:p w:rsidR="009D0CA1" w:rsidRPr="009D0CA1" w:rsidRDefault="009D0CA1" w:rsidP="009D0CA1">
      <w:pPr>
        <w:autoSpaceDE w:val="0"/>
        <w:autoSpaceDN w:val="0"/>
        <w:adjustRightInd w:val="0"/>
        <w:spacing w:after="0" w:line="360" w:lineRule="auto"/>
        <w:jc w:val="both"/>
        <w:rPr>
          <w:rFonts w:ascii="Arial Narrow" w:hAnsi="Arial Narrow" w:cs="Arial"/>
          <w:color w:val="000000"/>
          <w:sz w:val="24"/>
          <w:szCs w:val="24"/>
        </w:rPr>
      </w:pPr>
      <w:r>
        <w:rPr>
          <w:rFonts w:ascii="Arial Narrow" w:hAnsi="Arial Narrow" w:cs="Arial"/>
          <w:color w:val="000000"/>
          <w:sz w:val="24"/>
          <w:szCs w:val="24"/>
        </w:rPr>
        <w:t xml:space="preserve">Alcance </w:t>
      </w:r>
    </w:p>
    <w:p w:rsidR="009D0CA1" w:rsidRPr="009D0CA1" w:rsidRDefault="009D0CA1" w:rsidP="009D0CA1">
      <w:pPr>
        <w:autoSpaceDE w:val="0"/>
        <w:autoSpaceDN w:val="0"/>
        <w:adjustRightInd w:val="0"/>
        <w:spacing w:after="0" w:line="360" w:lineRule="auto"/>
        <w:ind w:left="1133" w:hanging="425"/>
        <w:jc w:val="both"/>
        <w:rPr>
          <w:rFonts w:ascii="Arial Narrow" w:hAnsi="Arial Narrow" w:cs="Arial"/>
          <w:color w:val="000000"/>
          <w:sz w:val="24"/>
          <w:szCs w:val="24"/>
        </w:rPr>
      </w:pPr>
      <w:r w:rsidRPr="009D0CA1">
        <w:rPr>
          <w:rFonts w:ascii="Arial Narrow" w:hAnsi="Arial Narrow" w:cs="Arial"/>
          <w:bCs/>
          <w:iCs/>
          <w:color w:val="000000"/>
          <w:sz w:val="24"/>
          <w:szCs w:val="24"/>
        </w:rPr>
        <w:t xml:space="preserve">(g) Contratos entre la entidad adquirente y un vendedor, en una combinación de negocios, con el objeto de comprar o vender una entidad adquirida, en una fecha futura. </w:t>
      </w:r>
    </w:p>
    <w:p w:rsidR="009D0CA1" w:rsidRPr="009D0CA1" w:rsidRDefault="009D0CA1" w:rsidP="009D0CA1">
      <w:pPr>
        <w:autoSpaceDE w:val="0"/>
        <w:autoSpaceDN w:val="0"/>
        <w:adjustRightInd w:val="0"/>
        <w:spacing w:after="0" w:line="360" w:lineRule="auto"/>
        <w:ind w:left="1185" w:hanging="465"/>
        <w:jc w:val="both"/>
        <w:rPr>
          <w:rFonts w:ascii="Arial Narrow" w:hAnsi="Arial Narrow" w:cs="Arial"/>
          <w:color w:val="000000"/>
          <w:sz w:val="24"/>
          <w:szCs w:val="24"/>
        </w:rPr>
      </w:pPr>
      <w:r w:rsidRPr="009D0CA1">
        <w:rPr>
          <w:rFonts w:ascii="Arial Narrow" w:hAnsi="Arial Narrow" w:cs="Arial"/>
          <w:bCs/>
          <w:iCs/>
          <w:color w:val="000000"/>
          <w:sz w:val="24"/>
          <w:szCs w:val="24"/>
        </w:rPr>
        <w:t xml:space="preserve">(h) Compromisos de préstamo diferentes a los descritos en el párrafo 4. El emisor de un compromiso de préstamo aplicará la NIC 37 a los que no estén dentro del alcance de esta Norma. No obstante, todos los compromisos de préstamo estarán sujetos a las exigencias de baja en cuentas que figuran en esta Norma (véanse los párrafos 15 a 42 de la Norma y los párrafos GA36 a GA63 del Apéndice A). </w:t>
      </w:r>
    </w:p>
    <w:p w:rsidR="009D0CA1" w:rsidRPr="009D0CA1" w:rsidRDefault="009D0CA1" w:rsidP="009D0CA1">
      <w:pPr>
        <w:autoSpaceDE w:val="0"/>
        <w:autoSpaceDN w:val="0"/>
        <w:adjustRightInd w:val="0"/>
        <w:spacing w:after="0" w:line="360" w:lineRule="auto"/>
        <w:ind w:left="1185" w:hanging="465"/>
        <w:jc w:val="both"/>
        <w:rPr>
          <w:rFonts w:ascii="Arial Narrow" w:hAnsi="Arial Narrow" w:cs="Arial"/>
          <w:color w:val="000000"/>
          <w:sz w:val="24"/>
          <w:szCs w:val="24"/>
        </w:rPr>
      </w:pPr>
      <w:r w:rsidRPr="009D0CA1">
        <w:rPr>
          <w:rFonts w:ascii="Arial Narrow" w:hAnsi="Arial Narrow" w:cs="Arial"/>
          <w:bCs/>
          <w:iCs/>
          <w:color w:val="000000"/>
          <w:sz w:val="24"/>
          <w:szCs w:val="24"/>
        </w:rPr>
        <w:t xml:space="preserve">(i) Instrumentos financieros, contratos y obligaciones derivados de transacciones con pagos basados en acciones a los que se aplique la NIIF 2 </w:t>
      </w:r>
      <w:r w:rsidRPr="009D0CA1">
        <w:rPr>
          <w:rFonts w:ascii="Arial Narrow" w:hAnsi="Arial Narrow" w:cs="Arial"/>
          <w:bCs/>
          <w:color w:val="000000"/>
          <w:sz w:val="24"/>
          <w:szCs w:val="24"/>
        </w:rPr>
        <w:t xml:space="preserve">Pagos basados en acciones, </w:t>
      </w:r>
      <w:r w:rsidRPr="009D0CA1">
        <w:rPr>
          <w:rFonts w:ascii="Arial Narrow" w:hAnsi="Arial Narrow" w:cs="Arial"/>
          <w:bCs/>
          <w:iCs/>
          <w:color w:val="000000"/>
          <w:sz w:val="24"/>
          <w:szCs w:val="24"/>
        </w:rPr>
        <w:t xml:space="preserve">excepto en el caso de los contratos que estén dentro del alcance de los párrafos 5 a 7 de la presente Norma, a los que se aplica la misma. </w:t>
      </w:r>
    </w:p>
    <w:p w:rsidR="009D0CA1" w:rsidRPr="009D0CA1" w:rsidRDefault="009D0CA1" w:rsidP="009D0CA1">
      <w:pPr>
        <w:spacing w:line="360" w:lineRule="auto"/>
        <w:jc w:val="both"/>
        <w:rPr>
          <w:rFonts w:ascii="Arial Narrow" w:hAnsi="Arial Narrow" w:cs="Arial"/>
          <w:bCs/>
          <w:iCs/>
          <w:color w:val="000000"/>
          <w:sz w:val="24"/>
          <w:szCs w:val="24"/>
        </w:rPr>
      </w:pPr>
      <w:r w:rsidRPr="009D0CA1">
        <w:rPr>
          <w:rFonts w:ascii="Arial Narrow" w:hAnsi="Arial Narrow" w:cs="Arial"/>
          <w:bCs/>
          <w:iCs/>
          <w:color w:val="000000"/>
          <w:sz w:val="24"/>
          <w:szCs w:val="24"/>
        </w:rPr>
        <w:t xml:space="preserve">(j) Derechos a recibir pagos para reembolsar a la entidad por desembolsos realizados para cancelar un pasivo que reconociese como una provisión de acuerdo con la NIC 37 </w:t>
      </w:r>
      <w:r w:rsidRPr="009D0CA1">
        <w:rPr>
          <w:rFonts w:ascii="Arial Narrow" w:hAnsi="Arial Narrow" w:cs="Arial"/>
          <w:bCs/>
          <w:color w:val="000000"/>
          <w:sz w:val="24"/>
          <w:szCs w:val="24"/>
        </w:rPr>
        <w:t>Provisiones, activos contingentes y pasivos contingentes</w:t>
      </w:r>
      <w:r w:rsidRPr="009D0CA1">
        <w:rPr>
          <w:rFonts w:ascii="Arial Narrow" w:hAnsi="Arial Narrow" w:cs="Arial"/>
          <w:bCs/>
          <w:iCs/>
          <w:color w:val="000000"/>
          <w:sz w:val="24"/>
          <w:szCs w:val="24"/>
        </w:rPr>
        <w:t>, o para el cual, en un periodo anterior, se hubiese reconocido una provisión de acuerdo con la NIC 37.</w:t>
      </w:r>
    </w:p>
    <w:p w:rsidR="009D0CA1" w:rsidRPr="009D0CA1" w:rsidRDefault="009D0CA1" w:rsidP="009D0CA1">
      <w:pPr>
        <w:spacing w:line="360" w:lineRule="auto"/>
        <w:jc w:val="both"/>
        <w:rPr>
          <w:rFonts w:ascii="Arial Narrow" w:hAnsi="Arial Narrow" w:cs="Arial"/>
          <w:sz w:val="24"/>
          <w:szCs w:val="24"/>
        </w:rPr>
      </w:pPr>
      <w:r w:rsidRPr="009D0CA1">
        <w:rPr>
          <w:rFonts w:ascii="Arial Narrow" w:hAnsi="Arial Narrow" w:cs="Arial"/>
          <w:sz w:val="24"/>
          <w:szCs w:val="24"/>
        </w:rPr>
        <w:t>4. Los siguientes compromisos de préstamo están dentro del alcance de esta Norma: (a) Compromisos de préstamo que la entidad designe como pasivos financieros a valor razonable con cambios en resultados. Una entidad que en el pasado haya vendido habitualmente compromisos de préstamo inmediatamente después de su nacimiento aplicará esta Norma a todos sus compromisos de préstamo de la misma clase</w:t>
      </w:r>
    </w:p>
    <w:p w:rsidR="009D0CA1" w:rsidRDefault="009D0CA1" w:rsidP="009D0CA1">
      <w:pPr>
        <w:spacing w:line="360" w:lineRule="auto"/>
        <w:jc w:val="both"/>
        <w:rPr>
          <w:rFonts w:ascii="Arial Narrow" w:hAnsi="Arial Narrow" w:cs="Arial"/>
          <w:sz w:val="24"/>
          <w:szCs w:val="24"/>
        </w:rPr>
      </w:pPr>
      <w:r w:rsidRPr="009D0CA1">
        <w:rPr>
          <w:rFonts w:ascii="Arial Narrow" w:hAnsi="Arial Narrow" w:cs="Arial"/>
          <w:sz w:val="24"/>
          <w:szCs w:val="24"/>
        </w:rPr>
        <w:t xml:space="preserve">5. Esta Norma se aplicará a los contratos de compra o venta de elementos no financieros que se liquiden por el neto en efectivo o en otro instrumento financiero, o mediante el intercambio de instrumentos financieros, como si esos contratos fueran instrumentos financieros, con la excepción de los contratos que se celebraron y se mantienen con el objetivo de recibir o entregar elementos no </w:t>
      </w:r>
      <w:r w:rsidRPr="009D0CA1">
        <w:rPr>
          <w:rFonts w:ascii="Arial Narrow" w:hAnsi="Arial Narrow" w:cs="Arial"/>
          <w:sz w:val="24"/>
          <w:szCs w:val="24"/>
        </w:rPr>
        <w:lastRenderedPageBreak/>
        <w:t>financieros de acuerdo con las compras, ventas o requerimientos de utilización esperados por la entidad.</w:t>
      </w:r>
    </w:p>
    <w:p w:rsidR="009D0CA1" w:rsidRPr="009D0CA1" w:rsidRDefault="009D0CA1" w:rsidP="009D0CA1">
      <w:pPr>
        <w:spacing w:line="360" w:lineRule="auto"/>
        <w:jc w:val="both"/>
        <w:rPr>
          <w:rFonts w:ascii="Arial Narrow" w:hAnsi="Arial Narrow" w:cs="Arial"/>
          <w:sz w:val="24"/>
          <w:szCs w:val="24"/>
        </w:rPr>
      </w:pPr>
      <w:r w:rsidRPr="009D0CA1">
        <w:rPr>
          <w:rFonts w:ascii="Arial Narrow" w:hAnsi="Arial Narrow" w:cs="Arial"/>
          <w:sz w:val="24"/>
          <w:szCs w:val="24"/>
        </w:rPr>
        <w:t>Definiciones de las cuatro categorías de instrumentos financieros</w:t>
      </w:r>
    </w:p>
    <w:p w:rsidR="009D0CA1" w:rsidRPr="009D0CA1" w:rsidRDefault="009D0CA1" w:rsidP="009D0CA1">
      <w:pPr>
        <w:spacing w:line="360" w:lineRule="auto"/>
        <w:jc w:val="both"/>
        <w:rPr>
          <w:rFonts w:ascii="Arial Narrow" w:hAnsi="Arial Narrow" w:cs="Arial"/>
          <w:sz w:val="24"/>
          <w:szCs w:val="24"/>
        </w:rPr>
      </w:pPr>
      <w:r w:rsidRPr="009D0CA1">
        <w:rPr>
          <w:rFonts w:ascii="Arial Narrow" w:hAnsi="Arial Narrow" w:cs="Arial"/>
          <w:sz w:val="24"/>
          <w:szCs w:val="24"/>
        </w:rPr>
        <w:t xml:space="preserve">a) Se clasifica como mantenido para negociar. Un activo o pasivo financiero se clasificará como mantenido para negociar si: </w:t>
      </w:r>
    </w:p>
    <w:p w:rsidR="009D0CA1" w:rsidRPr="009D0CA1" w:rsidRDefault="009D0CA1" w:rsidP="009D0CA1">
      <w:pPr>
        <w:spacing w:line="360" w:lineRule="auto"/>
        <w:jc w:val="both"/>
        <w:rPr>
          <w:rFonts w:ascii="Arial Narrow" w:hAnsi="Arial Narrow" w:cs="Arial"/>
          <w:sz w:val="24"/>
          <w:szCs w:val="24"/>
        </w:rPr>
      </w:pPr>
      <w:r w:rsidRPr="009D0CA1">
        <w:rPr>
          <w:rFonts w:ascii="Arial Narrow" w:hAnsi="Arial Narrow" w:cs="Arial"/>
          <w:sz w:val="24"/>
          <w:szCs w:val="24"/>
        </w:rPr>
        <w:t>(i) se adquiere o se incurre en él principalmente con el objetivo de venderlo o volver a comprarlo en un futuro inmediato.</w:t>
      </w:r>
    </w:p>
    <w:p w:rsidR="009D0CA1" w:rsidRPr="009D0CA1" w:rsidRDefault="009D0CA1" w:rsidP="009D0CA1">
      <w:pPr>
        <w:pStyle w:val="Prrafodelista"/>
        <w:numPr>
          <w:ilvl w:val="0"/>
          <w:numId w:val="10"/>
        </w:numPr>
        <w:spacing w:after="160" w:line="360" w:lineRule="auto"/>
        <w:jc w:val="both"/>
        <w:rPr>
          <w:rFonts w:ascii="Arial Narrow" w:hAnsi="Arial Narrow" w:cs="Arial"/>
          <w:sz w:val="24"/>
          <w:szCs w:val="24"/>
        </w:rPr>
      </w:pPr>
      <w:r w:rsidRPr="009D0CA1">
        <w:rPr>
          <w:rFonts w:ascii="Arial Narrow" w:hAnsi="Arial Narrow" w:cs="Arial"/>
          <w:sz w:val="24"/>
          <w:szCs w:val="24"/>
        </w:rPr>
        <w:t>Partidas cubiertas Partidas que cumplen los requisitos</w:t>
      </w:r>
    </w:p>
    <w:p w:rsidR="009D0CA1" w:rsidRPr="009D0CA1" w:rsidRDefault="009D0CA1" w:rsidP="009D0CA1">
      <w:pPr>
        <w:pStyle w:val="Prrafodelista"/>
        <w:spacing w:line="360" w:lineRule="auto"/>
        <w:jc w:val="both"/>
        <w:rPr>
          <w:rFonts w:ascii="Arial Narrow" w:hAnsi="Arial Narrow" w:cs="Arial"/>
          <w:sz w:val="24"/>
          <w:szCs w:val="24"/>
        </w:rPr>
      </w:pPr>
      <w:r w:rsidRPr="009D0CA1">
        <w:rPr>
          <w:rFonts w:ascii="Arial Narrow" w:hAnsi="Arial Narrow" w:cs="Arial"/>
          <w:sz w:val="24"/>
          <w:szCs w:val="24"/>
        </w:rPr>
        <w:t>A diferencia de los préstamos y partidas a cobrar, una inversión mantenida hasta el vencimiento no puede ser una partida cubierta respecto al riesgo de tipos de interés ni al riesgo de pago anticipado, porque la designación de una inversión mantenida hasta el vencimiento requiere la intención de retener la misma hasta su vencimiento, con independencia de los cambios en el valor razonable o en los flujos de efectivo de dicha inversión atribuibles a cambios en los tipos de interés. Sin embargo, una inversión mantenida hasta el vencimiento puede ser una partida cubierta respecto a los riesgos de cambios en los tipos de cambio o en el riesgo de crédito.</w:t>
      </w:r>
    </w:p>
    <w:p w:rsidR="009D0CA1" w:rsidRPr="009D0CA1" w:rsidRDefault="009D0CA1" w:rsidP="009D0CA1">
      <w:pPr>
        <w:pStyle w:val="Prrafodelista"/>
        <w:spacing w:line="360" w:lineRule="auto"/>
        <w:jc w:val="both"/>
        <w:rPr>
          <w:rFonts w:ascii="Arial Narrow" w:hAnsi="Arial Narrow" w:cs="Arial"/>
          <w:sz w:val="24"/>
          <w:szCs w:val="24"/>
        </w:rPr>
      </w:pPr>
    </w:p>
    <w:p w:rsidR="009D0CA1" w:rsidRPr="009D0CA1" w:rsidRDefault="009D0CA1" w:rsidP="009D0CA1">
      <w:pPr>
        <w:pStyle w:val="Prrafodelista"/>
        <w:spacing w:line="360" w:lineRule="auto"/>
        <w:jc w:val="both"/>
        <w:rPr>
          <w:rFonts w:ascii="Arial Narrow" w:hAnsi="Arial Narrow" w:cs="Arial"/>
          <w:sz w:val="24"/>
          <w:szCs w:val="24"/>
        </w:rPr>
      </w:pPr>
      <w:r w:rsidRPr="009D0CA1">
        <w:rPr>
          <w:rFonts w:ascii="Arial Narrow" w:hAnsi="Arial Narrow" w:cs="Arial"/>
          <w:sz w:val="24"/>
          <w:szCs w:val="24"/>
        </w:rPr>
        <w:t>Evaluación de la cesión de los riesgos y beneficios inherentes a la propiedad (párrafo 20) GA39. Ejemplos de cuándo una entidad ha cedido de manera sustancial todos los riesgos y beneficios inherentes a la propiedad son los siguientes: (a) la venta incondicional de un activo financiero; (b) la venta de un activo financiero conjuntamente con una opción de recompra del activo financiero por su valor razonable en el momento de la recompra; y (c) la venta de un activo financiero con una opción de compra o venta cuyo precio de ejercicio está muy fuera de dinero (es decir, la opción está tan fuera de dinero, esto es, tiene un precio de ejercicio tan desfavorable, que es altamente improbable que esté dentro de dinero—o lo que es igual, que el precio de ejercicio se vuelva favorable—antes de que expire el plazo).</w:t>
      </w:r>
    </w:p>
    <w:p w:rsidR="009D0CA1" w:rsidRDefault="009D0CA1" w:rsidP="009D0CA1">
      <w:pPr>
        <w:spacing w:line="360" w:lineRule="auto"/>
        <w:rPr>
          <w:rFonts w:ascii="Arial Narrow" w:hAnsi="Arial Narrow" w:cs="Arial"/>
          <w:sz w:val="24"/>
          <w:szCs w:val="24"/>
        </w:rPr>
      </w:pPr>
    </w:p>
    <w:p w:rsidR="009D0CA1" w:rsidRPr="009D0CA1" w:rsidRDefault="009D0CA1" w:rsidP="009D0CA1">
      <w:pPr>
        <w:spacing w:line="360" w:lineRule="auto"/>
        <w:jc w:val="center"/>
        <w:rPr>
          <w:rFonts w:ascii="Arial Narrow" w:hAnsi="Arial Narrow" w:cs="Arial"/>
          <w:b/>
          <w:sz w:val="24"/>
          <w:szCs w:val="24"/>
          <w:u w:val="single"/>
        </w:rPr>
      </w:pPr>
      <w:r w:rsidRPr="009D0CA1">
        <w:rPr>
          <w:rFonts w:ascii="Arial Narrow" w:hAnsi="Arial Narrow" w:cs="Arial"/>
          <w:b/>
          <w:sz w:val="24"/>
          <w:szCs w:val="24"/>
          <w:u w:val="single"/>
        </w:rPr>
        <w:lastRenderedPageBreak/>
        <w:t>ANALISIS</w:t>
      </w:r>
    </w:p>
    <w:p w:rsidR="009D0CA1" w:rsidRPr="009D0CA1" w:rsidRDefault="009D0CA1" w:rsidP="009D0CA1">
      <w:pPr>
        <w:spacing w:line="360" w:lineRule="auto"/>
        <w:jc w:val="both"/>
        <w:rPr>
          <w:rFonts w:ascii="Arial Narrow" w:hAnsi="Arial Narrow" w:cs="Arial"/>
          <w:sz w:val="24"/>
          <w:szCs w:val="24"/>
        </w:rPr>
      </w:pPr>
      <w:r w:rsidRPr="009D0CA1">
        <w:rPr>
          <w:rFonts w:ascii="Arial Narrow" w:hAnsi="Arial Narrow" w:cs="Arial"/>
          <w:sz w:val="24"/>
          <w:szCs w:val="24"/>
        </w:rPr>
        <w:t>Cada vez que exista un contrato entre dos parte involucradas ya sea el que cede parte de su capital o el inversionista que desee vender o comprar acciones dentro de una entidad , en ocasiones el inversionista da lugar a la inversión a la bolsa con respecto a las corredoras de bolsas ellas se encarga de hacer la operación y de llegar a  un acuerdo entre quien desea comparar valores y quienes invierten la empresa solo emita la proporción de las acciones correspondiente del inversionista, en ocasiones muchos inversionistas en el año se quedan sin salir con sus obligación dentro de la entidad en ese momento es donde ocasiona los préstamos, puede ser en algunos casos que hay inversionistas interesados en la compra de su participación y en ocasiones no allí es donde nace el ofrecimiento a público de las acciones de una entidad  o se dé la parte del financiamiento que es uno de las características que tiene la bolsa de valores ,cabe mencionar que existen leyes que la regulan y deben de cumplir diferentes parámetros para tener una relación por ejemplos el tipo de mercado y en si lo que se dedica la entidad para  la entidad lo reconocerá como un designe como pasivos financieros a valor razonable con cambios en resultados ya que existirá directamente una obligación ya que es financiada, ya sea que puso parte de sus activos como garantía o simplemente ya tiene parte en la participación y distribución de utilidades</w:t>
      </w:r>
    </w:p>
    <w:p w:rsidR="009D0CA1" w:rsidRPr="009D0CA1" w:rsidRDefault="009D0CA1" w:rsidP="009D0CA1">
      <w:pPr>
        <w:spacing w:line="360" w:lineRule="auto"/>
        <w:jc w:val="both"/>
        <w:rPr>
          <w:rFonts w:ascii="Arial Narrow" w:hAnsi="Arial Narrow" w:cs="Arial"/>
          <w:sz w:val="24"/>
          <w:szCs w:val="24"/>
        </w:rPr>
      </w:pPr>
      <w:r w:rsidRPr="009D0CA1">
        <w:rPr>
          <w:rFonts w:ascii="Arial Narrow" w:hAnsi="Arial Narrow" w:cs="Arial"/>
          <w:sz w:val="24"/>
          <w:szCs w:val="24"/>
        </w:rPr>
        <w:t>.</w:t>
      </w:r>
    </w:p>
    <w:p w:rsidR="009D0CA1" w:rsidRPr="009D0CA1" w:rsidRDefault="009D0CA1" w:rsidP="009D0CA1">
      <w:pPr>
        <w:spacing w:line="360" w:lineRule="auto"/>
        <w:jc w:val="both"/>
        <w:rPr>
          <w:rFonts w:ascii="Arial Narrow" w:hAnsi="Arial Narrow" w:cs="Arial"/>
          <w:sz w:val="24"/>
          <w:szCs w:val="24"/>
        </w:rPr>
      </w:pPr>
    </w:p>
    <w:p w:rsidR="00574445" w:rsidRPr="009D0CA1" w:rsidRDefault="00574445" w:rsidP="009D0CA1">
      <w:pPr>
        <w:shd w:val="clear" w:color="auto" w:fill="FFFFFF"/>
        <w:spacing w:after="0" w:line="360" w:lineRule="auto"/>
        <w:jc w:val="both"/>
        <w:rPr>
          <w:rStyle w:val="apple-converted-space"/>
          <w:rFonts w:ascii="Arial Narrow" w:hAnsi="Arial Narrow" w:cs="Arial"/>
          <w:color w:val="404040"/>
          <w:sz w:val="24"/>
          <w:szCs w:val="24"/>
          <w:shd w:val="clear" w:color="auto" w:fill="FFFFFF"/>
        </w:rPr>
      </w:pPr>
      <w:r w:rsidRPr="009D0CA1">
        <w:rPr>
          <w:rFonts w:ascii="Arial Narrow" w:eastAsia="Times New Roman" w:hAnsi="Arial Narrow" w:cs="Arial"/>
          <w:color w:val="333333"/>
          <w:sz w:val="24"/>
          <w:szCs w:val="24"/>
          <w:lang w:eastAsia="es-SV"/>
        </w:rPr>
        <w:br/>
      </w:r>
    </w:p>
    <w:p w:rsidR="00574445" w:rsidRPr="009D0CA1" w:rsidRDefault="00574445" w:rsidP="009D0CA1">
      <w:pPr>
        <w:spacing w:line="360" w:lineRule="auto"/>
        <w:jc w:val="both"/>
        <w:rPr>
          <w:rFonts w:ascii="Arial Narrow" w:hAnsi="Arial Narrow" w:cs="Arial"/>
          <w:sz w:val="24"/>
          <w:szCs w:val="24"/>
        </w:rPr>
      </w:pPr>
    </w:p>
    <w:p w:rsidR="00574445" w:rsidRDefault="00574445" w:rsidP="009D0CA1">
      <w:pPr>
        <w:tabs>
          <w:tab w:val="left" w:pos="3510"/>
        </w:tabs>
        <w:spacing w:line="360" w:lineRule="auto"/>
        <w:jc w:val="both"/>
        <w:rPr>
          <w:rFonts w:ascii="Arial Narrow" w:hAnsi="Arial Narrow"/>
        </w:rPr>
      </w:pPr>
    </w:p>
    <w:p w:rsidR="009D0CA1" w:rsidRDefault="009D0CA1" w:rsidP="009D0CA1">
      <w:pPr>
        <w:tabs>
          <w:tab w:val="left" w:pos="3510"/>
        </w:tabs>
        <w:spacing w:line="360" w:lineRule="auto"/>
        <w:jc w:val="both"/>
        <w:rPr>
          <w:rFonts w:ascii="Arial Narrow" w:hAnsi="Arial Narrow"/>
        </w:rPr>
      </w:pPr>
    </w:p>
    <w:p w:rsidR="009D0CA1" w:rsidRDefault="009D0CA1" w:rsidP="009D0CA1">
      <w:pPr>
        <w:tabs>
          <w:tab w:val="left" w:pos="3510"/>
        </w:tabs>
        <w:spacing w:line="360" w:lineRule="auto"/>
        <w:jc w:val="both"/>
        <w:rPr>
          <w:rFonts w:ascii="Arial Narrow" w:hAnsi="Arial Narrow"/>
        </w:rPr>
      </w:pPr>
    </w:p>
    <w:p w:rsidR="00A66AFE" w:rsidRDefault="00A66AFE" w:rsidP="009D0CA1">
      <w:pPr>
        <w:jc w:val="center"/>
        <w:rPr>
          <w:rFonts w:ascii="Arial Narrow" w:hAnsi="Arial Narrow"/>
        </w:rPr>
      </w:pPr>
    </w:p>
    <w:p w:rsidR="009D0CA1" w:rsidRDefault="00FB56B4" w:rsidP="009D7333">
      <w:pPr>
        <w:jc w:val="center"/>
        <w:rPr>
          <w:rFonts w:ascii="Arial Narrow" w:hAnsi="Arial Narrow"/>
          <w:b/>
          <w:bCs/>
          <w:sz w:val="28"/>
          <w:szCs w:val="28"/>
          <w:u w:val="single"/>
        </w:rPr>
      </w:pPr>
      <w:r>
        <w:rPr>
          <w:rFonts w:ascii="Arial Narrow" w:hAnsi="Arial Narrow"/>
          <w:b/>
          <w:bCs/>
          <w:sz w:val="28"/>
          <w:szCs w:val="28"/>
          <w:u w:val="single"/>
        </w:rPr>
        <w:lastRenderedPageBreak/>
        <w:t>PARTE III: EJERCICIO</w:t>
      </w:r>
      <w:r w:rsidR="009D0CA1">
        <w:rPr>
          <w:rFonts w:ascii="Arial Narrow" w:hAnsi="Arial Narrow"/>
          <w:b/>
          <w:bCs/>
          <w:sz w:val="28"/>
          <w:szCs w:val="28"/>
          <w:u w:val="single"/>
        </w:rPr>
        <w:t xml:space="preserve"> SOBRE LA NORMATIVA  INTERNACIONAL DE CONTABILIDAD (NIC)</w:t>
      </w:r>
    </w:p>
    <w:p w:rsidR="009D7333" w:rsidRPr="009D7333" w:rsidRDefault="009D7333" w:rsidP="009D7333">
      <w:pPr>
        <w:jc w:val="center"/>
        <w:rPr>
          <w:rFonts w:ascii="Arial Narrow" w:hAnsi="Arial Narrow"/>
          <w:b/>
          <w:bCs/>
          <w:sz w:val="28"/>
          <w:szCs w:val="28"/>
          <w:u w:val="single"/>
        </w:rPr>
      </w:pPr>
    </w:p>
    <w:p w:rsidR="009D0CA1" w:rsidRDefault="009D7333" w:rsidP="009D0CA1">
      <w:pPr>
        <w:tabs>
          <w:tab w:val="left" w:pos="3510"/>
        </w:tabs>
        <w:spacing w:line="360" w:lineRule="auto"/>
        <w:jc w:val="both"/>
        <w:rPr>
          <w:rFonts w:ascii="Arial Narrow" w:hAnsi="Arial Narrow"/>
        </w:rPr>
      </w:pPr>
      <w:r w:rsidRPr="009D7333">
        <w:rPr>
          <w:noProof/>
        </w:rPr>
        <w:drawing>
          <wp:inline distT="0" distB="0" distL="0" distR="0">
            <wp:extent cx="5611495" cy="37052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895" cy="3706149"/>
                    </a:xfrm>
                    <a:prstGeom prst="rect">
                      <a:avLst/>
                    </a:prstGeom>
                    <a:noFill/>
                    <a:ln>
                      <a:noFill/>
                    </a:ln>
                  </pic:spPr>
                </pic:pic>
              </a:graphicData>
            </a:graphic>
          </wp:inline>
        </w:drawing>
      </w:r>
    </w:p>
    <w:p w:rsidR="009D0CA1" w:rsidRDefault="009D7333" w:rsidP="009D0CA1">
      <w:pPr>
        <w:tabs>
          <w:tab w:val="left" w:pos="3510"/>
        </w:tabs>
        <w:spacing w:line="360" w:lineRule="auto"/>
        <w:jc w:val="both"/>
        <w:rPr>
          <w:rFonts w:ascii="Arial Narrow" w:hAnsi="Arial Narrow"/>
        </w:rPr>
      </w:pPr>
      <w:r w:rsidRPr="009D7333">
        <w:rPr>
          <w:noProof/>
        </w:rPr>
        <w:drawing>
          <wp:inline distT="0" distB="0" distL="0" distR="0">
            <wp:extent cx="5611031" cy="2562225"/>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643" cy="2562961"/>
                    </a:xfrm>
                    <a:prstGeom prst="rect">
                      <a:avLst/>
                    </a:prstGeom>
                    <a:noFill/>
                    <a:ln>
                      <a:noFill/>
                    </a:ln>
                  </pic:spPr>
                </pic:pic>
              </a:graphicData>
            </a:graphic>
          </wp:inline>
        </w:drawing>
      </w:r>
    </w:p>
    <w:p w:rsidR="009D7333" w:rsidRDefault="009D7333" w:rsidP="009D0CA1">
      <w:pPr>
        <w:tabs>
          <w:tab w:val="left" w:pos="3510"/>
        </w:tabs>
        <w:spacing w:line="360" w:lineRule="auto"/>
        <w:jc w:val="both"/>
        <w:rPr>
          <w:rFonts w:ascii="Arial Narrow" w:hAnsi="Arial Narrow"/>
        </w:rPr>
      </w:pPr>
      <w:r w:rsidRPr="009D7333">
        <w:rPr>
          <w:noProof/>
        </w:rPr>
        <w:lastRenderedPageBreak/>
        <w:drawing>
          <wp:inline distT="0" distB="0" distL="0" distR="0">
            <wp:extent cx="5612130" cy="3607798"/>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130" cy="3607798"/>
                    </a:xfrm>
                    <a:prstGeom prst="rect">
                      <a:avLst/>
                    </a:prstGeom>
                    <a:noFill/>
                    <a:ln>
                      <a:noFill/>
                    </a:ln>
                  </pic:spPr>
                </pic:pic>
              </a:graphicData>
            </a:graphic>
          </wp:inline>
        </w:drawing>
      </w:r>
    </w:p>
    <w:p w:rsidR="00856705" w:rsidRDefault="00856705" w:rsidP="009D0CA1">
      <w:pPr>
        <w:tabs>
          <w:tab w:val="left" w:pos="3510"/>
        </w:tabs>
        <w:spacing w:line="360" w:lineRule="auto"/>
        <w:jc w:val="both"/>
      </w:pPr>
    </w:p>
    <w:p w:rsidR="009D7333" w:rsidRDefault="009D7333" w:rsidP="009D0CA1">
      <w:pPr>
        <w:tabs>
          <w:tab w:val="left" w:pos="3510"/>
        </w:tabs>
        <w:spacing w:line="360" w:lineRule="auto"/>
        <w:jc w:val="both"/>
        <w:rPr>
          <w:rFonts w:ascii="Arial Narrow" w:hAnsi="Arial Narrow"/>
        </w:rPr>
      </w:pPr>
      <w:r w:rsidRPr="009D7333">
        <w:rPr>
          <w:noProof/>
        </w:rPr>
        <w:drawing>
          <wp:inline distT="0" distB="0" distL="0" distR="0">
            <wp:extent cx="5612130" cy="2696738"/>
            <wp:effectExtent l="0" t="0" r="762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2130" cy="2696738"/>
                    </a:xfrm>
                    <a:prstGeom prst="rect">
                      <a:avLst/>
                    </a:prstGeom>
                    <a:noFill/>
                    <a:ln>
                      <a:noFill/>
                    </a:ln>
                  </pic:spPr>
                </pic:pic>
              </a:graphicData>
            </a:graphic>
          </wp:inline>
        </w:drawing>
      </w:r>
    </w:p>
    <w:p w:rsidR="0022436B" w:rsidRDefault="0022436B" w:rsidP="009D0CA1">
      <w:pPr>
        <w:tabs>
          <w:tab w:val="left" w:pos="3510"/>
        </w:tabs>
        <w:spacing w:line="360" w:lineRule="auto"/>
        <w:jc w:val="both"/>
        <w:rPr>
          <w:rFonts w:ascii="Arial Narrow" w:hAnsi="Arial Narrow"/>
        </w:rPr>
      </w:pPr>
    </w:p>
    <w:p w:rsidR="0022436B" w:rsidRDefault="0022436B" w:rsidP="009D0CA1">
      <w:pPr>
        <w:tabs>
          <w:tab w:val="left" w:pos="3510"/>
        </w:tabs>
        <w:spacing w:line="360" w:lineRule="auto"/>
        <w:jc w:val="both"/>
        <w:rPr>
          <w:rFonts w:ascii="Arial Narrow" w:hAnsi="Arial Narrow"/>
        </w:rPr>
      </w:pPr>
    </w:p>
    <w:p w:rsidR="0022436B" w:rsidRPr="00F307BC" w:rsidRDefault="0022436B" w:rsidP="0022436B">
      <w:pPr>
        <w:pStyle w:val="Sinespaciado"/>
        <w:spacing w:line="360" w:lineRule="auto"/>
        <w:jc w:val="center"/>
        <w:rPr>
          <w:rFonts w:ascii="Arial Narrow" w:hAnsi="Arial Narrow"/>
          <w:b/>
          <w:sz w:val="24"/>
          <w:szCs w:val="24"/>
        </w:rPr>
      </w:pPr>
      <w:r w:rsidRPr="00F307BC">
        <w:rPr>
          <w:rFonts w:ascii="Arial Narrow" w:hAnsi="Arial Narrow"/>
          <w:b/>
          <w:sz w:val="24"/>
          <w:szCs w:val="24"/>
        </w:rPr>
        <w:lastRenderedPageBreak/>
        <w:t>CONCLUSIONES:</w:t>
      </w:r>
    </w:p>
    <w:p w:rsidR="0022436B" w:rsidRDefault="0022436B" w:rsidP="0022436B">
      <w:pPr>
        <w:pStyle w:val="Sinespaciado"/>
        <w:spacing w:line="360" w:lineRule="auto"/>
        <w:jc w:val="both"/>
        <w:rPr>
          <w:rFonts w:ascii="Arial Narrow" w:hAnsi="Arial Narrow"/>
          <w:sz w:val="24"/>
          <w:szCs w:val="24"/>
        </w:rPr>
      </w:pPr>
      <w:r w:rsidRPr="00F307BC">
        <w:rPr>
          <w:rFonts w:ascii="Arial Narrow" w:hAnsi="Arial Narrow"/>
          <w:sz w:val="24"/>
          <w:szCs w:val="24"/>
        </w:rPr>
        <w:t xml:space="preserve"> </w:t>
      </w:r>
    </w:p>
    <w:p w:rsidR="0022436B" w:rsidRPr="00F307BC" w:rsidRDefault="0022436B" w:rsidP="0022436B">
      <w:pPr>
        <w:pStyle w:val="Sinespaciado"/>
        <w:spacing w:line="360" w:lineRule="auto"/>
        <w:jc w:val="both"/>
        <w:rPr>
          <w:rFonts w:ascii="Arial Narrow" w:hAnsi="Arial Narrow"/>
          <w:sz w:val="24"/>
          <w:szCs w:val="24"/>
        </w:rPr>
      </w:pPr>
    </w:p>
    <w:p w:rsidR="0022436B" w:rsidRPr="00F307BC" w:rsidRDefault="0022436B" w:rsidP="0022436B">
      <w:pPr>
        <w:pStyle w:val="Sinespaciado"/>
        <w:spacing w:line="360" w:lineRule="auto"/>
        <w:jc w:val="both"/>
        <w:rPr>
          <w:rFonts w:ascii="Arial Narrow" w:hAnsi="Arial Narrow"/>
          <w:sz w:val="24"/>
          <w:szCs w:val="24"/>
        </w:rPr>
      </w:pPr>
      <w:r w:rsidRPr="00F307BC">
        <w:rPr>
          <w:rFonts w:ascii="Arial Narrow" w:hAnsi="Arial Narrow"/>
          <w:sz w:val="24"/>
          <w:szCs w:val="24"/>
        </w:rPr>
        <w:t xml:space="preserve">A continuación se resumen las conclusiones surgidas de la investigación documental y del estudio que se realizó sobres las Normas en Análisis </w:t>
      </w:r>
    </w:p>
    <w:p w:rsidR="0022436B" w:rsidRPr="00F307BC" w:rsidRDefault="0022436B" w:rsidP="0022436B">
      <w:pPr>
        <w:pStyle w:val="Sinespaciado"/>
        <w:spacing w:line="360" w:lineRule="auto"/>
        <w:jc w:val="both"/>
        <w:rPr>
          <w:rFonts w:ascii="Arial Narrow" w:hAnsi="Arial Narrow"/>
          <w:sz w:val="24"/>
          <w:szCs w:val="24"/>
        </w:rPr>
      </w:pPr>
    </w:p>
    <w:p w:rsidR="0022436B" w:rsidRPr="00F307BC" w:rsidRDefault="0022436B" w:rsidP="0022436B">
      <w:pPr>
        <w:pStyle w:val="Sinespaciado"/>
        <w:numPr>
          <w:ilvl w:val="0"/>
          <w:numId w:val="14"/>
        </w:numPr>
        <w:spacing w:line="360" w:lineRule="auto"/>
        <w:jc w:val="both"/>
        <w:rPr>
          <w:rFonts w:ascii="Arial Narrow" w:hAnsi="Arial Narrow"/>
          <w:sz w:val="24"/>
          <w:szCs w:val="24"/>
        </w:rPr>
      </w:pPr>
      <w:r w:rsidRPr="00F307BC">
        <w:rPr>
          <w:rFonts w:ascii="Arial Narrow" w:hAnsi="Arial Narrow"/>
          <w:sz w:val="24"/>
          <w:szCs w:val="24"/>
        </w:rPr>
        <w:t>Las Economías globalizadas obli</w:t>
      </w:r>
      <w:bookmarkStart w:id="3" w:name="_GoBack"/>
      <w:bookmarkEnd w:id="3"/>
      <w:r w:rsidRPr="00F307BC">
        <w:rPr>
          <w:rFonts w:ascii="Arial Narrow" w:hAnsi="Arial Narrow"/>
          <w:sz w:val="24"/>
          <w:szCs w:val="24"/>
        </w:rPr>
        <w:t>gan a los profesionales contables a utilizar las Normas Internacionales de Contabilidad para; Analizar interpretar y Aplicar operaciones contables que les permita emitir estados financieros  basados en estas normativas.</w:t>
      </w:r>
      <w:r w:rsidRPr="00F307BC">
        <w:rPr>
          <w:rFonts w:ascii="Arial Narrow" w:hAnsi="Arial Narrow" w:cs="Arial"/>
          <w:color w:val="000000"/>
          <w:sz w:val="24"/>
          <w:szCs w:val="24"/>
          <w:shd w:val="clear" w:color="auto" w:fill="FFFFFF"/>
        </w:rPr>
        <w:t xml:space="preserve"> </w:t>
      </w:r>
    </w:p>
    <w:p w:rsidR="0022436B" w:rsidRPr="00F307BC" w:rsidRDefault="0022436B" w:rsidP="0022436B">
      <w:pPr>
        <w:pStyle w:val="Sinespaciado"/>
        <w:numPr>
          <w:ilvl w:val="0"/>
          <w:numId w:val="14"/>
        </w:numPr>
        <w:spacing w:line="360" w:lineRule="auto"/>
        <w:jc w:val="both"/>
        <w:rPr>
          <w:rFonts w:ascii="Arial Narrow" w:hAnsi="Arial Narrow"/>
          <w:sz w:val="24"/>
          <w:szCs w:val="24"/>
        </w:rPr>
      </w:pPr>
      <w:r w:rsidRPr="00F307BC">
        <w:rPr>
          <w:rFonts w:ascii="Arial Narrow" w:hAnsi="Arial Narrow" w:cs="Arial"/>
          <w:color w:val="000000"/>
          <w:sz w:val="24"/>
          <w:szCs w:val="24"/>
          <w:shd w:val="clear" w:color="auto" w:fill="FFFFFF"/>
        </w:rPr>
        <w:t>Los cambios que manifiesta el mundo actual en razón de la internacionalización de la economía, unidos a los requerimientos de información de las empresas en un mercado altamente competitivo, en el cual, la eficiencia es factor fundamental del éxito, ponen de presente la importancia de las normas internacionales de contabilidad y la necesidad de su adecuación al interior de cada país.</w:t>
      </w:r>
    </w:p>
    <w:p w:rsidR="0022436B" w:rsidRPr="00F307BC" w:rsidRDefault="0022436B" w:rsidP="0022436B">
      <w:pPr>
        <w:pStyle w:val="Prrafodelista"/>
        <w:numPr>
          <w:ilvl w:val="0"/>
          <w:numId w:val="14"/>
        </w:numPr>
        <w:shd w:val="clear" w:color="auto" w:fill="FFFFFF"/>
        <w:spacing w:after="0" w:line="360" w:lineRule="auto"/>
        <w:jc w:val="both"/>
        <w:rPr>
          <w:rFonts w:ascii="Arial Narrow" w:eastAsia="Times New Roman" w:hAnsi="Arial Narrow" w:cs="Times New Roman"/>
          <w:color w:val="000000"/>
          <w:sz w:val="24"/>
          <w:szCs w:val="24"/>
          <w:lang w:val="es-ES_tradnl" w:eastAsia="es-SV"/>
        </w:rPr>
      </w:pPr>
      <w:r w:rsidRPr="00F307BC">
        <w:rPr>
          <w:rFonts w:ascii="Arial Narrow" w:eastAsia="Times New Roman" w:hAnsi="Arial Narrow" w:cs="Times New Roman"/>
          <w:color w:val="000000"/>
          <w:sz w:val="24"/>
          <w:szCs w:val="24"/>
          <w:lang w:eastAsia="es-SV"/>
        </w:rPr>
        <w:t xml:space="preserve"> </w:t>
      </w:r>
      <w:r w:rsidRPr="00F307BC">
        <w:rPr>
          <w:rFonts w:ascii="Arial Narrow" w:eastAsia="Times New Roman" w:hAnsi="Arial Narrow" w:cs="Times New Roman"/>
          <w:color w:val="000000"/>
          <w:sz w:val="24"/>
          <w:szCs w:val="24"/>
          <w:lang w:val="es-ES_tradnl" w:eastAsia="es-SV"/>
        </w:rPr>
        <w:t>Los derivados son activos o pasivos por que suponen derecho u obligaciones que pueden ser liquidados con dinero por lo que estos deben ser reconocidos en los Estados Financieros.</w:t>
      </w:r>
    </w:p>
    <w:p w:rsidR="0022436B" w:rsidRPr="00F307BC" w:rsidRDefault="0022436B" w:rsidP="0022436B">
      <w:pPr>
        <w:pStyle w:val="Prrafodelista"/>
        <w:numPr>
          <w:ilvl w:val="0"/>
          <w:numId w:val="14"/>
        </w:numPr>
        <w:shd w:val="clear" w:color="auto" w:fill="FFFFFF"/>
        <w:spacing w:after="0" w:line="360" w:lineRule="auto"/>
        <w:jc w:val="both"/>
        <w:rPr>
          <w:rFonts w:ascii="Arial Narrow" w:eastAsia="Times New Roman" w:hAnsi="Arial Narrow" w:cs="Times New Roman"/>
          <w:color w:val="000000"/>
          <w:sz w:val="24"/>
          <w:szCs w:val="24"/>
          <w:lang w:val="es-ES_tradnl" w:eastAsia="es-SV"/>
        </w:rPr>
      </w:pPr>
      <w:r w:rsidRPr="00F307BC">
        <w:rPr>
          <w:rFonts w:ascii="Arial Narrow" w:eastAsia="Times New Roman" w:hAnsi="Arial Narrow" w:cs="Times New Roman"/>
          <w:color w:val="000000"/>
          <w:sz w:val="24"/>
          <w:szCs w:val="24"/>
          <w:lang w:val="es-ES_tradnl" w:eastAsia="es-SV"/>
        </w:rPr>
        <w:t xml:space="preserve"> La NIC 39 estable como único criterio fundamental valorativo para los instrumentos financieros el Valor Razonable.</w:t>
      </w:r>
    </w:p>
    <w:p w:rsidR="0022436B" w:rsidRPr="00F307BC" w:rsidRDefault="0022436B" w:rsidP="0022436B">
      <w:pPr>
        <w:pStyle w:val="Prrafodelista"/>
        <w:numPr>
          <w:ilvl w:val="0"/>
          <w:numId w:val="14"/>
        </w:numPr>
        <w:shd w:val="clear" w:color="auto" w:fill="FFFFFF"/>
        <w:spacing w:after="0" w:line="360" w:lineRule="auto"/>
        <w:jc w:val="both"/>
        <w:rPr>
          <w:rFonts w:ascii="Arial Narrow" w:eastAsia="Times New Roman" w:hAnsi="Arial Narrow" w:cs="Times New Roman"/>
          <w:color w:val="000000"/>
          <w:sz w:val="24"/>
          <w:szCs w:val="24"/>
          <w:lang w:val="es-ES_tradnl" w:eastAsia="es-SV"/>
        </w:rPr>
      </w:pPr>
      <w:r w:rsidRPr="00F307BC">
        <w:rPr>
          <w:rFonts w:ascii="Arial Narrow" w:eastAsia="Times New Roman" w:hAnsi="Arial Narrow" w:cs="Times New Roman"/>
          <w:color w:val="000000"/>
          <w:sz w:val="24"/>
          <w:szCs w:val="24"/>
          <w:lang w:val="es-ES_tradnl" w:eastAsia="es-SV"/>
        </w:rPr>
        <w:t xml:space="preserve"> Las ganancias o pérdidas en derivados no deben ser reconocidos como activos o pasivos, sino que debe reconocerse como ingresos o gastos o, en su caso, forman parte de los fondos propios.  Es decir que los beneficios o pérdidas no pueden ser diferidos como activos o pasivos. </w:t>
      </w:r>
    </w:p>
    <w:p w:rsidR="0022436B" w:rsidRPr="00F307BC" w:rsidRDefault="0022436B" w:rsidP="0022436B">
      <w:pPr>
        <w:pStyle w:val="Prrafodelista"/>
        <w:numPr>
          <w:ilvl w:val="0"/>
          <w:numId w:val="14"/>
        </w:numPr>
        <w:shd w:val="clear" w:color="auto" w:fill="FFFFFF"/>
        <w:spacing w:after="0" w:line="360" w:lineRule="auto"/>
        <w:jc w:val="both"/>
        <w:rPr>
          <w:rFonts w:ascii="Arial Narrow" w:eastAsia="Times New Roman" w:hAnsi="Arial Narrow" w:cs="Times New Roman"/>
          <w:color w:val="000000"/>
          <w:sz w:val="24"/>
          <w:szCs w:val="24"/>
          <w:lang w:val="es-ES_tradnl" w:eastAsia="es-SV"/>
        </w:rPr>
      </w:pPr>
      <w:r w:rsidRPr="00F307BC">
        <w:rPr>
          <w:rFonts w:ascii="Arial Narrow" w:eastAsia="Times New Roman" w:hAnsi="Arial Narrow" w:cs="Times New Roman"/>
          <w:color w:val="000000"/>
          <w:sz w:val="24"/>
          <w:szCs w:val="24"/>
          <w:lang w:val="es-ES_tradnl" w:eastAsia="es-SV"/>
        </w:rPr>
        <w:t>Se permitirá un tratamiento contable especial aplicable a  situaciones de cobertura para aquellas transacciones que cumplan unos criterios razonables, solo deberá aplicarse cuando existe una relación entre instrumentos   derivados y un elemento patrimonial existente o una transacción futura probable.</w:t>
      </w:r>
    </w:p>
    <w:p w:rsidR="0022436B" w:rsidRPr="00F307BC" w:rsidRDefault="0022436B" w:rsidP="0022436B">
      <w:pPr>
        <w:shd w:val="clear" w:color="auto" w:fill="FFFFFF"/>
        <w:spacing w:after="0" w:line="360" w:lineRule="auto"/>
        <w:jc w:val="both"/>
        <w:rPr>
          <w:rFonts w:ascii="Arial Narrow" w:eastAsia="Times New Roman" w:hAnsi="Arial Narrow" w:cs="Times New Roman"/>
          <w:color w:val="000000"/>
          <w:sz w:val="24"/>
          <w:szCs w:val="24"/>
          <w:lang w:val="es-ES_tradnl" w:eastAsia="es-SV"/>
        </w:rPr>
      </w:pPr>
      <w:r w:rsidRPr="00F307BC">
        <w:rPr>
          <w:rFonts w:ascii="Arial Narrow" w:eastAsia="Times New Roman" w:hAnsi="Arial Narrow" w:cs="Times New Roman"/>
          <w:color w:val="000000"/>
          <w:sz w:val="24"/>
          <w:szCs w:val="24"/>
          <w:lang w:val="es-ES_tradnl" w:eastAsia="es-SV"/>
        </w:rPr>
        <w:t> </w:t>
      </w:r>
    </w:p>
    <w:p w:rsidR="0022436B" w:rsidRPr="00F307BC" w:rsidRDefault="0022436B" w:rsidP="0022436B">
      <w:pPr>
        <w:shd w:val="clear" w:color="auto" w:fill="FFFFFF"/>
        <w:spacing w:after="0" w:line="360" w:lineRule="auto"/>
        <w:jc w:val="both"/>
        <w:rPr>
          <w:rFonts w:ascii="Arial Narrow" w:eastAsia="Times New Roman" w:hAnsi="Arial Narrow" w:cs="Times New Roman"/>
          <w:color w:val="000000"/>
          <w:sz w:val="24"/>
          <w:szCs w:val="24"/>
          <w:lang w:val="es-ES_tradnl" w:eastAsia="es-SV"/>
        </w:rPr>
      </w:pPr>
    </w:p>
    <w:p w:rsidR="0022436B" w:rsidRPr="00F307BC" w:rsidRDefault="0022436B" w:rsidP="0022436B">
      <w:pPr>
        <w:shd w:val="clear" w:color="auto" w:fill="FFFFFF"/>
        <w:spacing w:after="0" w:line="360" w:lineRule="auto"/>
        <w:jc w:val="both"/>
        <w:rPr>
          <w:rFonts w:ascii="Arial Narrow" w:eastAsia="Times New Roman" w:hAnsi="Arial Narrow" w:cs="Times New Roman"/>
          <w:color w:val="000000"/>
          <w:sz w:val="24"/>
          <w:szCs w:val="24"/>
          <w:lang w:val="es-ES_tradnl" w:eastAsia="es-SV"/>
        </w:rPr>
      </w:pPr>
    </w:p>
    <w:p w:rsidR="0022436B" w:rsidRPr="00F307BC" w:rsidRDefault="0022436B" w:rsidP="0022436B">
      <w:pPr>
        <w:shd w:val="clear" w:color="auto" w:fill="FFFFFF"/>
        <w:spacing w:after="0" w:line="360" w:lineRule="auto"/>
        <w:jc w:val="center"/>
        <w:rPr>
          <w:rFonts w:ascii="Arial Narrow" w:eastAsia="Times New Roman" w:hAnsi="Arial Narrow" w:cs="Times New Roman"/>
          <w:b/>
          <w:color w:val="000000"/>
          <w:sz w:val="24"/>
          <w:szCs w:val="24"/>
          <w:lang w:val="es-ES_tradnl" w:eastAsia="es-SV"/>
        </w:rPr>
      </w:pPr>
    </w:p>
    <w:p w:rsidR="0022436B" w:rsidRPr="00F307BC" w:rsidRDefault="0022436B" w:rsidP="0022436B">
      <w:pPr>
        <w:shd w:val="clear" w:color="auto" w:fill="FFFFFF"/>
        <w:spacing w:after="0" w:line="360" w:lineRule="auto"/>
        <w:jc w:val="center"/>
        <w:rPr>
          <w:rFonts w:ascii="Arial Narrow" w:eastAsia="Times New Roman" w:hAnsi="Arial Narrow" w:cs="Times New Roman"/>
          <w:b/>
          <w:color w:val="000000"/>
          <w:sz w:val="24"/>
          <w:szCs w:val="24"/>
          <w:lang w:val="es-ES_tradnl" w:eastAsia="es-SV"/>
        </w:rPr>
      </w:pPr>
      <w:r w:rsidRPr="00F307BC">
        <w:rPr>
          <w:rFonts w:ascii="Arial Narrow" w:eastAsia="Times New Roman" w:hAnsi="Arial Narrow" w:cs="Times New Roman"/>
          <w:b/>
          <w:color w:val="000000"/>
          <w:sz w:val="24"/>
          <w:szCs w:val="24"/>
          <w:lang w:val="es-ES_tradnl" w:eastAsia="es-SV"/>
        </w:rPr>
        <w:t>RECOMENDACIONES</w:t>
      </w:r>
    </w:p>
    <w:p w:rsidR="0022436B" w:rsidRPr="00F307BC" w:rsidRDefault="0022436B" w:rsidP="0022436B">
      <w:pPr>
        <w:shd w:val="clear" w:color="auto" w:fill="FFFFFF"/>
        <w:spacing w:after="0" w:line="360" w:lineRule="auto"/>
        <w:jc w:val="both"/>
        <w:rPr>
          <w:rFonts w:ascii="Arial Narrow" w:eastAsia="Times New Roman" w:hAnsi="Arial Narrow" w:cs="Times New Roman"/>
          <w:color w:val="000000"/>
          <w:sz w:val="24"/>
          <w:szCs w:val="24"/>
          <w:lang w:val="es-ES_tradnl" w:eastAsia="es-SV"/>
        </w:rPr>
      </w:pPr>
    </w:p>
    <w:p w:rsidR="0022436B" w:rsidRPr="00F307BC" w:rsidRDefault="0022436B" w:rsidP="0022436B">
      <w:pPr>
        <w:shd w:val="clear" w:color="auto" w:fill="FFFFFF"/>
        <w:spacing w:after="0" w:line="360" w:lineRule="auto"/>
        <w:jc w:val="both"/>
        <w:rPr>
          <w:rFonts w:ascii="Arial Narrow" w:eastAsia="Times New Roman" w:hAnsi="Arial Narrow" w:cs="Times New Roman"/>
          <w:color w:val="000000"/>
          <w:sz w:val="24"/>
          <w:szCs w:val="24"/>
          <w:lang w:val="es-ES_tradnl" w:eastAsia="es-SV"/>
        </w:rPr>
      </w:pPr>
    </w:p>
    <w:p w:rsidR="0022436B" w:rsidRPr="00F307BC" w:rsidRDefault="0022436B" w:rsidP="0022436B">
      <w:pPr>
        <w:pStyle w:val="Prrafodelista"/>
        <w:numPr>
          <w:ilvl w:val="0"/>
          <w:numId w:val="15"/>
        </w:numPr>
        <w:shd w:val="clear" w:color="auto" w:fill="FFFFFF"/>
        <w:spacing w:after="0" w:line="360" w:lineRule="auto"/>
        <w:jc w:val="both"/>
        <w:rPr>
          <w:rFonts w:ascii="Arial Narrow" w:eastAsia="Times New Roman" w:hAnsi="Arial Narrow" w:cs="Times New Roman"/>
          <w:color w:val="000000"/>
          <w:sz w:val="24"/>
          <w:szCs w:val="24"/>
          <w:lang w:val="es-ES_tradnl" w:eastAsia="es-SV"/>
        </w:rPr>
      </w:pPr>
      <w:r w:rsidRPr="00F307BC">
        <w:rPr>
          <w:rFonts w:ascii="Arial Narrow" w:eastAsia="Times New Roman" w:hAnsi="Arial Narrow" w:cs="Times New Roman"/>
          <w:color w:val="000000"/>
          <w:sz w:val="24"/>
          <w:szCs w:val="24"/>
          <w:lang w:val="es-ES_tradnl" w:eastAsia="es-SV"/>
        </w:rPr>
        <w:t>Que Los intereses, dividendos, y pérdidas y ganancias relativas a un instrumento financiero o a un componente del mismo, que sea un pasivo financiero , se reconozcan como ingresos o gastos en el resultado del ejercicio</w:t>
      </w:r>
    </w:p>
    <w:p w:rsidR="0022436B" w:rsidRPr="00F307BC" w:rsidRDefault="0022436B" w:rsidP="0022436B">
      <w:pPr>
        <w:shd w:val="clear" w:color="auto" w:fill="FFFFFF"/>
        <w:spacing w:after="0" w:line="360" w:lineRule="auto"/>
        <w:jc w:val="both"/>
        <w:rPr>
          <w:rFonts w:ascii="Arial Narrow" w:eastAsia="Times New Roman" w:hAnsi="Arial Narrow" w:cs="Times New Roman"/>
          <w:color w:val="000000"/>
          <w:sz w:val="24"/>
          <w:szCs w:val="24"/>
          <w:lang w:val="es-ES_tradnl" w:eastAsia="es-SV"/>
        </w:rPr>
      </w:pPr>
    </w:p>
    <w:p w:rsidR="0022436B" w:rsidRPr="00F307BC" w:rsidRDefault="0022436B" w:rsidP="0022436B">
      <w:pPr>
        <w:pStyle w:val="Prrafodelista"/>
        <w:numPr>
          <w:ilvl w:val="0"/>
          <w:numId w:val="15"/>
        </w:numPr>
        <w:shd w:val="clear" w:color="auto" w:fill="FFFFFF"/>
        <w:spacing w:after="0" w:line="360" w:lineRule="auto"/>
        <w:jc w:val="both"/>
        <w:rPr>
          <w:rFonts w:ascii="Arial Narrow" w:eastAsia="Times New Roman" w:hAnsi="Arial Narrow" w:cs="Times New Roman"/>
          <w:color w:val="000000"/>
          <w:sz w:val="24"/>
          <w:szCs w:val="24"/>
          <w:lang w:val="es-ES_tradnl" w:eastAsia="es-SV"/>
        </w:rPr>
      </w:pPr>
      <w:r w:rsidRPr="00F307BC">
        <w:rPr>
          <w:rFonts w:ascii="Arial Narrow" w:eastAsia="Times New Roman" w:hAnsi="Arial Narrow" w:cs="Times New Roman"/>
          <w:color w:val="000000"/>
          <w:sz w:val="24"/>
          <w:szCs w:val="24"/>
          <w:lang w:val="es-ES_tradnl" w:eastAsia="es-SV"/>
        </w:rPr>
        <w:t>Que los encargados de presentar los estados financieros de acuerdo como lo establece la norma realicen una adecuada clasificación sobre instrumentos financieros, ya sea como un pasivo financiero o un instrumento de patrimonio considerando los costos que se incurre, de modo de no presentar una información errónea que permita evaluar el desempeño de la empresa.</w:t>
      </w:r>
    </w:p>
    <w:p w:rsidR="0022436B" w:rsidRPr="00F307BC" w:rsidRDefault="0022436B" w:rsidP="0022436B">
      <w:pPr>
        <w:shd w:val="clear" w:color="auto" w:fill="FFFFFF"/>
        <w:spacing w:after="0" w:line="360" w:lineRule="auto"/>
        <w:jc w:val="both"/>
        <w:rPr>
          <w:rFonts w:ascii="Arial Narrow" w:eastAsia="Times New Roman" w:hAnsi="Arial Narrow" w:cs="Times New Roman"/>
          <w:color w:val="000000"/>
          <w:sz w:val="24"/>
          <w:szCs w:val="24"/>
          <w:lang w:val="es-ES_tradnl" w:eastAsia="es-SV"/>
        </w:rPr>
      </w:pPr>
    </w:p>
    <w:p w:rsidR="0022436B" w:rsidRPr="00F307BC" w:rsidRDefault="0022436B" w:rsidP="0022436B">
      <w:pPr>
        <w:pStyle w:val="Prrafodelista"/>
        <w:numPr>
          <w:ilvl w:val="0"/>
          <w:numId w:val="15"/>
        </w:numPr>
        <w:shd w:val="clear" w:color="auto" w:fill="FFFFFF"/>
        <w:spacing w:after="0" w:line="360" w:lineRule="auto"/>
        <w:jc w:val="both"/>
        <w:rPr>
          <w:rFonts w:ascii="Arial Narrow" w:eastAsia="Times New Roman" w:hAnsi="Arial Narrow" w:cs="Times New Roman"/>
          <w:color w:val="000000"/>
          <w:sz w:val="24"/>
          <w:szCs w:val="24"/>
          <w:lang w:val="es-ES_tradnl" w:eastAsia="es-SV"/>
        </w:rPr>
      </w:pPr>
      <w:r w:rsidRPr="00F307BC">
        <w:rPr>
          <w:rFonts w:ascii="Arial Narrow" w:eastAsia="Times New Roman" w:hAnsi="Arial Narrow" w:cs="Times New Roman"/>
          <w:color w:val="000000"/>
          <w:sz w:val="24"/>
          <w:szCs w:val="24"/>
          <w:lang w:val="es-ES_tradnl" w:eastAsia="es-SV"/>
        </w:rPr>
        <w:t>Que los profesionales de la contaduría pública se actualicen en cuanto a nuevas normativas para la aplicación contable de operaciones en combinación de negocios e instrumentos financieros y su aplicación</w:t>
      </w:r>
    </w:p>
    <w:p w:rsidR="0022436B" w:rsidRPr="00F307BC" w:rsidRDefault="0022436B" w:rsidP="0022436B">
      <w:pPr>
        <w:pStyle w:val="Prrafodelista"/>
        <w:shd w:val="clear" w:color="auto" w:fill="FFFFFF"/>
        <w:spacing w:after="0" w:line="360" w:lineRule="auto"/>
        <w:jc w:val="both"/>
        <w:rPr>
          <w:rFonts w:ascii="Arial Narrow" w:eastAsia="Times New Roman" w:hAnsi="Arial Narrow" w:cs="Times New Roman"/>
          <w:color w:val="000000"/>
          <w:sz w:val="24"/>
          <w:szCs w:val="24"/>
          <w:lang w:val="es-ES_tradnl" w:eastAsia="es-SV"/>
        </w:rPr>
      </w:pPr>
    </w:p>
    <w:p w:rsidR="0022436B" w:rsidRDefault="0022436B" w:rsidP="009D0CA1">
      <w:pPr>
        <w:tabs>
          <w:tab w:val="left" w:pos="3510"/>
        </w:tabs>
        <w:spacing w:line="360" w:lineRule="auto"/>
        <w:jc w:val="both"/>
        <w:rPr>
          <w:rFonts w:ascii="Arial Narrow" w:hAnsi="Arial Narrow"/>
        </w:rPr>
      </w:pPr>
    </w:p>
    <w:p w:rsidR="0022436B" w:rsidRDefault="0022436B" w:rsidP="009D0CA1">
      <w:pPr>
        <w:tabs>
          <w:tab w:val="left" w:pos="3510"/>
        </w:tabs>
        <w:spacing w:line="360" w:lineRule="auto"/>
        <w:jc w:val="both"/>
        <w:rPr>
          <w:rFonts w:ascii="Arial Narrow" w:hAnsi="Arial Narrow"/>
        </w:rPr>
      </w:pPr>
    </w:p>
    <w:p w:rsidR="0022436B" w:rsidRDefault="0022436B" w:rsidP="009D0CA1">
      <w:pPr>
        <w:tabs>
          <w:tab w:val="left" w:pos="3510"/>
        </w:tabs>
        <w:spacing w:line="360" w:lineRule="auto"/>
        <w:jc w:val="both"/>
        <w:rPr>
          <w:rFonts w:ascii="Arial Narrow" w:hAnsi="Arial Narrow"/>
        </w:rPr>
      </w:pPr>
    </w:p>
    <w:p w:rsidR="0022436B" w:rsidRDefault="0022436B" w:rsidP="009D0CA1">
      <w:pPr>
        <w:tabs>
          <w:tab w:val="left" w:pos="3510"/>
        </w:tabs>
        <w:spacing w:line="360" w:lineRule="auto"/>
        <w:jc w:val="both"/>
        <w:rPr>
          <w:rFonts w:ascii="Arial Narrow" w:hAnsi="Arial Narrow"/>
        </w:rPr>
      </w:pPr>
    </w:p>
    <w:p w:rsidR="0022436B" w:rsidRDefault="0022436B" w:rsidP="009D0CA1">
      <w:pPr>
        <w:tabs>
          <w:tab w:val="left" w:pos="3510"/>
        </w:tabs>
        <w:spacing w:line="360" w:lineRule="auto"/>
        <w:jc w:val="both"/>
        <w:rPr>
          <w:rFonts w:ascii="Arial Narrow" w:hAnsi="Arial Narrow"/>
        </w:rPr>
      </w:pPr>
    </w:p>
    <w:p w:rsidR="0022436B" w:rsidRDefault="0022436B" w:rsidP="009D0CA1">
      <w:pPr>
        <w:tabs>
          <w:tab w:val="left" w:pos="3510"/>
        </w:tabs>
        <w:spacing w:line="360" w:lineRule="auto"/>
        <w:jc w:val="both"/>
        <w:rPr>
          <w:rFonts w:ascii="Arial Narrow" w:hAnsi="Arial Narrow"/>
        </w:rPr>
      </w:pPr>
    </w:p>
    <w:p w:rsidR="0022436B" w:rsidRDefault="0022436B" w:rsidP="009D0CA1">
      <w:pPr>
        <w:tabs>
          <w:tab w:val="left" w:pos="3510"/>
        </w:tabs>
        <w:spacing w:line="360" w:lineRule="auto"/>
        <w:jc w:val="both"/>
        <w:rPr>
          <w:rFonts w:ascii="Arial Narrow" w:hAnsi="Arial Narrow"/>
        </w:rPr>
      </w:pPr>
    </w:p>
    <w:p w:rsidR="0022436B" w:rsidRDefault="0022436B" w:rsidP="009D0CA1">
      <w:pPr>
        <w:tabs>
          <w:tab w:val="left" w:pos="3510"/>
        </w:tabs>
        <w:spacing w:line="360" w:lineRule="auto"/>
        <w:jc w:val="both"/>
        <w:rPr>
          <w:rFonts w:ascii="Arial Narrow" w:hAnsi="Arial Narrow"/>
        </w:rPr>
      </w:pPr>
    </w:p>
    <w:p w:rsidR="0022436B" w:rsidRDefault="0022436B" w:rsidP="009D0CA1">
      <w:pPr>
        <w:tabs>
          <w:tab w:val="left" w:pos="3510"/>
        </w:tabs>
        <w:spacing w:line="360" w:lineRule="auto"/>
        <w:jc w:val="both"/>
        <w:rPr>
          <w:rFonts w:ascii="Arial Narrow" w:hAnsi="Arial Narrow"/>
        </w:rPr>
      </w:pPr>
    </w:p>
    <w:p w:rsidR="0022436B" w:rsidRDefault="0022436B" w:rsidP="0022436B">
      <w:pPr>
        <w:tabs>
          <w:tab w:val="left" w:pos="3510"/>
        </w:tabs>
        <w:spacing w:line="360" w:lineRule="auto"/>
        <w:jc w:val="center"/>
        <w:rPr>
          <w:rFonts w:ascii="Arial Narrow" w:hAnsi="Arial Narrow"/>
          <w:b/>
        </w:rPr>
      </w:pPr>
      <w:r w:rsidRPr="0022436B">
        <w:rPr>
          <w:rFonts w:ascii="Arial Narrow" w:hAnsi="Arial Narrow"/>
          <w:b/>
        </w:rPr>
        <w:t>BIBLIOGRAFIA</w:t>
      </w:r>
    </w:p>
    <w:p w:rsidR="00FE49DB" w:rsidRDefault="00FE49DB" w:rsidP="0022436B">
      <w:pPr>
        <w:tabs>
          <w:tab w:val="left" w:pos="3510"/>
        </w:tabs>
        <w:spacing w:line="360" w:lineRule="auto"/>
        <w:jc w:val="center"/>
        <w:rPr>
          <w:rFonts w:ascii="Arial Narrow" w:hAnsi="Arial Narrow"/>
          <w:b/>
        </w:rPr>
      </w:pPr>
    </w:p>
    <w:p w:rsidR="00FE49DB" w:rsidRPr="00FE49DB" w:rsidRDefault="00FE49DB" w:rsidP="00FE49DB">
      <w:pPr>
        <w:pStyle w:val="Prrafodelista"/>
        <w:numPr>
          <w:ilvl w:val="0"/>
          <w:numId w:val="10"/>
        </w:numPr>
        <w:tabs>
          <w:tab w:val="left" w:pos="3510"/>
        </w:tabs>
        <w:spacing w:line="360" w:lineRule="auto"/>
        <w:rPr>
          <w:rFonts w:ascii="Arial Narrow" w:hAnsi="Arial Narrow"/>
          <w:b/>
        </w:rPr>
      </w:pPr>
      <w:r>
        <w:rPr>
          <w:rFonts w:ascii="Arial Narrow" w:hAnsi="Arial Narrow"/>
          <w:b/>
        </w:rPr>
        <w:t>WEB</w:t>
      </w:r>
    </w:p>
    <w:p w:rsidR="00FE49DB" w:rsidRPr="00FE49DB" w:rsidRDefault="00D84AD0" w:rsidP="00A04248">
      <w:pPr>
        <w:pStyle w:val="Prrafodelista"/>
        <w:numPr>
          <w:ilvl w:val="0"/>
          <w:numId w:val="16"/>
        </w:numPr>
        <w:tabs>
          <w:tab w:val="left" w:pos="3510"/>
        </w:tabs>
        <w:spacing w:line="360" w:lineRule="auto"/>
        <w:rPr>
          <w:rStyle w:val="null"/>
          <w:rFonts w:ascii="Arial Narrow" w:eastAsia="Times New Roman" w:hAnsi="Arial Narrow"/>
          <w:i/>
          <w:lang w:val="es-SV" w:eastAsia="es-SV"/>
        </w:rPr>
      </w:pPr>
      <w:hyperlink r:id="rId45" w:tgtFrame="_blank" w:history="1">
        <w:r w:rsidR="00FE49DB" w:rsidRPr="00FE49DB">
          <w:rPr>
            <w:rStyle w:val="Hipervnculo"/>
            <w:rFonts w:ascii="Arial Narrow" w:hAnsi="Arial Narrow"/>
            <w:i/>
            <w:color w:val="auto"/>
            <w:u w:val="none"/>
          </w:rPr>
          <w:t>https://es.scribd.com/doc/46117856/interpretacion-nic-39</w:t>
        </w:r>
      </w:hyperlink>
    </w:p>
    <w:p w:rsidR="00FE49DB" w:rsidRDefault="00D84AD0" w:rsidP="007229B0">
      <w:pPr>
        <w:pStyle w:val="Prrafodelista"/>
        <w:numPr>
          <w:ilvl w:val="0"/>
          <w:numId w:val="16"/>
        </w:numPr>
        <w:tabs>
          <w:tab w:val="left" w:pos="3510"/>
        </w:tabs>
        <w:spacing w:line="360" w:lineRule="auto"/>
        <w:rPr>
          <w:rFonts w:ascii="Arial Narrow" w:hAnsi="Arial Narrow"/>
          <w:i/>
        </w:rPr>
      </w:pPr>
      <w:hyperlink r:id="rId46" w:tgtFrame="_blank" w:history="1">
        <w:r w:rsidR="00FE49DB" w:rsidRPr="00FE49DB">
          <w:rPr>
            <w:rStyle w:val="Hipervnculo"/>
            <w:rFonts w:ascii="Arial Narrow" w:hAnsi="Arial Narrow"/>
            <w:i/>
            <w:color w:val="auto"/>
            <w:u w:val="none"/>
          </w:rPr>
          <w:t>https://www.youtube.com/user/BVESsv</w:t>
        </w:r>
      </w:hyperlink>
    </w:p>
    <w:p w:rsidR="00FE49DB" w:rsidRDefault="00D84AD0" w:rsidP="00573A70">
      <w:pPr>
        <w:pStyle w:val="Prrafodelista"/>
        <w:numPr>
          <w:ilvl w:val="0"/>
          <w:numId w:val="16"/>
        </w:numPr>
        <w:tabs>
          <w:tab w:val="left" w:pos="3510"/>
        </w:tabs>
        <w:spacing w:line="360" w:lineRule="auto"/>
        <w:rPr>
          <w:rFonts w:ascii="Arial Narrow" w:hAnsi="Arial Narrow"/>
          <w:i/>
        </w:rPr>
      </w:pPr>
      <w:hyperlink r:id="rId47" w:tgtFrame="_blank" w:history="1">
        <w:r w:rsidR="00FE49DB" w:rsidRPr="00FE49DB">
          <w:rPr>
            <w:rStyle w:val="Hipervnculo"/>
            <w:rFonts w:ascii="Arial Narrow" w:hAnsi="Arial Narrow"/>
            <w:i/>
            <w:color w:val="auto"/>
            <w:u w:val="none"/>
          </w:rPr>
          <w:t>https://www.bolsadevalores.com.sv/conozca-a-la-bolsa</w:t>
        </w:r>
      </w:hyperlink>
    </w:p>
    <w:p w:rsidR="00FE49DB" w:rsidRDefault="00D84AD0" w:rsidP="003303D5">
      <w:pPr>
        <w:pStyle w:val="Prrafodelista"/>
        <w:numPr>
          <w:ilvl w:val="0"/>
          <w:numId w:val="16"/>
        </w:numPr>
        <w:tabs>
          <w:tab w:val="left" w:pos="3510"/>
        </w:tabs>
        <w:spacing w:line="360" w:lineRule="auto"/>
        <w:rPr>
          <w:rFonts w:ascii="Arial Narrow" w:hAnsi="Arial Narrow"/>
          <w:i/>
        </w:rPr>
      </w:pPr>
      <w:hyperlink r:id="rId48" w:tgtFrame="_blank" w:history="1">
        <w:r w:rsidR="00FE49DB" w:rsidRPr="00FE49DB">
          <w:rPr>
            <w:rStyle w:val="Hipervnculo"/>
            <w:rFonts w:ascii="Arial Narrow" w:hAnsi="Arial Narrow"/>
            <w:i/>
            <w:color w:val="auto"/>
            <w:u w:val="none"/>
          </w:rPr>
          <w:t>http://documents.mx/documents/analisis-de-la-conformidad-entre-la-nic-31.html</w:t>
        </w:r>
      </w:hyperlink>
    </w:p>
    <w:p w:rsidR="00FE49DB" w:rsidRDefault="00D84AD0" w:rsidP="003303D5">
      <w:pPr>
        <w:pStyle w:val="Prrafodelista"/>
        <w:numPr>
          <w:ilvl w:val="0"/>
          <w:numId w:val="16"/>
        </w:numPr>
        <w:tabs>
          <w:tab w:val="left" w:pos="3510"/>
        </w:tabs>
        <w:spacing w:line="360" w:lineRule="auto"/>
        <w:rPr>
          <w:rFonts w:ascii="Arial Narrow" w:hAnsi="Arial Narrow"/>
          <w:i/>
        </w:rPr>
      </w:pPr>
      <w:hyperlink r:id="rId49" w:tgtFrame="_blank" w:history="1">
        <w:r w:rsidR="00FE49DB" w:rsidRPr="00FE49DB">
          <w:rPr>
            <w:rStyle w:val="Hipervnculo"/>
            <w:rFonts w:ascii="Arial Narrow" w:hAnsi="Arial Narrow"/>
            <w:i/>
            <w:color w:val="auto"/>
            <w:u w:val="none"/>
          </w:rPr>
          <w:t>https://es.scribd.com/doc/195416941/ANALISIS-DE-LA-NIC-32-INSTRUMENTOS-FINANCIEROS-PRESENTACION-E-INFORMACION-A-REVELAR-Y-LA-NIIF-7-SECCION-11-INSTRUMENTOS-FINANCIEROS-BASICO</w:t>
        </w:r>
      </w:hyperlink>
    </w:p>
    <w:p w:rsidR="00FE49DB" w:rsidRDefault="00FE49DB" w:rsidP="00FE49DB">
      <w:pPr>
        <w:pStyle w:val="Prrafodelista"/>
        <w:tabs>
          <w:tab w:val="left" w:pos="3510"/>
        </w:tabs>
        <w:spacing w:line="360" w:lineRule="auto"/>
        <w:rPr>
          <w:rFonts w:ascii="Arial Narrow" w:hAnsi="Arial Narrow"/>
          <w:i/>
        </w:rPr>
      </w:pPr>
    </w:p>
    <w:p w:rsidR="00FE49DB" w:rsidRDefault="00FE49DB" w:rsidP="00FE49DB">
      <w:pPr>
        <w:pStyle w:val="Prrafodelista"/>
        <w:numPr>
          <w:ilvl w:val="0"/>
          <w:numId w:val="17"/>
        </w:numPr>
        <w:tabs>
          <w:tab w:val="left" w:pos="3510"/>
        </w:tabs>
        <w:spacing w:line="360" w:lineRule="auto"/>
        <w:rPr>
          <w:rFonts w:ascii="Arial Narrow" w:hAnsi="Arial Narrow"/>
          <w:b/>
        </w:rPr>
      </w:pPr>
      <w:r w:rsidRPr="00FE49DB">
        <w:rPr>
          <w:rFonts w:ascii="Arial Narrow" w:hAnsi="Arial Narrow"/>
          <w:b/>
        </w:rPr>
        <w:t>LIBROS</w:t>
      </w:r>
    </w:p>
    <w:p w:rsidR="00FE49DB" w:rsidRDefault="00FE49DB" w:rsidP="00FE49DB">
      <w:pPr>
        <w:pStyle w:val="Prrafodelista"/>
        <w:numPr>
          <w:ilvl w:val="0"/>
          <w:numId w:val="3"/>
        </w:numPr>
        <w:tabs>
          <w:tab w:val="left" w:pos="3510"/>
        </w:tabs>
        <w:spacing w:line="360" w:lineRule="auto"/>
        <w:rPr>
          <w:rFonts w:ascii="Arial Narrow" w:hAnsi="Arial Narrow"/>
        </w:rPr>
      </w:pPr>
      <w:r>
        <w:rPr>
          <w:rFonts w:ascii="Arial Narrow" w:hAnsi="Arial Narrow"/>
        </w:rPr>
        <w:t>Recopilación de Leyes Tributarias</w:t>
      </w:r>
    </w:p>
    <w:p w:rsidR="00FE49DB" w:rsidRDefault="00FE49DB" w:rsidP="00FE49DB">
      <w:pPr>
        <w:pStyle w:val="Prrafodelista"/>
        <w:numPr>
          <w:ilvl w:val="0"/>
          <w:numId w:val="3"/>
        </w:numPr>
        <w:tabs>
          <w:tab w:val="left" w:pos="3510"/>
        </w:tabs>
        <w:spacing w:line="360" w:lineRule="auto"/>
        <w:rPr>
          <w:rFonts w:ascii="Arial Narrow" w:hAnsi="Arial Narrow"/>
        </w:rPr>
      </w:pPr>
      <w:r>
        <w:rPr>
          <w:rFonts w:ascii="Arial Narrow" w:hAnsi="Arial Narrow"/>
        </w:rPr>
        <w:t>Recopilación de Leyes Mercantiles</w:t>
      </w:r>
    </w:p>
    <w:p w:rsidR="00FE49DB" w:rsidRPr="005E579A" w:rsidRDefault="00FE49DB" w:rsidP="00FE49DB">
      <w:pPr>
        <w:pStyle w:val="Prrafodelista"/>
        <w:numPr>
          <w:ilvl w:val="0"/>
          <w:numId w:val="3"/>
        </w:numPr>
        <w:spacing w:after="160" w:line="360" w:lineRule="auto"/>
        <w:jc w:val="both"/>
        <w:rPr>
          <w:rFonts w:ascii="Arial Narrow" w:hAnsi="Arial Narrow" w:cs="Arial"/>
          <w:sz w:val="24"/>
          <w:szCs w:val="24"/>
        </w:rPr>
      </w:pPr>
      <w:r>
        <w:rPr>
          <w:rFonts w:ascii="Arial Narrow" w:hAnsi="Arial Narrow" w:cs="Arial"/>
          <w:sz w:val="24"/>
          <w:szCs w:val="24"/>
        </w:rPr>
        <w:t>Le</w:t>
      </w:r>
      <w:r w:rsidRPr="005E579A">
        <w:rPr>
          <w:rFonts w:ascii="Arial Narrow" w:hAnsi="Arial Narrow" w:cs="Arial"/>
          <w:sz w:val="24"/>
          <w:szCs w:val="24"/>
        </w:rPr>
        <w:t>y de mercado de valores</w:t>
      </w:r>
    </w:p>
    <w:p w:rsidR="00FE49DB" w:rsidRPr="005E579A" w:rsidRDefault="00FE49DB" w:rsidP="00FE49DB">
      <w:pPr>
        <w:pStyle w:val="Prrafodelista"/>
        <w:numPr>
          <w:ilvl w:val="0"/>
          <w:numId w:val="3"/>
        </w:numPr>
        <w:spacing w:after="160" w:line="360" w:lineRule="auto"/>
        <w:jc w:val="both"/>
        <w:rPr>
          <w:rFonts w:ascii="Arial Narrow" w:hAnsi="Arial Narrow" w:cs="Arial"/>
          <w:sz w:val="24"/>
          <w:szCs w:val="24"/>
        </w:rPr>
      </w:pPr>
      <w:r w:rsidRPr="005E579A">
        <w:rPr>
          <w:rFonts w:ascii="Arial Narrow" w:hAnsi="Arial Narrow" w:cs="Arial"/>
          <w:sz w:val="24"/>
          <w:szCs w:val="24"/>
        </w:rPr>
        <w:t>Ley de fondos de inversión</w:t>
      </w:r>
    </w:p>
    <w:p w:rsidR="00FE49DB" w:rsidRPr="005E579A" w:rsidRDefault="00FE49DB" w:rsidP="00FE49DB">
      <w:pPr>
        <w:pStyle w:val="Prrafodelista"/>
        <w:numPr>
          <w:ilvl w:val="0"/>
          <w:numId w:val="3"/>
        </w:numPr>
        <w:spacing w:after="160" w:line="360" w:lineRule="auto"/>
        <w:jc w:val="both"/>
        <w:rPr>
          <w:rFonts w:ascii="Arial Narrow" w:hAnsi="Arial Narrow" w:cs="Arial"/>
          <w:sz w:val="24"/>
          <w:szCs w:val="24"/>
        </w:rPr>
      </w:pPr>
      <w:r w:rsidRPr="005E579A">
        <w:rPr>
          <w:rFonts w:ascii="Arial Narrow" w:hAnsi="Arial Narrow" w:cs="Arial"/>
          <w:sz w:val="24"/>
          <w:szCs w:val="24"/>
        </w:rPr>
        <w:t xml:space="preserve">Ley de anotaciones electrónicas de valores en cuenta </w:t>
      </w:r>
    </w:p>
    <w:p w:rsidR="00FE49DB" w:rsidRPr="00863D3E" w:rsidRDefault="00FE49DB" w:rsidP="00FE49DB">
      <w:pPr>
        <w:pStyle w:val="Prrafodelista"/>
        <w:numPr>
          <w:ilvl w:val="0"/>
          <w:numId w:val="3"/>
        </w:numPr>
        <w:spacing w:after="160" w:line="360" w:lineRule="auto"/>
        <w:jc w:val="both"/>
        <w:rPr>
          <w:rFonts w:ascii="Arial Narrow" w:hAnsi="Arial Narrow" w:cs="Arial"/>
          <w:sz w:val="24"/>
          <w:szCs w:val="24"/>
        </w:rPr>
      </w:pPr>
      <w:r w:rsidRPr="005E579A">
        <w:rPr>
          <w:rFonts w:ascii="Arial Narrow" w:hAnsi="Arial Narrow" w:cs="Arial"/>
          <w:sz w:val="24"/>
          <w:szCs w:val="24"/>
        </w:rPr>
        <w:t xml:space="preserve">Ley de titularización de activos </w:t>
      </w:r>
    </w:p>
    <w:p w:rsidR="00FE49DB" w:rsidRDefault="00FE49DB" w:rsidP="00FE49DB">
      <w:pPr>
        <w:pStyle w:val="Prrafodelista"/>
        <w:tabs>
          <w:tab w:val="left" w:pos="3510"/>
        </w:tabs>
        <w:spacing w:line="360" w:lineRule="auto"/>
        <w:rPr>
          <w:rFonts w:ascii="Arial Narrow" w:hAnsi="Arial Narrow"/>
        </w:rPr>
      </w:pPr>
    </w:p>
    <w:p w:rsidR="00FE49DB" w:rsidRPr="00FE49DB" w:rsidRDefault="00FE49DB" w:rsidP="00FE49DB">
      <w:pPr>
        <w:pStyle w:val="Prrafodelista"/>
        <w:numPr>
          <w:ilvl w:val="0"/>
          <w:numId w:val="17"/>
        </w:numPr>
        <w:tabs>
          <w:tab w:val="left" w:pos="3510"/>
        </w:tabs>
        <w:spacing w:line="360" w:lineRule="auto"/>
        <w:rPr>
          <w:rFonts w:ascii="Arial Narrow" w:hAnsi="Arial Narrow"/>
          <w:b/>
        </w:rPr>
      </w:pPr>
      <w:r w:rsidRPr="00FE49DB">
        <w:rPr>
          <w:rFonts w:ascii="Arial Narrow" w:hAnsi="Arial Narrow"/>
          <w:b/>
        </w:rPr>
        <w:t>NORMATIVA</w:t>
      </w:r>
    </w:p>
    <w:p w:rsidR="00FE49DB" w:rsidRDefault="00FE49DB" w:rsidP="00FE49DB">
      <w:pPr>
        <w:pStyle w:val="Prrafodelista"/>
        <w:numPr>
          <w:ilvl w:val="0"/>
          <w:numId w:val="3"/>
        </w:numPr>
        <w:tabs>
          <w:tab w:val="left" w:pos="3510"/>
        </w:tabs>
        <w:spacing w:line="360" w:lineRule="auto"/>
        <w:rPr>
          <w:rFonts w:ascii="Arial Narrow" w:hAnsi="Arial Narrow"/>
        </w:rPr>
      </w:pPr>
      <w:r>
        <w:rPr>
          <w:rFonts w:ascii="Arial Narrow" w:hAnsi="Arial Narrow"/>
        </w:rPr>
        <w:t>NIIF para las PYMES</w:t>
      </w:r>
    </w:p>
    <w:p w:rsidR="00FE49DB" w:rsidRPr="00FE49DB" w:rsidRDefault="00FE49DB" w:rsidP="00FE49DB">
      <w:pPr>
        <w:pStyle w:val="Prrafodelista"/>
        <w:numPr>
          <w:ilvl w:val="0"/>
          <w:numId w:val="3"/>
        </w:numPr>
        <w:tabs>
          <w:tab w:val="left" w:pos="3510"/>
        </w:tabs>
        <w:spacing w:line="360" w:lineRule="auto"/>
        <w:rPr>
          <w:rFonts w:ascii="Arial Narrow" w:hAnsi="Arial Narrow"/>
        </w:rPr>
      </w:pPr>
      <w:r>
        <w:rPr>
          <w:rFonts w:ascii="Arial Narrow" w:hAnsi="Arial Narrow"/>
        </w:rPr>
        <w:t>NIC</w:t>
      </w:r>
    </w:p>
    <w:p w:rsidR="00FE49DB" w:rsidRPr="00FE49DB" w:rsidRDefault="00FE49DB" w:rsidP="00FE49DB">
      <w:pPr>
        <w:tabs>
          <w:tab w:val="left" w:pos="3510"/>
        </w:tabs>
        <w:spacing w:line="360" w:lineRule="auto"/>
        <w:rPr>
          <w:rFonts w:ascii="Arial Narrow" w:hAnsi="Arial Narrow"/>
        </w:rPr>
      </w:pPr>
    </w:p>
    <w:p w:rsidR="00FE49DB" w:rsidRPr="0022436B" w:rsidRDefault="00FE49DB" w:rsidP="0022436B">
      <w:pPr>
        <w:tabs>
          <w:tab w:val="left" w:pos="3510"/>
        </w:tabs>
        <w:spacing w:line="360" w:lineRule="auto"/>
        <w:jc w:val="center"/>
        <w:rPr>
          <w:rFonts w:ascii="Arial Narrow" w:hAnsi="Arial Narrow"/>
          <w:b/>
        </w:rPr>
      </w:pPr>
    </w:p>
    <w:sectPr w:rsidR="00FE49DB" w:rsidRPr="0022436B" w:rsidSect="00BE39DB">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AD0" w:rsidRDefault="00D84AD0" w:rsidP="00BE39DB">
      <w:pPr>
        <w:spacing w:after="0" w:line="240" w:lineRule="auto"/>
      </w:pPr>
      <w:r>
        <w:separator/>
      </w:r>
    </w:p>
  </w:endnote>
  <w:endnote w:type="continuationSeparator" w:id="0">
    <w:p w:rsidR="00D84AD0" w:rsidRDefault="00D84AD0" w:rsidP="00BE3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Adorable">
    <w:altName w:val="Mistral"/>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E1D" w:rsidRPr="00D72C85" w:rsidRDefault="00230E1D" w:rsidP="00230E1D">
    <w:pPr>
      <w:pStyle w:val="Piedepgina"/>
      <w:rPr>
        <w:b/>
        <w:color w:val="5B9BD5" w:themeColor="accent1"/>
      </w:rPr>
    </w:pPr>
    <w:r w:rsidRPr="00D72C85">
      <w:rPr>
        <w:b/>
        <w:color w:val="5B9BD5" w:themeColor="accent1"/>
      </w:rPr>
      <w:t>________________________________________________________________________________________________________________________________________________________________</w:t>
    </w:r>
  </w:p>
  <w:p w:rsidR="00230E1D" w:rsidRDefault="00230E1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ED5" w:rsidRDefault="00D84AD0">
    <w:pPr>
      <w:pStyle w:val="Piedepgina"/>
      <w:jc w:val="right"/>
    </w:pPr>
  </w:p>
  <w:p w:rsidR="00D00ED5" w:rsidRDefault="00D84A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AD0" w:rsidRDefault="00D84AD0" w:rsidP="00BE39DB">
      <w:pPr>
        <w:spacing w:after="0" w:line="240" w:lineRule="auto"/>
      </w:pPr>
      <w:r>
        <w:separator/>
      </w:r>
    </w:p>
  </w:footnote>
  <w:footnote w:type="continuationSeparator" w:id="0">
    <w:p w:rsidR="00D84AD0" w:rsidRDefault="00D84AD0" w:rsidP="00BE39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E1D" w:rsidRPr="00D72C85" w:rsidRDefault="00230E1D" w:rsidP="00230E1D">
    <w:pPr>
      <w:jc w:val="right"/>
      <w:rPr>
        <w:rFonts w:ascii="Kunstler Script" w:hAnsi="Kunstler Script"/>
        <w:b/>
        <w:color w:val="44546A" w:themeColor="text2"/>
        <w:sz w:val="40"/>
        <w:szCs w:val="40"/>
        <w:u w:val="single"/>
      </w:rPr>
    </w:pPr>
    <w:r>
      <w:rPr>
        <w:rFonts w:ascii="Kunstler Script" w:hAnsi="Kunstler Script"/>
        <w:b/>
        <w:color w:val="44546A" w:themeColor="text2"/>
        <w:sz w:val="40"/>
        <w:szCs w:val="40"/>
        <w:u w:val="single"/>
      </w:rPr>
      <w:t>__________________________________________________________________Normas Internacionales de Contabilidad</w:t>
    </w:r>
  </w:p>
  <w:p w:rsidR="00230E1D" w:rsidRDefault="00230E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ED5" w:rsidRPr="009E315A" w:rsidRDefault="008E4D02" w:rsidP="00160310">
    <w:pPr>
      <w:pStyle w:val="Encabezado"/>
      <w:jc w:val="right"/>
      <w:rPr>
        <w:rFonts w:ascii="Adorable" w:hAnsi="Adorable"/>
        <w:color w:val="44546A" w:themeColor="text2"/>
        <w:sz w:val="24"/>
        <w:szCs w:val="24"/>
      </w:rPr>
    </w:pPr>
    <w:r w:rsidRPr="009E315A">
      <w:rPr>
        <w:rFonts w:ascii="Adorable" w:hAnsi="Adorable"/>
        <w:color w:val="44546A" w:themeColor="text2"/>
        <w:sz w:val="24"/>
        <w:szCs w:val="24"/>
      </w:rPr>
      <w:t xml:space="preserve">             </w:t>
    </w:r>
    <w:r w:rsidR="00BE39DB">
      <w:rPr>
        <w:rFonts w:ascii="Adorable" w:hAnsi="Adorable"/>
        <w:color w:val="44546A" w:themeColor="text2"/>
        <w:sz w:val="24"/>
        <w:szCs w:val="24"/>
      </w:rPr>
      <w:t xml:space="preserve">                  </w:t>
    </w:r>
  </w:p>
  <w:p w:rsidR="00D00ED5" w:rsidRPr="00570E6A" w:rsidRDefault="00D84AD0" w:rsidP="00160310">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03245"/>
    <w:multiLevelType w:val="hybridMultilevel"/>
    <w:tmpl w:val="BFD842AA"/>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10C206BE"/>
    <w:multiLevelType w:val="hybridMultilevel"/>
    <w:tmpl w:val="AE08D8D8"/>
    <w:lvl w:ilvl="0" w:tplc="440A0001">
      <w:start w:val="1"/>
      <w:numFmt w:val="bullet"/>
      <w:lvlText w:val=""/>
      <w:lvlJc w:val="left"/>
      <w:pPr>
        <w:ind w:left="820" w:hanging="360"/>
      </w:pPr>
      <w:rPr>
        <w:rFonts w:ascii="Symbol" w:hAnsi="Symbol" w:hint="default"/>
      </w:rPr>
    </w:lvl>
    <w:lvl w:ilvl="1" w:tplc="440A0003" w:tentative="1">
      <w:start w:val="1"/>
      <w:numFmt w:val="bullet"/>
      <w:lvlText w:val="o"/>
      <w:lvlJc w:val="left"/>
      <w:pPr>
        <w:ind w:left="1540" w:hanging="360"/>
      </w:pPr>
      <w:rPr>
        <w:rFonts w:ascii="Courier New" w:hAnsi="Courier New" w:cs="Courier New" w:hint="default"/>
      </w:rPr>
    </w:lvl>
    <w:lvl w:ilvl="2" w:tplc="440A0005" w:tentative="1">
      <w:start w:val="1"/>
      <w:numFmt w:val="bullet"/>
      <w:lvlText w:val=""/>
      <w:lvlJc w:val="left"/>
      <w:pPr>
        <w:ind w:left="2260" w:hanging="360"/>
      </w:pPr>
      <w:rPr>
        <w:rFonts w:ascii="Wingdings" w:hAnsi="Wingdings" w:hint="default"/>
      </w:rPr>
    </w:lvl>
    <w:lvl w:ilvl="3" w:tplc="440A0001" w:tentative="1">
      <w:start w:val="1"/>
      <w:numFmt w:val="bullet"/>
      <w:lvlText w:val=""/>
      <w:lvlJc w:val="left"/>
      <w:pPr>
        <w:ind w:left="2980" w:hanging="360"/>
      </w:pPr>
      <w:rPr>
        <w:rFonts w:ascii="Symbol" w:hAnsi="Symbol" w:hint="default"/>
      </w:rPr>
    </w:lvl>
    <w:lvl w:ilvl="4" w:tplc="440A0003" w:tentative="1">
      <w:start w:val="1"/>
      <w:numFmt w:val="bullet"/>
      <w:lvlText w:val="o"/>
      <w:lvlJc w:val="left"/>
      <w:pPr>
        <w:ind w:left="3700" w:hanging="360"/>
      </w:pPr>
      <w:rPr>
        <w:rFonts w:ascii="Courier New" w:hAnsi="Courier New" w:cs="Courier New" w:hint="default"/>
      </w:rPr>
    </w:lvl>
    <w:lvl w:ilvl="5" w:tplc="440A0005" w:tentative="1">
      <w:start w:val="1"/>
      <w:numFmt w:val="bullet"/>
      <w:lvlText w:val=""/>
      <w:lvlJc w:val="left"/>
      <w:pPr>
        <w:ind w:left="4420" w:hanging="360"/>
      </w:pPr>
      <w:rPr>
        <w:rFonts w:ascii="Wingdings" w:hAnsi="Wingdings" w:hint="default"/>
      </w:rPr>
    </w:lvl>
    <w:lvl w:ilvl="6" w:tplc="440A0001" w:tentative="1">
      <w:start w:val="1"/>
      <w:numFmt w:val="bullet"/>
      <w:lvlText w:val=""/>
      <w:lvlJc w:val="left"/>
      <w:pPr>
        <w:ind w:left="5140" w:hanging="360"/>
      </w:pPr>
      <w:rPr>
        <w:rFonts w:ascii="Symbol" w:hAnsi="Symbol" w:hint="default"/>
      </w:rPr>
    </w:lvl>
    <w:lvl w:ilvl="7" w:tplc="440A0003" w:tentative="1">
      <w:start w:val="1"/>
      <w:numFmt w:val="bullet"/>
      <w:lvlText w:val="o"/>
      <w:lvlJc w:val="left"/>
      <w:pPr>
        <w:ind w:left="5860" w:hanging="360"/>
      </w:pPr>
      <w:rPr>
        <w:rFonts w:ascii="Courier New" w:hAnsi="Courier New" w:cs="Courier New" w:hint="default"/>
      </w:rPr>
    </w:lvl>
    <w:lvl w:ilvl="8" w:tplc="440A0005" w:tentative="1">
      <w:start w:val="1"/>
      <w:numFmt w:val="bullet"/>
      <w:lvlText w:val=""/>
      <w:lvlJc w:val="left"/>
      <w:pPr>
        <w:ind w:left="6580" w:hanging="360"/>
      </w:pPr>
      <w:rPr>
        <w:rFonts w:ascii="Wingdings" w:hAnsi="Wingdings" w:hint="default"/>
      </w:rPr>
    </w:lvl>
  </w:abstractNum>
  <w:abstractNum w:abstractNumId="2">
    <w:nsid w:val="2223515B"/>
    <w:multiLevelType w:val="multilevel"/>
    <w:tmpl w:val="9F54F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38189C"/>
    <w:multiLevelType w:val="multilevel"/>
    <w:tmpl w:val="788E4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55674D"/>
    <w:multiLevelType w:val="hybridMultilevel"/>
    <w:tmpl w:val="AB348D1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2B004A4C"/>
    <w:multiLevelType w:val="multilevel"/>
    <w:tmpl w:val="1850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F97CF4"/>
    <w:multiLevelType w:val="hybridMultilevel"/>
    <w:tmpl w:val="161C997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3B5725BF"/>
    <w:multiLevelType w:val="hybridMultilevel"/>
    <w:tmpl w:val="B972047A"/>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3BEC16E6"/>
    <w:multiLevelType w:val="hybridMultilevel"/>
    <w:tmpl w:val="6864366E"/>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3D425393"/>
    <w:multiLevelType w:val="hybridMultilevel"/>
    <w:tmpl w:val="79FE9558"/>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411500D9"/>
    <w:multiLevelType w:val="multilevel"/>
    <w:tmpl w:val="2A8E01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9463E1"/>
    <w:multiLevelType w:val="hybridMultilevel"/>
    <w:tmpl w:val="E6A4C1F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51C36847"/>
    <w:multiLevelType w:val="hybridMultilevel"/>
    <w:tmpl w:val="82A20F1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66CD158F"/>
    <w:multiLevelType w:val="hybridMultilevel"/>
    <w:tmpl w:val="756E6C3C"/>
    <w:lvl w:ilvl="0" w:tplc="A1DCE81E">
      <w:numFmt w:val="bullet"/>
      <w:lvlText w:val="-"/>
      <w:lvlJc w:val="left"/>
      <w:pPr>
        <w:ind w:left="720" w:hanging="360"/>
      </w:pPr>
      <w:rPr>
        <w:rFonts w:ascii="Arial Narrow" w:eastAsiaTheme="minorEastAsia" w:hAnsi="Arial Narrow"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677660B2"/>
    <w:multiLevelType w:val="hybridMultilevel"/>
    <w:tmpl w:val="8A080098"/>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69AA6167"/>
    <w:multiLevelType w:val="hybridMultilevel"/>
    <w:tmpl w:val="B5EEE7F0"/>
    <w:lvl w:ilvl="0" w:tplc="440A0011">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74BD35DD"/>
    <w:multiLevelType w:val="hybridMultilevel"/>
    <w:tmpl w:val="CBECA71A"/>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3"/>
  </w:num>
  <w:num w:numId="4">
    <w:abstractNumId w:val="14"/>
  </w:num>
  <w:num w:numId="5">
    <w:abstractNumId w:val="3"/>
  </w:num>
  <w:num w:numId="6">
    <w:abstractNumId w:val="5"/>
  </w:num>
  <w:num w:numId="7">
    <w:abstractNumId w:val="10"/>
  </w:num>
  <w:num w:numId="8">
    <w:abstractNumId w:val="2"/>
  </w:num>
  <w:num w:numId="9">
    <w:abstractNumId w:val="8"/>
  </w:num>
  <w:num w:numId="10">
    <w:abstractNumId w:val="16"/>
  </w:num>
  <w:num w:numId="11">
    <w:abstractNumId w:val="1"/>
  </w:num>
  <w:num w:numId="12">
    <w:abstractNumId w:val="4"/>
  </w:num>
  <w:num w:numId="13">
    <w:abstractNumId w:val="15"/>
  </w:num>
  <w:num w:numId="14">
    <w:abstractNumId w:val="0"/>
  </w:num>
  <w:num w:numId="15">
    <w:abstractNumId w:val="7"/>
  </w:num>
  <w:num w:numId="16">
    <w:abstractNumId w:val="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1A4"/>
    <w:rsid w:val="000A4D84"/>
    <w:rsid w:val="000B2ED3"/>
    <w:rsid w:val="000E5F19"/>
    <w:rsid w:val="001362A3"/>
    <w:rsid w:val="00184CFD"/>
    <w:rsid w:val="001F1F8A"/>
    <w:rsid w:val="00200BBD"/>
    <w:rsid w:val="0022436B"/>
    <w:rsid w:val="00230E1D"/>
    <w:rsid w:val="00280F0F"/>
    <w:rsid w:val="0030237D"/>
    <w:rsid w:val="00385755"/>
    <w:rsid w:val="003B03E8"/>
    <w:rsid w:val="003C4140"/>
    <w:rsid w:val="00410A69"/>
    <w:rsid w:val="00454C15"/>
    <w:rsid w:val="004F331E"/>
    <w:rsid w:val="00511FE0"/>
    <w:rsid w:val="005556FB"/>
    <w:rsid w:val="0056133A"/>
    <w:rsid w:val="005720FF"/>
    <w:rsid w:val="00574445"/>
    <w:rsid w:val="005A1A0E"/>
    <w:rsid w:val="005B1AA0"/>
    <w:rsid w:val="00614E08"/>
    <w:rsid w:val="00642E28"/>
    <w:rsid w:val="006449BC"/>
    <w:rsid w:val="006B7EFB"/>
    <w:rsid w:val="006D1811"/>
    <w:rsid w:val="006E4878"/>
    <w:rsid w:val="007164BB"/>
    <w:rsid w:val="00774A56"/>
    <w:rsid w:val="007C7AF7"/>
    <w:rsid w:val="008344FE"/>
    <w:rsid w:val="00856705"/>
    <w:rsid w:val="00860652"/>
    <w:rsid w:val="00863D3E"/>
    <w:rsid w:val="008A4F02"/>
    <w:rsid w:val="008D0B9D"/>
    <w:rsid w:val="008E4D02"/>
    <w:rsid w:val="00952B7A"/>
    <w:rsid w:val="009A1EA6"/>
    <w:rsid w:val="009C4B7B"/>
    <w:rsid w:val="009C55A7"/>
    <w:rsid w:val="009D0CA1"/>
    <w:rsid w:val="009D7333"/>
    <w:rsid w:val="009F3F05"/>
    <w:rsid w:val="00A00D36"/>
    <w:rsid w:val="00A66AFE"/>
    <w:rsid w:val="00A91291"/>
    <w:rsid w:val="00AC6FB2"/>
    <w:rsid w:val="00B11106"/>
    <w:rsid w:val="00B14339"/>
    <w:rsid w:val="00B464C6"/>
    <w:rsid w:val="00B50AC0"/>
    <w:rsid w:val="00B72F54"/>
    <w:rsid w:val="00B83614"/>
    <w:rsid w:val="00BB6B27"/>
    <w:rsid w:val="00BE39DB"/>
    <w:rsid w:val="00BF2458"/>
    <w:rsid w:val="00C629B9"/>
    <w:rsid w:val="00CD4053"/>
    <w:rsid w:val="00D01768"/>
    <w:rsid w:val="00D771A4"/>
    <w:rsid w:val="00D84AD0"/>
    <w:rsid w:val="00DA7689"/>
    <w:rsid w:val="00DB607F"/>
    <w:rsid w:val="00E53599"/>
    <w:rsid w:val="00EA49B9"/>
    <w:rsid w:val="00EF2F36"/>
    <w:rsid w:val="00F02525"/>
    <w:rsid w:val="00F21B09"/>
    <w:rsid w:val="00F51491"/>
    <w:rsid w:val="00F84F25"/>
    <w:rsid w:val="00F95887"/>
    <w:rsid w:val="00FB56B4"/>
    <w:rsid w:val="00FE49D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ABDAAD-E3B0-468F-963A-2C2029C73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9DB"/>
    <w:pPr>
      <w:spacing w:after="200" w:line="276" w:lineRule="auto"/>
    </w:pPr>
    <w:rPr>
      <w:rFonts w:eastAsiaTheme="minorEastAsia"/>
      <w:lang w:val="es-ES" w:eastAsia="es-ES"/>
    </w:rPr>
  </w:style>
  <w:style w:type="paragraph" w:styleId="Ttulo1">
    <w:name w:val="heading 1"/>
    <w:basedOn w:val="Normal"/>
    <w:link w:val="Ttulo1Car"/>
    <w:uiPriority w:val="9"/>
    <w:qFormat/>
    <w:rsid w:val="00574445"/>
    <w:pPr>
      <w:spacing w:before="100" w:beforeAutospacing="1" w:after="100" w:afterAutospacing="1" w:line="240" w:lineRule="auto"/>
      <w:outlineLvl w:val="0"/>
    </w:pPr>
    <w:rPr>
      <w:rFonts w:ascii="Times New Roman" w:eastAsia="Times New Roman" w:hAnsi="Times New Roman" w:cs="Times New Roman"/>
      <w:b/>
      <w:bCs/>
      <w:kern w:val="36"/>
      <w:sz w:val="48"/>
      <w:szCs w:val="48"/>
      <w:lang w:val="es-SV"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39D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E39DB"/>
    <w:rPr>
      <w:rFonts w:eastAsiaTheme="minorEastAsia"/>
      <w:lang w:val="es-ES" w:eastAsia="es-ES"/>
    </w:rPr>
  </w:style>
  <w:style w:type="paragraph" w:styleId="Piedepgina">
    <w:name w:val="footer"/>
    <w:basedOn w:val="Normal"/>
    <w:link w:val="PiedepginaCar"/>
    <w:uiPriority w:val="99"/>
    <w:unhideWhenUsed/>
    <w:rsid w:val="00BE39D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E39DB"/>
    <w:rPr>
      <w:rFonts w:eastAsiaTheme="minorEastAsia"/>
      <w:lang w:val="es-ES" w:eastAsia="es-ES"/>
    </w:rPr>
  </w:style>
  <w:style w:type="paragraph" w:customStyle="1" w:styleId="Default">
    <w:name w:val="Default"/>
    <w:rsid w:val="008A4F0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ldoutline">
    <w:name w:val="bold outline"/>
    <w:basedOn w:val="Default"/>
    <w:next w:val="Default"/>
    <w:uiPriority w:val="99"/>
    <w:rsid w:val="008A4F02"/>
    <w:rPr>
      <w:color w:val="auto"/>
    </w:rPr>
  </w:style>
  <w:style w:type="paragraph" w:styleId="Prrafodelista">
    <w:name w:val="List Paragraph"/>
    <w:basedOn w:val="Normal"/>
    <w:uiPriority w:val="34"/>
    <w:qFormat/>
    <w:rsid w:val="008A4F02"/>
    <w:pPr>
      <w:ind w:left="720"/>
      <w:contextualSpacing/>
    </w:pPr>
  </w:style>
  <w:style w:type="paragraph" w:customStyle="1" w:styleId="title3">
    <w:name w:val="title3"/>
    <w:basedOn w:val="Normal"/>
    <w:rsid w:val="00574445"/>
    <w:pPr>
      <w:spacing w:before="100" w:beforeAutospacing="1" w:after="100" w:afterAutospacing="1" w:line="240" w:lineRule="auto"/>
    </w:pPr>
    <w:rPr>
      <w:rFonts w:ascii="Times New Roman" w:eastAsia="Times New Roman" w:hAnsi="Times New Roman" w:cs="Times New Roman"/>
      <w:sz w:val="24"/>
      <w:szCs w:val="24"/>
      <w:lang w:val="es-SV" w:eastAsia="es-SV"/>
    </w:rPr>
  </w:style>
  <w:style w:type="character" w:styleId="Textoennegrita">
    <w:name w:val="Strong"/>
    <w:basedOn w:val="Fuentedeprrafopredeter"/>
    <w:uiPriority w:val="22"/>
    <w:qFormat/>
    <w:rsid w:val="00574445"/>
    <w:rPr>
      <w:b/>
      <w:bCs/>
    </w:rPr>
  </w:style>
  <w:style w:type="character" w:styleId="Hipervnculo">
    <w:name w:val="Hyperlink"/>
    <w:basedOn w:val="Fuentedeprrafopredeter"/>
    <w:uiPriority w:val="99"/>
    <w:semiHidden/>
    <w:unhideWhenUsed/>
    <w:rsid w:val="00574445"/>
    <w:rPr>
      <w:color w:val="0000FF"/>
      <w:u w:val="single"/>
    </w:rPr>
  </w:style>
  <w:style w:type="paragraph" w:styleId="NormalWeb">
    <w:name w:val="Normal (Web)"/>
    <w:basedOn w:val="Normal"/>
    <w:uiPriority w:val="99"/>
    <w:unhideWhenUsed/>
    <w:rsid w:val="00574445"/>
    <w:pPr>
      <w:spacing w:before="100" w:beforeAutospacing="1" w:after="100" w:afterAutospacing="1" w:line="240" w:lineRule="auto"/>
    </w:pPr>
    <w:rPr>
      <w:rFonts w:ascii="Times New Roman" w:eastAsia="Times New Roman" w:hAnsi="Times New Roman" w:cs="Times New Roman"/>
      <w:sz w:val="24"/>
      <w:szCs w:val="24"/>
      <w:lang w:val="es-SV" w:eastAsia="es-SV"/>
    </w:rPr>
  </w:style>
  <w:style w:type="character" w:customStyle="1" w:styleId="Ttulo1Car">
    <w:name w:val="Título 1 Car"/>
    <w:basedOn w:val="Fuentedeprrafopredeter"/>
    <w:link w:val="Ttulo1"/>
    <w:uiPriority w:val="9"/>
    <w:rsid w:val="00574445"/>
    <w:rPr>
      <w:rFonts w:ascii="Times New Roman" w:eastAsia="Times New Roman" w:hAnsi="Times New Roman" w:cs="Times New Roman"/>
      <w:b/>
      <w:bCs/>
      <w:kern w:val="36"/>
      <w:sz w:val="48"/>
      <w:szCs w:val="48"/>
      <w:lang w:eastAsia="es-SV"/>
    </w:rPr>
  </w:style>
  <w:style w:type="character" w:customStyle="1" w:styleId="apple-converted-space">
    <w:name w:val="apple-converted-space"/>
    <w:basedOn w:val="Fuentedeprrafopredeter"/>
    <w:rsid w:val="00574445"/>
  </w:style>
  <w:style w:type="paragraph" w:styleId="Sinespaciado">
    <w:name w:val="No Spacing"/>
    <w:uiPriority w:val="1"/>
    <w:qFormat/>
    <w:rsid w:val="00B72F54"/>
    <w:pPr>
      <w:spacing w:after="0" w:line="240" w:lineRule="auto"/>
    </w:pPr>
  </w:style>
  <w:style w:type="character" w:customStyle="1" w:styleId="null">
    <w:name w:val="null"/>
    <w:basedOn w:val="Fuentedeprrafopredeter"/>
    <w:rsid w:val="00FE49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445194">
      <w:bodyDiv w:val="1"/>
      <w:marLeft w:val="0"/>
      <w:marRight w:val="0"/>
      <w:marTop w:val="0"/>
      <w:marBottom w:val="0"/>
      <w:divBdr>
        <w:top w:val="none" w:sz="0" w:space="0" w:color="auto"/>
        <w:left w:val="none" w:sz="0" w:space="0" w:color="auto"/>
        <w:bottom w:val="none" w:sz="0" w:space="0" w:color="auto"/>
        <w:right w:val="none" w:sz="0" w:space="0" w:color="auto"/>
      </w:divBdr>
    </w:div>
    <w:div w:id="536624483">
      <w:bodyDiv w:val="1"/>
      <w:marLeft w:val="0"/>
      <w:marRight w:val="0"/>
      <w:marTop w:val="0"/>
      <w:marBottom w:val="0"/>
      <w:divBdr>
        <w:top w:val="none" w:sz="0" w:space="0" w:color="auto"/>
        <w:left w:val="none" w:sz="0" w:space="0" w:color="auto"/>
        <w:bottom w:val="none" w:sz="0" w:space="0" w:color="auto"/>
        <w:right w:val="none" w:sz="0" w:space="0" w:color="auto"/>
      </w:divBdr>
      <w:divsChild>
        <w:div w:id="907568595">
          <w:marLeft w:val="0"/>
          <w:marRight w:val="0"/>
          <w:marTop w:val="0"/>
          <w:marBottom w:val="0"/>
          <w:divBdr>
            <w:top w:val="none" w:sz="0" w:space="0" w:color="auto"/>
            <w:left w:val="none" w:sz="0" w:space="0" w:color="auto"/>
            <w:bottom w:val="none" w:sz="0" w:space="0" w:color="auto"/>
            <w:right w:val="none" w:sz="0" w:space="0" w:color="auto"/>
          </w:divBdr>
        </w:div>
        <w:div w:id="2099934853">
          <w:marLeft w:val="0"/>
          <w:marRight w:val="0"/>
          <w:marTop w:val="0"/>
          <w:marBottom w:val="0"/>
          <w:divBdr>
            <w:top w:val="none" w:sz="0" w:space="0" w:color="auto"/>
            <w:left w:val="none" w:sz="0" w:space="0" w:color="auto"/>
            <w:bottom w:val="none" w:sz="0" w:space="0" w:color="auto"/>
            <w:right w:val="none" w:sz="0" w:space="0" w:color="auto"/>
          </w:divBdr>
        </w:div>
        <w:div w:id="178665867">
          <w:marLeft w:val="0"/>
          <w:marRight w:val="0"/>
          <w:marTop w:val="0"/>
          <w:marBottom w:val="0"/>
          <w:divBdr>
            <w:top w:val="none" w:sz="0" w:space="0" w:color="auto"/>
            <w:left w:val="none" w:sz="0" w:space="0" w:color="auto"/>
            <w:bottom w:val="none" w:sz="0" w:space="0" w:color="auto"/>
            <w:right w:val="none" w:sz="0" w:space="0" w:color="auto"/>
          </w:divBdr>
        </w:div>
        <w:div w:id="552162668">
          <w:marLeft w:val="0"/>
          <w:marRight w:val="0"/>
          <w:marTop w:val="0"/>
          <w:marBottom w:val="0"/>
          <w:divBdr>
            <w:top w:val="none" w:sz="0" w:space="0" w:color="auto"/>
            <w:left w:val="none" w:sz="0" w:space="0" w:color="auto"/>
            <w:bottom w:val="none" w:sz="0" w:space="0" w:color="auto"/>
            <w:right w:val="none" w:sz="0" w:space="0" w:color="auto"/>
          </w:divBdr>
        </w:div>
        <w:div w:id="882060340">
          <w:marLeft w:val="0"/>
          <w:marRight w:val="0"/>
          <w:marTop w:val="0"/>
          <w:marBottom w:val="0"/>
          <w:divBdr>
            <w:top w:val="none" w:sz="0" w:space="0" w:color="auto"/>
            <w:left w:val="none" w:sz="0" w:space="0" w:color="auto"/>
            <w:bottom w:val="none" w:sz="0" w:space="0" w:color="auto"/>
            <w:right w:val="none" w:sz="0" w:space="0" w:color="auto"/>
          </w:divBdr>
        </w:div>
        <w:div w:id="1722050579">
          <w:marLeft w:val="0"/>
          <w:marRight w:val="0"/>
          <w:marTop w:val="0"/>
          <w:marBottom w:val="0"/>
          <w:divBdr>
            <w:top w:val="none" w:sz="0" w:space="0" w:color="auto"/>
            <w:left w:val="none" w:sz="0" w:space="0" w:color="auto"/>
            <w:bottom w:val="none" w:sz="0" w:space="0" w:color="auto"/>
            <w:right w:val="none" w:sz="0" w:space="0" w:color="auto"/>
          </w:divBdr>
        </w:div>
        <w:div w:id="1431050082">
          <w:marLeft w:val="0"/>
          <w:marRight w:val="0"/>
          <w:marTop w:val="0"/>
          <w:marBottom w:val="0"/>
          <w:divBdr>
            <w:top w:val="none" w:sz="0" w:space="0" w:color="auto"/>
            <w:left w:val="none" w:sz="0" w:space="0" w:color="auto"/>
            <w:bottom w:val="none" w:sz="0" w:space="0" w:color="auto"/>
            <w:right w:val="none" w:sz="0" w:space="0" w:color="auto"/>
          </w:divBdr>
        </w:div>
        <w:div w:id="614481830">
          <w:marLeft w:val="0"/>
          <w:marRight w:val="0"/>
          <w:marTop w:val="0"/>
          <w:marBottom w:val="0"/>
          <w:divBdr>
            <w:top w:val="none" w:sz="0" w:space="0" w:color="auto"/>
            <w:left w:val="none" w:sz="0" w:space="0" w:color="auto"/>
            <w:bottom w:val="none" w:sz="0" w:space="0" w:color="auto"/>
            <w:right w:val="none" w:sz="0" w:space="0" w:color="auto"/>
          </w:divBdr>
        </w:div>
        <w:div w:id="1849130729">
          <w:marLeft w:val="0"/>
          <w:marRight w:val="0"/>
          <w:marTop w:val="0"/>
          <w:marBottom w:val="0"/>
          <w:divBdr>
            <w:top w:val="none" w:sz="0" w:space="0" w:color="auto"/>
            <w:left w:val="none" w:sz="0" w:space="0" w:color="auto"/>
            <w:bottom w:val="none" w:sz="0" w:space="0" w:color="auto"/>
            <w:right w:val="none" w:sz="0" w:space="0" w:color="auto"/>
          </w:divBdr>
        </w:div>
        <w:div w:id="1619214141">
          <w:marLeft w:val="0"/>
          <w:marRight w:val="0"/>
          <w:marTop w:val="0"/>
          <w:marBottom w:val="0"/>
          <w:divBdr>
            <w:top w:val="none" w:sz="0" w:space="0" w:color="auto"/>
            <w:left w:val="none" w:sz="0" w:space="0" w:color="auto"/>
            <w:bottom w:val="none" w:sz="0" w:space="0" w:color="auto"/>
            <w:right w:val="none" w:sz="0" w:space="0" w:color="auto"/>
          </w:divBdr>
        </w:div>
        <w:div w:id="881215839">
          <w:marLeft w:val="0"/>
          <w:marRight w:val="0"/>
          <w:marTop w:val="0"/>
          <w:marBottom w:val="0"/>
          <w:divBdr>
            <w:top w:val="none" w:sz="0" w:space="0" w:color="auto"/>
            <w:left w:val="none" w:sz="0" w:space="0" w:color="auto"/>
            <w:bottom w:val="none" w:sz="0" w:space="0" w:color="auto"/>
            <w:right w:val="none" w:sz="0" w:space="0" w:color="auto"/>
          </w:divBdr>
        </w:div>
        <w:div w:id="1622690218">
          <w:marLeft w:val="0"/>
          <w:marRight w:val="0"/>
          <w:marTop w:val="0"/>
          <w:marBottom w:val="0"/>
          <w:divBdr>
            <w:top w:val="none" w:sz="0" w:space="0" w:color="auto"/>
            <w:left w:val="none" w:sz="0" w:space="0" w:color="auto"/>
            <w:bottom w:val="none" w:sz="0" w:space="0" w:color="auto"/>
            <w:right w:val="none" w:sz="0" w:space="0" w:color="auto"/>
          </w:divBdr>
        </w:div>
        <w:div w:id="169024108">
          <w:marLeft w:val="0"/>
          <w:marRight w:val="0"/>
          <w:marTop w:val="0"/>
          <w:marBottom w:val="0"/>
          <w:divBdr>
            <w:top w:val="none" w:sz="0" w:space="0" w:color="auto"/>
            <w:left w:val="none" w:sz="0" w:space="0" w:color="auto"/>
            <w:bottom w:val="none" w:sz="0" w:space="0" w:color="auto"/>
            <w:right w:val="none" w:sz="0" w:space="0" w:color="auto"/>
          </w:divBdr>
        </w:div>
        <w:div w:id="751391659">
          <w:marLeft w:val="0"/>
          <w:marRight w:val="0"/>
          <w:marTop w:val="0"/>
          <w:marBottom w:val="0"/>
          <w:divBdr>
            <w:top w:val="none" w:sz="0" w:space="0" w:color="auto"/>
            <w:left w:val="none" w:sz="0" w:space="0" w:color="auto"/>
            <w:bottom w:val="none" w:sz="0" w:space="0" w:color="auto"/>
            <w:right w:val="none" w:sz="0" w:space="0" w:color="auto"/>
          </w:divBdr>
        </w:div>
        <w:div w:id="1425417794">
          <w:marLeft w:val="0"/>
          <w:marRight w:val="0"/>
          <w:marTop w:val="0"/>
          <w:marBottom w:val="0"/>
          <w:divBdr>
            <w:top w:val="none" w:sz="0" w:space="0" w:color="auto"/>
            <w:left w:val="none" w:sz="0" w:space="0" w:color="auto"/>
            <w:bottom w:val="none" w:sz="0" w:space="0" w:color="auto"/>
            <w:right w:val="none" w:sz="0" w:space="0" w:color="auto"/>
          </w:divBdr>
        </w:div>
        <w:div w:id="920065681">
          <w:marLeft w:val="0"/>
          <w:marRight w:val="0"/>
          <w:marTop w:val="0"/>
          <w:marBottom w:val="0"/>
          <w:divBdr>
            <w:top w:val="none" w:sz="0" w:space="0" w:color="auto"/>
            <w:left w:val="none" w:sz="0" w:space="0" w:color="auto"/>
            <w:bottom w:val="none" w:sz="0" w:space="0" w:color="auto"/>
            <w:right w:val="none" w:sz="0" w:space="0" w:color="auto"/>
          </w:divBdr>
        </w:div>
        <w:div w:id="1216821247">
          <w:marLeft w:val="0"/>
          <w:marRight w:val="0"/>
          <w:marTop w:val="0"/>
          <w:marBottom w:val="0"/>
          <w:divBdr>
            <w:top w:val="none" w:sz="0" w:space="0" w:color="auto"/>
            <w:left w:val="none" w:sz="0" w:space="0" w:color="auto"/>
            <w:bottom w:val="none" w:sz="0" w:space="0" w:color="auto"/>
            <w:right w:val="none" w:sz="0" w:space="0" w:color="auto"/>
          </w:divBdr>
        </w:div>
        <w:div w:id="1486900316">
          <w:marLeft w:val="0"/>
          <w:marRight w:val="0"/>
          <w:marTop w:val="0"/>
          <w:marBottom w:val="0"/>
          <w:divBdr>
            <w:top w:val="none" w:sz="0" w:space="0" w:color="auto"/>
            <w:left w:val="none" w:sz="0" w:space="0" w:color="auto"/>
            <w:bottom w:val="none" w:sz="0" w:space="0" w:color="auto"/>
            <w:right w:val="none" w:sz="0" w:space="0" w:color="auto"/>
          </w:divBdr>
        </w:div>
        <w:div w:id="1996689084">
          <w:marLeft w:val="0"/>
          <w:marRight w:val="0"/>
          <w:marTop w:val="0"/>
          <w:marBottom w:val="0"/>
          <w:divBdr>
            <w:top w:val="none" w:sz="0" w:space="0" w:color="auto"/>
            <w:left w:val="none" w:sz="0" w:space="0" w:color="auto"/>
            <w:bottom w:val="none" w:sz="0" w:space="0" w:color="auto"/>
            <w:right w:val="none" w:sz="0" w:space="0" w:color="auto"/>
          </w:divBdr>
        </w:div>
        <w:div w:id="1062486005">
          <w:marLeft w:val="0"/>
          <w:marRight w:val="0"/>
          <w:marTop w:val="0"/>
          <w:marBottom w:val="0"/>
          <w:divBdr>
            <w:top w:val="none" w:sz="0" w:space="0" w:color="auto"/>
            <w:left w:val="none" w:sz="0" w:space="0" w:color="auto"/>
            <w:bottom w:val="none" w:sz="0" w:space="0" w:color="auto"/>
            <w:right w:val="none" w:sz="0" w:space="0" w:color="auto"/>
          </w:divBdr>
        </w:div>
        <w:div w:id="848061968">
          <w:marLeft w:val="0"/>
          <w:marRight w:val="0"/>
          <w:marTop w:val="0"/>
          <w:marBottom w:val="0"/>
          <w:divBdr>
            <w:top w:val="none" w:sz="0" w:space="0" w:color="auto"/>
            <w:left w:val="none" w:sz="0" w:space="0" w:color="auto"/>
            <w:bottom w:val="none" w:sz="0" w:space="0" w:color="auto"/>
            <w:right w:val="none" w:sz="0" w:space="0" w:color="auto"/>
          </w:divBdr>
        </w:div>
        <w:div w:id="722561439">
          <w:marLeft w:val="0"/>
          <w:marRight w:val="0"/>
          <w:marTop w:val="0"/>
          <w:marBottom w:val="0"/>
          <w:divBdr>
            <w:top w:val="none" w:sz="0" w:space="0" w:color="auto"/>
            <w:left w:val="none" w:sz="0" w:space="0" w:color="auto"/>
            <w:bottom w:val="none" w:sz="0" w:space="0" w:color="auto"/>
            <w:right w:val="none" w:sz="0" w:space="0" w:color="auto"/>
          </w:divBdr>
        </w:div>
        <w:div w:id="225727520">
          <w:marLeft w:val="0"/>
          <w:marRight w:val="0"/>
          <w:marTop w:val="0"/>
          <w:marBottom w:val="0"/>
          <w:divBdr>
            <w:top w:val="none" w:sz="0" w:space="0" w:color="auto"/>
            <w:left w:val="none" w:sz="0" w:space="0" w:color="auto"/>
            <w:bottom w:val="none" w:sz="0" w:space="0" w:color="auto"/>
            <w:right w:val="none" w:sz="0" w:space="0" w:color="auto"/>
          </w:divBdr>
        </w:div>
        <w:div w:id="2070569859">
          <w:marLeft w:val="0"/>
          <w:marRight w:val="0"/>
          <w:marTop w:val="0"/>
          <w:marBottom w:val="0"/>
          <w:divBdr>
            <w:top w:val="none" w:sz="0" w:space="0" w:color="auto"/>
            <w:left w:val="none" w:sz="0" w:space="0" w:color="auto"/>
            <w:bottom w:val="none" w:sz="0" w:space="0" w:color="auto"/>
            <w:right w:val="none" w:sz="0" w:space="0" w:color="auto"/>
          </w:divBdr>
        </w:div>
        <w:div w:id="1027632802">
          <w:marLeft w:val="0"/>
          <w:marRight w:val="0"/>
          <w:marTop w:val="0"/>
          <w:marBottom w:val="0"/>
          <w:divBdr>
            <w:top w:val="none" w:sz="0" w:space="0" w:color="auto"/>
            <w:left w:val="none" w:sz="0" w:space="0" w:color="auto"/>
            <w:bottom w:val="none" w:sz="0" w:space="0" w:color="auto"/>
            <w:right w:val="none" w:sz="0" w:space="0" w:color="auto"/>
          </w:divBdr>
        </w:div>
        <w:div w:id="1664313249">
          <w:marLeft w:val="0"/>
          <w:marRight w:val="0"/>
          <w:marTop w:val="0"/>
          <w:marBottom w:val="0"/>
          <w:divBdr>
            <w:top w:val="none" w:sz="0" w:space="0" w:color="auto"/>
            <w:left w:val="none" w:sz="0" w:space="0" w:color="auto"/>
            <w:bottom w:val="none" w:sz="0" w:space="0" w:color="auto"/>
            <w:right w:val="none" w:sz="0" w:space="0" w:color="auto"/>
          </w:divBdr>
        </w:div>
        <w:div w:id="696661878">
          <w:marLeft w:val="0"/>
          <w:marRight w:val="0"/>
          <w:marTop w:val="0"/>
          <w:marBottom w:val="0"/>
          <w:divBdr>
            <w:top w:val="none" w:sz="0" w:space="0" w:color="auto"/>
            <w:left w:val="none" w:sz="0" w:space="0" w:color="auto"/>
            <w:bottom w:val="none" w:sz="0" w:space="0" w:color="auto"/>
            <w:right w:val="none" w:sz="0" w:space="0" w:color="auto"/>
          </w:divBdr>
        </w:div>
        <w:div w:id="1004936253">
          <w:marLeft w:val="0"/>
          <w:marRight w:val="0"/>
          <w:marTop w:val="0"/>
          <w:marBottom w:val="0"/>
          <w:divBdr>
            <w:top w:val="none" w:sz="0" w:space="0" w:color="auto"/>
            <w:left w:val="none" w:sz="0" w:space="0" w:color="auto"/>
            <w:bottom w:val="none" w:sz="0" w:space="0" w:color="auto"/>
            <w:right w:val="none" w:sz="0" w:space="0" w:color="auto"/>
          </w:divBdr>
        </w:div>
        <w:div w:id="1710375024">
          <w:marLeft w:val="0"/>
          <w:marRight w:val="0"/>
          <w:marTop w:val="0"/>
          <w:marBottom w:val="0"/>
          <w:divBdr>
            <w:top w:val="none" w:sz="0" w:space="0" w:color="auto"/>
            <w:left w:val="none" w:sz="0" w:space="0" w:color="auto"/>
            <w:bottom w:val="none" w:sz="0" w:space="0" w:color="auto"/>
            <w:right w:val="none" w:sz="0" w:space="0" w:color="auto"/>
          </w:divBdr>
        </w:div>
        <w:div w:id="566574409">
          <w:marLeft w:val="0"/>
          <w:marRight w:val="0"/>
          <w:marTop w:val="0"/>
          <w:marBottom w:val="0"/>
          <w:divBdr>
            <w:top w:val="none" w:sz="0" w:space="0" w:color="auto"/>
            <w:left w:val="none" w:sz="0" w:space="0" w:color="auto"/>
            <w:bottom w:val="none" w:sz="0" w:space="0" w:color="auto"/>
            <w:right w:val="none" w:sz="0" w:space="0" w:color="auto"/>
          </w:divBdr>
        </w:div>
        <w:div w:id="698362019">
          <w:marLeft w:val="0"/>
          <w:marRight w:val="0"/>
          <w:marTop w:val="0"/>
          <w:marBottom w:val="0"/>
          <w:divBdr>
            <w:top w:val="none" w:sz="0" w:space="0" w:color="auto"/>
            <w:left w:val="none" w:sz="0" w:space="0" w:color="auto"/>
            <w:bottom w:val="none" w:sz="0" w:space="0" w:color="auto"/>
            <w:right w:val="none" w:sz="0" w:space="0" w:color="auto"/>
          </w:divBdr>
        </w:div>
        <w:div w:id="360670796">
          <w:marLeft w:val="0"/>
          <w:marRight w:val="0"/>
          <w:marTop w:val="0"/>
          <w:marBottom w:val="0"/>
          <w:divBdr>
            <w:top w:val="none" w:sz="0" w:space="0" w:color="auto"/>
            <w:left w:val="none" w:sz="0" w:space="0" w:color="auto"/>
            <w:bottom w:val="none" w:sz="0" w:space="0" w:color="auto"/>
            <w:right w:val="none" w:sz="0" w:space="0" w:color="auto"/>
          </w:divBdr>
        </w:div>
        <w:div w:id="273901306">
          <w:marLeft w:val="0"/>
          <w:marRight w:val="0"/>
          <w:marTop w:val="0"/>
          <w:marBottom w:val="0"/>
          <w:divBdr>
            <w:top w:val="none" w:sz="0" w:space="0" w:color="auto"/>
            <w:left w:val="none" w:sz="0" w:space="0" w:color="auto"/>
            <w:bottom w:val="none" w:sz="0" w:space="0" w:color="auto"/>
            <w:right w:val="none" w:sz="0" w:space="0" w:color="auto"/>
          </w:divBdr>
        </w:div>
        <w:div w:id="518350256">
          <w:marLeft w:val="0"/>
          <w:marRight w:val="0"/>
          <w:marTop w:val="0"/>
          <w:marBottom w:val="0"/>
          <w:divBdr>
            <w:top w:val="none" w:sz="0" w:space="0" w:color="auto"/>
            <w:left w:val="none" w:sz="0" w:space="0" w:color="auto"/>
            <w:bottom w:val="none" w:sz="0" w:space="0" w:color="auto"/>
            <w:right w:val="none" w:sz="0" w:space="0" w:color="auto"/>
          </w:divBdr>
        </w:div>
        <w:div w:id="649093088">
          <w:marLeft w:val="0"/>
          <w:marRight w:val="0"/>
          <w:marTop w:val="0"/>
          <w:marBottom w:val="0"/>
          <w:divBdr>
            <w:top w:val="none" w:sz="0" w:space="0" w:color="auto"/>
            <w:left w:val="none" w:sz="0" w:space="0" w:color="auto"/>
            <w:bottom w:val="none" w:sz="0" w:space="0" w:color="auto"/>
            <w:right w:val="none" w:sz="0" w:space="0" w:color="auto"/>
          </w:divBdr>
        </w:div>
        <w:div w:id="881751952">
          <w:marLeft w:val="0"/>
          <w:marRight w:val="0"/>
          <w:marTop w:val="0"/>
          <w:marBottom w:val="0"/>
          <w:divBdr>
            <w:top w:val="none" w:sz="0" w:space="0" w:color="auto"/>
            <w:left w:val="none" w:sz="0" w:space="0" w:color="auto"/>
            <w:bottom w:val="none" w:sz="0" w:space="0" w:color="auto"/>
            <w:right w:val="none" w:sz="0" w:space="0" w:color="auto"/>
          </w:divBdr>
        </w:div>
        <w:div w:id="1980570510">
          <w:marLeft w:val="0"/>
          <w:marRight w:val="0"/>
          <w:marTop w:val="0"/>
          <w:marBottom w:val="0"/>
          <w:divBdr>
            <w:top w:val="none" w:sz="0" w:space="0" w:color="auto"/>
            <w:left w:val="none" w:sz="0" w:space="0" w:color="auto"/>
            <w:bottom w:val="none" w:sz="0" w:space="0" w:color="auto"/>
            <w:right w:val="none" w:sz="0" w:space="0" w:color="auto"/>
          </w:divBdr>
        </w:div>
        <w:div w:id="935791937">
          <w:marLeft w:val="0"/>
          <w:marRight w:val="0"/>
          <w:marTop w:val="0"/>
          <w:marBottom w:val="0"/>
          <w:divBdr>
            <w:top w:val="none" w:sz="0" w:space="0" w:color="auto"/>
            <w:left w:val="none" w:sz="0" w:space="0" w:color="auto"/>
            <w:bottom w:val="none" w:sz="0" w:space="0" w:color="auto"/>
            <w:right w:val="none" w:sz="0" w:space="0" w:color="auto"/>
          </w:divBdr>
        </w:div>
        <w:div w:id="1921016312">
          <w:marLeft w:val="0"/>
          <w:marRight w:val="0"/>
          <w:marTop w:val="0"/>
          <w:marBottom w:val="0"/>
          <w:divBdr>
            <w:top w:val="none" w:sz="0" w:space="0" w:color="auto"/>
            <w:left w:val="none" w:sz="0" w:space="0" w:color="auto"/>
            <w:bottom w:val="none" w:sz="0" w:space="0" w:color="auto"/>
            <w:right w:val="none" w:sz="0" w:space="0" w:color="auto"/>
          </w:divBdr>
        </w:div>
        <w:div w:id="528303657">
          <w:marLeft w:val="0"/>
          <w:marRight w:val="0"/>
          <w:marTop w:val="0"/>
          <w:marBottom w:val="0"/>
          <w:divBdr>
            <w:top w:val="none" w:sz="0" w:space="0" w:color="auto"/>
            <w:left w:val="none" w:sz="0" w:space="0" w:color="auto"/>
            <w:bottom w:val="none" w:sz="0" w:space="0" w:color="auto"/>
            <w:right w:val="none" w:sz="0" w:space="0" w:color="auto"/>
          </w:divBdr>
        </w:div>
        <w:div w:id="722560263">
          <w:marLeft w:val="0"/>
          <w:marRight w:val="0"/>
          <w:marTop w:val="0"/>
          <w:marBottom w:val="0"/>
          <w:divBdr>
            <w:top w:val="none" w:sz="0" w:space="0" w:color="auto"/>
            <w:left w:val="none" w:sz="0" w:space="0" w:color="auto"/>
            <w:bottom w:val="none" w:sz="0" w:space="0" w:color="auto"/>
            <w:right w:val="none" w:sz="0" w:space="0" w:color="auto"/>
          </w:divBdr>
        </w:div>
        <w:div w:id="1509252814">
          <w:marLeft w:val="0"/>
          <w:marRight w:val="0"/>
          <w:marTop w:val="0"/>
          <w:marBottom w:val="0"/>
          <w:divBdr>
            <w:top w:val="none" w:sz="0" w:space="0" w:color="auto"/>
            <w:left w:val="none" w:sz="0" w:space="0" w:color="auto"/>
            <w:bottom w:val="none" w:sz="0" w:space="0" w:color="auto"/>
            <w:right w:val="none" w:sz="0" w:space="0" w:color="auto"/>
          </w:divBdr>
        </w:div>
        <w:div w:id="684405388">
          <w:marLeft w:val="0"/>
          <w:marRight w:val="0"/>
          <w:marTop w:val="0"/>
          <w:marBottom w:val="0"/>
          <w:divBdr>
            <w:top w:val="none" w:sz="0" w:space="0" w:color="auto"/>
            <w:left w:val="none" w:sz="0" w:space="0" w:color="auto"/>
            <w:bottom w:val="none" w:sz="0" w:space="0" w:color="auto"/>
            <w:right w:val="none" w:sz="0" w:space="0" w:color="auto"/>
          </w:divBdr>
        </w:div>
        <w:div w:id="1062604672">
          <w:marLeft w:val="0"/>
          <w:marRight w:val="0"/>
          <w:marTop w:val="0"/>
          <w:marBottom w:val="0"/>
          <w:divBdr>
            <w:top w:val="none" w:sz="0" w:space="0" w:color="auto"/>
            <w:left w:val="none" w:sz="0" w:space="0" w:color="auto"/>
            <w:bottom w:val="none" w:sz="0" w:space="0" w:color="auto"/>
            <w:right w:val="none" w:sz="0" w:space="0" w:color="auto"/>
          </w:divBdr>
        </w:div>
      </w:divsChild>
    </w:div>
    <w:div w:id="1957907229">
      <w:bodyDiv w:val="1"/>
      <w:marLeft w:val="0"/>
      <w:marRight w:val="0"/>
      <w:marTop w:val="0"/>
      <w:marBottom w:val="0"/>
      <w:divBdr>
        <w:top w:val="none" w:sz="0" w:space="0" w:color="auto"/>
        <w:left w:val="none" w:sz="0" w:space="0" w:color="auto"/>
        <w:bottom w:val="none" w:sz="0" w:space="0" w:color="auto"/>
        <w:right w:val="none" w:sz="0" w:space="0" w:color="auto"/>
      </w:divBdr>
      <w:divsChild>
        <w:div w:id="2101750605">
          <w:marLeft w:val="0"/>
          <w:marRight w:val="0"/>
          <w:marTop w:val="0"/>
          <w:marBottom w:val="0"/>
          <w:divBdr>
            <w:top w:val="none" w:sz="0" w:space="0" w:color="auto"/>
            <w:left w:val="none" w:sz="0" w:space="0" w:color="auto"/>
            <w:bottom w:val="none" w:sz="0" w:space="0" w:color="auto"/>
            <w:right w:val="none" w:sz="0" w:space="0" w:color="auto"/>
          </w:divBdr>
          <w:divsChild>
            <w:div w:id="199511939">
              <w:marLeft w:val="0"/>
              <w:marRight w:val="0"/>
              <w:marTop w:val="0"/>
              <w:marBottom w:val="0"/>
              <w:divBdr>
                <w:top w:val="none" w:sz="0" w:space="0" w:color="auto"/>
                <w:left w:val="none" w:sz="0" w:space="0" w:color="auto"/>
                <w:bottom w:val="none" w:sz="0" w:space="0" w:color="auto"/>
                <w:right w:val="none" w:sz="0" w:space="0" w:color="auto"/>
              </w:divBdr>
            </w:div>
          </w:divsChild>
        </w:div>
        <w:div w:id="87311845">
          <w:marLeft w:val="0"/>
          <w:marRight w:val="0"/>
          <w:marTop w:val="0"/>
          <w:marBottom w:val="0"/>
          <w:divBdr>
            <w:top w:val="none" w:sz="0" w:space="0" w:color="auto"/>
            <w:left w:val="none" w:sz="0" w:space="0" w:color="auto"/>
            <w:bottom w:val="none" w:sz="0" w:space="0" w:color="auto"/>
            <w:right w:val="none" w:sz="0" w:space="0" w:color="auto"/>
          </w:divBdr>
          <w:divsChild>
            <w:div w:id="1065688733">
              <w:marLeft w:val="0"/>
              <w:marRight w:val="0"/>
              <w:marTop w:val="0"/>
              <w:marBottom w:val="0"/>
              <w:divBdr>
                <w:top w:val="none" w:sz="0" w:space="0" w:color="auto"/>
                <w:left w:val="none" w:sz="0" w:space="0" w:color="auto"/>
                <w:bottom w:val="none" w:sz="0" w:space="0" w:color="auto"/>
                <w:right w:val="none" w:sz="0" w:space="0" w:color="auto"/>
              </w:divBdr>
            </w:div>
          </w:divsChild>
        </w:div>
        <w:div w:id="986787152">
          <w:marLeft w:val="0"/>
          <w:marRight w:val="0"/>
          <w:marTop w:val="0"/>
          <w:marBottom w:val="0"/>
          <w:divBdr>
            <w:top w:val="none" w:sz="0" w:space="0" w:color="auto"/>
            <w:left w:val="none" w:sz="0" w:space="0" w:color="auto"/>
            <w:bottom w:val="none" w:sz="0" w:space="0" w:color="auto"/>
            <w:right w:val="none" w:sz="0" w:space="0" w:color="auto"/>
          </w:divBdr>
          <w:divsChild>
            <w:div w:id="2084834890">
              <w:marLeft w:val="0"/>
              <w:marRight w:val="0"/>
              <w:marTop w:val="0"/>
              <w:marBottom w:val="0"/>
              <w:divBdr>
                <w:top w:val="none" w:sz="0" w:space="0" w:color="auto"/>
                <w:left w:val="none" w:sz="0" w:space="0" w:color="auto"/>
                <w:bottom w:val="none" w:sz="0" w:space="0" w:color="auto"/>
                <w:right w:val="none" w:sz="0" w:space="0" w:color="auto"/>
              </w:divBdr>
            </w:div>
          </w:divsChild>
        </w:div>
        <w:div w:id="1172597887">
          <w:marLeft w:val="0"/>
          <w:marRight w:val="0"/>
          <w:marTop w:val="0"/>
          <w:marBottom w:val="0"/>
          <w:divBdr>
            <w:top w:val="none" w:sz="0" w:space="0" w:color="auto"/>
            <w:left w:val="none" w:sz="0" w:space="0" w:color="auto"/>
            <w:bottom w:val="none" w:sz="0" w:space="0" w:color="auto"/>
            <w:right w:val="none" w:sz="0" w:space="0" w:color="auto"/>
          </w:divBdr>
          <w:divsChild>
            <w:div w:id="184650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g"/><Relationship Id="rId26" Type="http://schemas.openxmlformats.org/officeDocument/2006/relationships/image" Target="media/image13.png"/><Relationship Id="rId39" Type="http://schemas.openxmlformats.org/officeDocument/2006/relationships/hyperlink" Target="https://www.bolsadevalores.com.sv/admin/pictures/294/display" TargetMode="External"/><Relationship Id="rId21" Type="http://schemas.openxmlformats.org/officeDocument/2006/relationships/image" Target="media/image8.jpg"/><Relationship Id="rId34" Type="http://schemas.openxmlformats.org/officeDocument/2006/relationships/hyperlink" Target="https://www.bolsadevalores.com.sv/la-bolsa-de-valores" TargetMode="External"/><Relationship Id="rId42" Type="http://schemas.openxmlformats.org/officeDocument/2006/relationships/image" Target="media/image25.emf"/><Relationship Id="rId47" Type="http://schemas.openxmlformats.org/officeDocument/2006/relationships/hyperlink" Target="https://www.bolsadevalores.com.sv/conozca-a-la-bolsa"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erencie.com/flujos-de-efectivo.html" TargetMode="External"/><Relationship Id="rId29" Type="http://schemas.openxmlformats.org/officeDocument/2006/relationships/image" Target="media/image16.jpeg"/><Relationship Id="rId11" Type="http://schemas.microsoft.com/office/2007/relationships/hdphoto" Target="media/hdphoto1.wdp"/><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hyperlink" Target="https://www.bolsadevalores.com.sv/admin/pictures/5/display" TargetMode="External"/><Relationship Id="rId40" Type="http://schemas.openxmlformats.org/officeDocument/2006/relationships/image" Target="media/image23.jpeg"/><Relationship Id="rId45" Type="http://schemas.openxmlformats.org/officeDocument/2006/relationships/hyperlink" Target="https://es.scribd.com/doc/46117856/interpretacion-nic-39"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hyperlink" Target="https://es.scribd.com/doc/195416941/ANALISIS-DE-LA-NIC-32-INSTRUMENTOS-FINANCIEROS-PRESENTACION-E-INFORMACION-A-REVELAR-Y-LA-NIIF-7-SECCION-11-INSTRUMENTOS-FINANCIEROS-BASICO" TargetMode="External"/><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2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www.bolsadevalores.com.sv/admin/pictures/290/display" TargetMode="External"/><Relationship Id="rId43" Type="http://schemas.openxmlformats.org/officeDocument/2006/relationships/image" Target="media/image26.emf"/><Relationship Id="rId48" Type="http://schemas.openxmlformats.org/officeDocument/2006/relationships/hyperlink" Target="http://documents.mx/documents/analisis-de-la-conformidad-entre-la-nic-31.html"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jp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2.jpeg"/><Relationship Id="rId46" Type="http://schemas.openxmlformats.org/officeDocument/2006/relationships/hyperlink" Target="https://www.youtube.com/user/BVESsv" TargetMode="External"/><Relationship Id="rId20" Type="http://schemas.openxmlformats.org/officeDocument/2006/relationships/image" Target="media/image7.jpeg"/><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0EEC5-233E-47F8-81E6-4D8CECB04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11359</Words>
  <Characters>62479</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Familia rojas</dc:creator>
  <cp:keywords/>
  <dc:description/>
  <cp:lastModifiedBy>armando israel urquilla</cp:lastModifiedBy>
  <cp:revision>2</cp:revision>
  <dcterms:created xsi:type="dcterms:W3CDTF">2016-06-14T16:20:00Z</dcterms:created>
  <dcterms:modified xsi:type="dcterms:W3CDTF">2016-06-14T16:20:00Z</dcterms:modified>
</cp:coreProperties>
</file>