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911" w:rsidRPr="00E317BB" w:rsidRDefault="00F30911" w:rsidP="00075E9E">
      <w:pPr>
        <w:pStyle w:val="NormalWeb"/>
        <w:shd w:val="clear" w:color="auto" w:fill="FFFFFF"/>
        <w:spacing w:before="0" w:beforeAutospacing="0" w:after="0" w:afterAutospacing="0" w:line="360" w:lineRule="auto"/>
        <w:jc w:val="both"/>
        <w:rPr>
          <w:rFonts w:ascii="Tahoma" w:hAnsi="Tahoma" w:cs="Tahoma"/>
          <w:sz w:val="22"/>
          <w:szCs w:val="22"/>
        </w:rPr>
      </w:pPr>
      <w:r w:rsidRPr="00E317BB">
        <w:rPr>
          <w:rFonts w:ascii="Tahoma" w:hAnsi="Tahoma" w:cs="Tahoma"/>
          <w:sz w:val="22"/>
          <w:szCs w:val="22"/>
        </w:rPr>
        <w:t>La legislación de competencia constituye una herramienta importante que contribuye al correcto funcionamiento del mercado y al bienestar general en los países alrededor del mundo, trayendo consigo beneficios múltiples. Desde una perspectiva económica, una legislación que incentive a los agentes económicos a competir beneficia a la población en general en su dimensión de consumidora; y desde una perspectiva social, una legislación que promueva precios bajos y productos de mejor calidad, promueve el bienestar general y puede contribuir aun modestamente a reducir la desigualdad.</w:t>
      </w:r>
    </w:p>
    <w:p w:rsidR="00F30911" w:rsidRPr="00E317BB" w:rsidRDefault="00F30911" w:rsidP="00075E9E">
      <w:pPr>
        <w:pStyle w:val="NormalWeb"/>
        <w:shd w:val="clear" w:color="auto" w:fill="FFFFFF"/>
        <w:spacing w:before="0" w:beforeAutospacing="0" w:after="0" w:afterAutospacing="0" w:line="360" w:lineRule="auto"/>
        <w:jc w:val="both"/>
        <w:rPr>
          <w:rFonts w:ascii="Tahoma" w:hAnsi="Tahoma" w:cs="Tahoma"/>
          <w:sz w:val="22"/>
          <w:szCs w:val="22"/>
        </w:rPr>
      </w:pPr>
      <w:r w:rsidRPr="00E317BB">
        <w:rPr>
          <w:rFonts w:ascii="Tahoma" w:hAnsi="Tahoma" w:cs="Tahoma"/>
          <w:sz w:val="22"/>
          <w:szCs w:val="22"/>
        </w:rPr>
        <w:br/>
        <w:t xml:space="preserve">En 1992, FUSADES elaboró el primer proyecto de Ley de Defensa de la Libre Competencia y durante estos 20 años, el estudio del tema se ha mantenido en la agenda </w:t>
      </w:r>
      <w:r w:rsidR="00482F2C" w:rsidRPr="00E317BB">
        <w:rPr>
          <w:rFonts w:ascii="Tahoma" w:hAnsi="Tahoma" w:cs="Tahoma"/>
          <w:sz w:val="22"/>
          <w:szCs w:val="22"/>
        </w:rPr>
        <w:t>institucional,</w:t>
      </w:r>
      <w:r w:rsidRPr="00E317BB">
        <w:rPr>
          <w:rFonts w:ascii="Tahoma" w:hAnsi="Tahoma" w:cs="Tahoma"/>
          <w:sz w:val="22"/>
          <w:szCs w:val="22"/>
        </w:rPr>
        <w:t xml:space="preserve"> ya que un mercado en condiciones de sana y libre competencia es indispensable para una mejor asignación de los recursos en una economía social de mercado.</w:t>
      </w:r>
    </w:p>
    <w:p w:rsidR="00F30911" w:rsidRPr="00E317BB" w:rsidRDefault="00F30911" w:rsidP="00075E9E">
      <w:pPr>
        <w:pStyle w:val="NormalWeb"/>
        <w:shd w:val="clear" w:color="auto" w:fill="FFFFFF"/>
        <w:spacing w:before="0" w:beforeAutospacing="0" w:after="0" w:afterAutospacing="0" w:line="360" w:lineRule="auto"/>
        <w:jc w:val="both"/>
        <w:rPr>
          <w:rFonts w:ascii="Tahoma" w:hAnsi="Tahoma" w:cs="Tahoma"/>
          <w:sz w:val="22"/>
          <w:szCs w:val="22"/>
        </w:rPr>
      </w:pPr>
    </w:p>
    <w:p w:rsidR="00F30911" w:rsidRPr="00E317BB" w:rsidRDefault="00F30911" w:rsidP="00075E9E">
      <w:pPr>
        <w:pStyle w:val="NormalWeb"/>
        <w:shd w:val="clear" w:color="auto" w:fill="FFFFFF"/>
        <w:spacing w:before="0" w:beforeAutospacing="0" w:after="0" w:afterAutospacing="0" w:line="360" w:lineRule="auto"/>
        <w:jc w:val="both"/>
        <w:rPr>
          <w:rFonts w:ascii="Tahoma" w:hAnsi="Tahoma" w:cs="Tahoma"/>
          <w:sz w:val="22"/>
          <w:szCs w:val="22"/>
        </w:rPr>
      </w:pPr>
      <w:r w:rsidRPr="00E317BB">
        <w:rPr>
          <w:rFonts w:ascii="Tahoma" w:hAnsi="Tahoma" w:cs="Tahoma"/>
          <w:sz w:val="22"/>
          <w:szCs w:val="22"/>
        </w:rPr>
        <w:t>Actualmente, resulta imprescindible que en todas las latitudes, pero en especial en los países latinoamericanos que comparados con los Estados Unidos y el continente europeo, estamos incursionando desde poco, en la aplicación del derecho de la competencia, se analice con detenimiento sus bases económicas, con el fin de poder estructurar un derecho de defensa de la competencia adecuado para el fortalecimiento de las economías de nuestros países en desarrollo, enfrentadas a los retos de una economía globalizada.</w:t>
      </w:r>
    </w:p>
    <w:p w:rsidR="00F30911" w:rsidRPr="00E317BB" w:rsidRDefault="00F30911" w:rsidP="00075E9E">
      <w:pPr>
        <w:pStyle w:val="NormalWeb"/>
        <w:shd w:val="clear" w:color="auto" w:fill="FFFFFF"/>
        <w:spacing w:before="0" w:beforeAutospacing="0" w:after="0" w:afterAutospacing="0" w:line="360" w:lineRule="auto"/>
        <w:jc w:val="both"/>
        <w:rPr>
          <w:rFonts w:ascii="Tahoma" w:hAnsi="Tahoma" w:cs="Tahoma"/>
          <w:sz w:val="22"/>
          <w:szCs w:val="22"/>
        </w:rPr>
      </w:pPr>
      <w:r w:rsidRPr="00E317BB">
        <w:rPr>
          <w:rFonts w:ascii="Tahoma" w:hAnsi="Tahoma" w:cs="Tahoma"/>
          <w:sz w:val="22"/>
          <w:szCs w:val="22"/>
        </w:rPr>
        <w:t>Es por ello que se ha considerado oportuno presentar un boletín que examine algunos aspectos jurídico-económicos de nuestra Ley de Competencia, que sirvan al lector para una mejor comprensión de esta normativa relativamente nueva en nuestro país, pero también porque recientemente se ha tenido conocimiento a través de la prensa y declaraciones de la Superintendencia de Competencia, que se ha iniciado el proceso de elaboración de una segunda ronda de reformas a la LC, que incluye una mejor descripción de las conductas prohibidas, adecuación de la normativa a la figura de los asocios público-privados, regulación de las ayudas públicas, así como algunos aspectos relacionados con los procedimientos y plazos. En ese contexto, se esperaría que algunos elementos planteados en este boletín puedan servir como insumo para las reformas pendientes.</w:t>
      </w:r>
    </w:p>
    <w:p w:rsidR="00F30911" w:rsidRPr="00E317BB" w:rsidRDefault="00F30911" w:rsidP="00075E9E">
      <w:pPr>
        <w:pStyle w:val="NormalWeb"/>
        <w:shd w:val="clear" w:color="auto" w:fill="FFFFFF"/>
        <w:spacing w:before="0" w:beforeAutospacing="0" w:after="0" w:afterAutospacing="0" w:line="360" w:lineRule="auto"/>
        <w:jc w:val="both"/>
        <w:rPr>
          <w:rFonts w:ascii="Tahoma" w:hAnsi="Tahoma" w:cs="Tahoma"/>
          <w:sz w:val="22"/>
          <w:szCs w:val="22"/>
        </w:rPr>
      </w:pPr>
      <w:r w:rsidRPr="00E317BB">
        <w:rPr>
          <w:rFonts w:ascii="Tahoma" w:hAnsi="Tahoma" w:cs="Tahoma"/>
          <w:sz w:val="22"/>
          <w:szCs w:val="22"/>
        </w:rPr>
        <w:t xml:space="preserve">En el marco de una serie de estudios sobre el análisis económico del Derecho que el Departamento de Estudios Legales de FUSADES ha iniciado recientemente, la mayoría de estudios coinciden en señalar que es necesario abordar el derecho de competencia a partir </w:t>
      </w:r>
      <w:r w:rsidRPr="00E317BB">
        <w:rPr>
          <w:rFonts w:ascii="Tahoma" w:hAnsi="Tahoma" w:cs="Tahoma"/>
          <w:sz w:val="22"/>
          <w:szCs w:val="22"/>
        </w:rPr>
        <w:lastRenderedPageBreak/>
        <w:t>de un enfoque económico de los fines que se persiguen con su aplicación, para asegurarse que la norma contenga los incentivos adecuados para alcanzarlos.</w:t>
      </w:r>
    </w:p>
    <w:p w:rsidR="00482F2C" w:rsidRPr="00E317BB" w:rsidRDefault="00A92E8C" w:rsidP="00E317BB">
      <w:pPr>
        <w:pStyle w:val="NormalWeb"/>
        <w:shd w:val="clear" w:color="auto" w:fill="FFFFFF"/>
        <w:spacing w:after="0" w:line="360" w:lineRule="auto"/>
        <w:jc w:val="center"/>
        <w:rPr>
          <w:rFonts w:ascii="Tahoma" w:hAnsi="Tahoma" w:cs="Tahoma"/>
          <w:b/>
          <w:sz w:val="22"/>
          <w:szCs w:val="22"/>
        </w:rPr>
      </w:pPr>
      <w:r w:rsidRPr="00E317BB">
        <w:rPr>
          <w:rFonts w:ascii="Tahoma" w:hAnsi="Tahoma" w:cs="Tahoma"/>
          <w:b/>
          <w:sz w:val="22"/>
          <w:szCs w:val="22"/>
        </w:rPr>
        <w:t>OBJETO Y FINES DE LA LEY DE COMPETENCIA DE EL SALVADOR</w:t>
      </w:r>
    </w:p>
    <w:p w:rsidR="00482F2C" w:rsidRPr="00E317BB" w:rsidRDefault="00482F2C" w:rsidP="00075E9E">
      <w:pPr>
        <w:pStyle w:val="NormalWeb"/>
        <w:shd w:val="clear" w:color="auto" w:fill="FFFFFF"/>
        <w:spacing w:after="0" w:line="360" w:lineRule="auto"/>
        <w:jc w:val="both"/>
        <w:rPr>
          <w:rFonts w:ascii="Tahoma" w:hAnsi="Tahoma" w:cs="Tahoma"/>
          <w:sz w:val="22"/>
          <w:szCs w:val="22"/>
        </w:rPr>
      </w:pPr>
      <w:r w:rsidRPr="00E317BB">
        <w:rPr>
          <w:rFonts w:ascii="Tahoma" w:hAnsi="Tahoma" w:cs="Tahoma"/>
          <w:sz w:val="22"/>
          <w:szCs w:val="22"/>
        </w:rPr>
        <w:t xml:space="preserve">La primera Ley de Competencia de El Salvador (LC) fue aprobada por la Asamblea Legislativa el 26 de noviembre de 2004, después de un periodo de más de 10 años de discusiones dentro y fuera de la Asamblea y de la consideración de una pluralidad de anteproyectos elaborados por los más variados sectores políticos y económicos del país. </w:t>
      </w:r>
    </w:p>
    <w:p w:rsidR="00482F2C" w:rsidRPr="00E317BB" w:rsidRDefault="00482F2C" w:rsidP="00075E9E">
      <w:pPr>
        <w:pStyle w:val="NormalWeb"/>
        <w:shd w:val="clear" w:color="auto" w:fill="FFFFFF"/>
        <w:spacing w:after="0" w:line="360" w:lineRule="auto"/>
        <w:jc w:val="both"/>
        <w:rPr>
          <w:rFonts w:ascii="Tahoma" w:hAnsi="Tahoma" w:cs="Tahoma"/>
          <w:sz w:val="22"/>
          <w:szCs w:val="22"/>
        </w:rPr>
      </w:pPr>
      <w:r w:rsidRPr="00E317BB">
        <w:rPr>
          <w:rFonts w:ascii="Tahoma" w:hAnsi="Tahoma" w:cs="Tahoma"/>
          <w:sz w:val="22"/>
          <w:szCs w:val="22"/>
        </w:rPr>
        <w:t>Hemos constatado que su texto refleja los esfuerzos del legislador salvadoreño por dotar a nuestro país de una normativa de competencia moderna y efectiva que incluya las corrientes de pensamiento económico más relevantes y las experiencias legislativas más eficaces en materia de defensa de la libre competencia.</w:t>
      </w:r>
    </w:p>
    <w:p w:rsidR="00482F2C" w:rsidRPr="00E317BB" w:rsidRDefault="00482F2C" w:rsidP="00075E9E">
      <w:pPr>
        <w:pStyle w:val="NormalWeb"/>
        <w:shd w:val="clear" w:color="auto" w:fill="FFFFFF"/>
        <w:spacing w:after="0" w:line="360" w:lineRule="auto"/>
        <w:jc w:val="both"/>
        <w:rPr>
          <w:rFonts w:ascii="Tahoma" w:hAnsi="Tahoma" w:cs="Tahoma"/>
          <w:sz w:val="22"/>
          <w:szCs w:val="22"/>
        </w:rPr>
      </w:pPr>
      <w:r w:rsidRPr="00E317BB">
        <w:rPr>
          <w:rFonts w:ascii="Tahoma" w:hAnsi="Tahoma" w:cs="Tahoma"/>
          <w:sz w:val="22"/>
          <w:szCs w:val="22"/>
        </w:rPr>
        <w:t>El objeto protegido y los fines perseguidos se encuentran plasmados en el inciso primero del artículo 1 de la Ley, en el que se establece textualmente que: “El objeto de la presente ley es el de promover, proteger y garantizar la competencia, mediante la prevención y eliminación de prácticas anticompetitivas que, manifestadas bajo cualquier forma limiten o restrinjan la competencia o impidan el acceso al mercado a cualquier agente económico, a efecto de incrementar la eficiencia económica y el bienestar de los consumidores”.</w:t>
      </w:r>
    </w:p>
    <w:p w:rsidR="00482F2C" w:rsidRPr="00E317BB" w:rsidRDefault="00482F2C" w:rsidP="00075E9E">
      <w:pPr>
        <w:pStyle w:val="NormalWeb"/>
        <w:shd w:val="clear" w:color="auto" w:fill="FFFFFF"/>
        <w:spacing w:after="0" w:line="360" w:lineRule="auto"/>
        <w:jc w:val="both"/>
        <w:rPr>
          <w:rFonts w:ascii="Tahoma" w:hAnsi="Tahoma" w:cs="Tahoma"/>
          <w:sz w:val="22"/>
          <w:szCs w:val="22"/>
        </w:rPr>
      </w:pPr>
      <w:r w:rsidRPr="00E317BB">
        <w:rPr>
          <w:rFonts w:ascii="Tahoma" w:hAnsi="Tahoma" w:cs="Tahoma"/>
          <w:sz w:val="22"/>
          <w:szCs w:val="22"/>
        </w:rPr>
        <w:t>La temática abordada en nuestro estudio viene siendo objeto de un debate iniciado hace muchos años en el sistema norteamericano, retomado en Europa y continuado en ambos sistemas hasta la fecha, pero tanto los unos como los otros coinciden que la claridad en los fines perseguidos y la certeza respecto del objeto protegido en cada sistema normativo constituye una herramienta útil para guiar las labores del aplicador de la norma.</w:t>
      </w:r>
    </w:p>
    <w:p w:rsidR="00482F2C" w:rsidRPr="00E317BB" w:rsidRDefault="00482F2C" w:rsidP="00075E9E">
      <w:pPr>
        <w:pStyle w:val="NormalWeb"/>
        <w:shd w:val="clear" w:color="auto" w:fill="FFFFFF"/>
        <w:spacing w:after="0" w:line="360" w:lineRule="auto"/>
        <w:jc w:val="both"/>
        <w:rPr>
          <w:rFonts w:ascii="Tahoma" w:hAnsi="Tahoma" w:cs="Tahoma"/>
          <w:sz w:val="22"/>
          <w:szCs w:val="22"/>
        </w:rPr>
      </w:pPr>
      <w:r w:rsidRPr="00E317BB">
        <w:rPr>
          <w:rFonts w:ascii="Tahoma" w:hAnsi="Tahoma" w:cs="Tahoma"/>
          <w:sz w:val="22"/>
          <w:szCs w:val="22"/>
        </w:rPr>
        <w:t>En El Salvador es necesario abordar este tema con el propósito de examinar si las opciones legislativas recogidas en la Ley de Competencia son concordes con las experiencias legislativas y doctrinarias comparadas, y si las mismas contribuyen a la existencia de mercados más eficientes y a una mayor satisfacción de las necesidades devienes y servicios de la sociedad, respecto de las condiciones que existían antes de la aprobación de la Ley.</w:t>
      </w:r>
    </w:p>
    <w:p w:rsidR="00482F2C" w:rsidRPr="00E317BB" w:rsidRDefault="00A92E8C" w:rsidP="00E317BB">
      <w:pPr>
        <w:pStyle w:val="NormalWeb"/>
        <w:shd w:val="clear" w:color="auto" w:fill="FFFFFF"/>
        <w:spacing w:after="0" w:line="360" w:lineRule="auto"/>
        <w:jc w:val="center"/>
        <w:rPr>
          <w:rFonts w:ascii="Tahoma" w:hAnsi="Tahoma" w:cs="Tahoma"/>
          <w:b/>
          <w:sz w:val="22"/>
          <w:szCs w:val="22"/>
        </w:rPr>
      </w:pPr>
      <w:r w:rsidRPr="00E317BB">
        <w:rPr>
          <w:rFonts w:ascii="Tahoma" w:hAnsi="Tahoma" w:cs="Tahoma"/>
          <w:b/>
          <w:sz w:val="22"/>
          <w:szCs w:val="22"/>
        </w:rPr>
        <w:lastRenderedPageBreak/>
        <w:t>OBJETO MODERNAMENTE PROTEGIDO POR EL DERECHO DE LA COMPETENCIA</w:t>
      </w:r>
    </w:p>
    <w:p w:rsidR="00482F2C" w:rsidRPr="00E317BB" w:rsidRDefault="00482F2C" w:rsidP="00075E9E">
      <w:pPr>
        <w:pStyle w:val="NormalWeb"/>
        <w:shd w:val="clear" w:color="auto" w:fill="FFFFFF"/>
        <w:spacing w:after="0" w:line="360" w:lineRule="auto"/>
        <w:jc w:val="both"/>
        <w:rPr>
          <w:rFonts w:ascii="Tahoma" w:hAnsi="Tahoma" w:cs="Tahoma"/>
          <w:sz w:val="22"/>
          <w:szCs w:val="22"/>
        </w:rPr>
      </w:pPr>
      <w:r w:rsidRPr="00E317BB">
        <w:rPr>
          <w:rFonts w:ascii="Tahoma" w:hAnsi="Tahoma" w:cs="Tahoma"/>
          <w:sz w:val="22"/>
          <w:szCs w:val="22"/>
        </w:rPr>
        <w:t>En los sistemas con una tradición histórica y práctica mayor que la nuestra, el objeto de protección de las normas de defensa de la libre competencia que aparece expresamente mencionado en la Ley de Competencia salvadoreña fue sintetizado en el modelo anglosajón en 1962, en una sentencia de la Corte Suprema de Justicia de los EE.UU; en la que expresó que el derecho de competencia debe proteger la competencia y no al competidor.</w:t>
      </w:r>
    </w:p>
    <w:p w:rsidR="008E5A78" w:rsidRPr="00E317BB" w:rsidRDefault="00482F2C" w:rsidP="00075E9E">
      <w:pPr>
        <w:pStyle w:val="NormalWeb"/>
        <w:shd w:val="clear" w:color="auto" w:fill="FFFFFF"/>
        <w:spacing w:after="0" w:line="360" w:lineRule="auto"/>
        <w:jc w:val="both"/>
        <w:rPr>
          <w:rFonts w:ascii="Tahoma" w:hAnsi="Tahoma" w:cs="Tahoma"/>
          <w:sz w:val="22"/>
          <w:szCs w:val="22"/>
        </w:rPr>
      </w:pPr>
      <w:r w:rsidRPr="00E317BB">
        <w:rPr>
          <w:rFonts w:ascii="Tahoma" w:hAnsi="Tahoma" w:cs="Tahoma"/>
          <w:sz w:val="22"/>
          <w:szCs w:val="22"/>
        </w:rPr>
        <w:t>Este principio ha sido adoptado en iguales términos por varios sistemas normativos, como Argentina, Brasil, Costa Rica, Honduras, Panamá, República Dominicana-entre otros</w:t>
      </w:r>
      <w:r w:rsidR="008E5A78" w:rsidRPr="00E317BB">
        <w:rPr>
          <w:rFonts w:ascii="Tahoma" w:hAnsi="Tahoma" w:cs="Tahoma"/>
          <w:sz w:val="22"/>
          <w:szCs w:val="22"/>
        </w:rPr>
        <w:t xml:space="preserve"> Cooper</w:t>
      </w:r>
      <w:r w:rsidR="005757D3" w:rsidRPr="00E317BB">
        <w:rPr>
          <w:rFonts w:ascii="Tahoma" w:hAnsi="Tahoma" w:cs="Tahoma"/>
          <w:sz w:val="22"/>
          <w:szCs w:val="22"/>
        </w:rPr>
        <w:t>ación y el Desarrollo Económico</w:t>
      </w:r>
      <w:r w:rsidR="008E5A78" w:rsidRPr="00E317BB">
        <w:rPr>
          <w:rFonts w:ascii="Tahoma" w:hAnsi="Tahoma" w:cs="Tahoma"/>
          <w:sz w:val="22"/>
          <w:szCs w:val="22"/>
        </w:rPr>
        <w:t xml:space="preserve"> OCDE, quien en los lineamientos diseñados para guiar a los países que se encuentran en proceso de elaboración o reforma de sus leyes de competencia, ha expresado que el derecho de la competencia debe preservar el proceso competitivo y no a los</w:t>
      </w:r>
      <w:r w:rsidR="005757D3" w:rsidRPr="00E317BB">
        <w:rPr>
          <w:rFonts w:ascii="Tahoma" w:hAnsi="Tahoma" w:cs="Tahoma"/>
          <w:sz w:val="22"/>
          <w:szCs w:val="22"/>
        </w:rPr>
        <w:t xml:space="preserve"> agentes que en él intervienen, </w:t>
      </w:r>
      <w:r w:rsidR="008E5A78" w:rsidRPr="00E317BB">
        <w:rPr>
          <w:rFonts w:ascii="Tahoma" w:hAnsi="Tahoma" w:cs="Tahoma"/>
          <w:sz w:val="22"/>
          <w:szCs w:val="22"/>
        </w:rPr>
        <w:t>también retomado por la doctrina científica en iguales términos.</w:t>
      </w:r>
    </w:p>
    <w:p w:rsidR="00482F2C" w:rsidRPr="00E317BB" w:rsidRDefault="008E5A78" w:rsidP="00075E9E">
      <w:pPr>
        <w:pStyle w:val="NormalWeb"/>
        <w:shd w:val="clear" w:color="auto" w:fill="FFFFFF"/>
        <w:spacing w:after="0" w:line="360" w:lineRule="auto"/>
        <w:jc w:val="both"/>
        <w:rPr>
          <w:rFonts w:ascii="Tahoma" w:hAnsi="Tahoma" w:cs="Tahoma"/>
          <w:sz w:val="22"/>
          <w:szCs w:val="22"/>
        </w:rPr>
      </w:pPr>
      <w:r w:rsidRPr="00E317BB">
        <w:rPr>
          <w:rFonts w:ascii="Tahoma" w:hAnsi="Tahoma" w:cs="Tahoma"/>
          <w:sz w:val="22"/>
          <w:szCs w:val="22"/>
        </w:rPr>
        <w:t>En un país como el nuestro, en el que se aprueba por primera vez la normativa garante de la libre competencia, resulta particularmente necesario determinar el objeto protegido por la Ley, ya que no existen trabajos o disposiciones legales, que permitan conocer con certeza cuál es bien jurídico protegido. El concepto mismo de competencia evoca confusión en nuestro país, ya que la normativa reguladora de la actividad comercial ha tenido tendencia a identificarlo con las prácticas de competencia desleal y la escasa jurisprudencia constitucional que se ha ocupado del tema ha pasado desapercibida a pesar de consignar un reconocimiento constitucional de la defensa de la libre competencia, desde 1983 es decir 21 años antes de la aprobación de la LC</w:t>
      </w:r>
      <w:r w:rsidR="00075E9E" w:rsidRPr="00E317BB">
        <w:rPr>
          <w:rFonts w:ascii="Tahoma" w:hAnsi="Tahoma" w:cs="Tahoma"/>
          <w:sz w:val="22"/>
          <w:szCs w:val="22"/>
        </w:rPr>
        <w:t>.</w:t>
      </w:r>
    </w:p>
    <w:p w:rsidR="005757D3" w:rsidRPr="00E317BB" w:rsidRDefault="005757D3" w:rsidP="00075E9E">
      <w:pPr>
        <w:pStyle w:val="NormalWeb"/>
        <w:shd w:val="clear" w:color="auto" w:fill="FFFFFF"/>
        <w:spacing w:after="0" w:line="360" w:lineRule="auto"/>
        <w:jc w:val="both"/>
        <w:rPr>
          <w:rFonts w:ascii="Tahoma" w:hAnsi="Tahoma" w:cs="Tahoma"/>
          <w:sz w:val="22"/>
          <w:szCs w:val="22"/>
        </w:rPr>
      </w:pPr>
    </w:p>
    <w:p w:rsidR="009B5687" w:rsidRPr="00E317BB" w:rsidRDefault="009B5687" w:rsidP="00075E9E">
      <w:pPr>
        <w:pStyle w:val="NormalWeb"/>
        <w:shd w:val="clear" w:color="auto" w:fill="FFFFFF"/>
        <w:spacing w:after="0" w:line="360" w:lineRule="auto"/>
        <w:jc w:val="both"/>
        <w:rPr>
          <w:rFonts w:ascii="Tahoma" w:hAnsi="Tahoma" w:cs="Tahoma"/>
          <w:b/>
          <w:sz w:val="22"/>
          <w:szCs w:val="22"/>
        </w:rPr>
      </w:pPr>
    </w:p>
    <w:p w:rsidR="009B5687" w:rsidRPr="00E317BB" w:rsidRDefault="009B5687" w:rsidP="00075E9E">
      <w:pPr>
        <w:pStyle w:val="NormalWeb"/>
        <w:shd w:val="clear" w:color="auto" w:fill="FFFFFF"/>
        <w:spacing w:after="0" w:line="360" w:lineRule="auto"/>
        <w:jc w:val="both"/>
        <w:rPr>
          <w:rFonts w:ascii="Tahoma" w:hAnsi="Tahoma" w:cs="Tahoma"/>
          <w:b/>
          <w:sz w:val="22"/>
          <w:szCs w:val="22"/>
        </w:rPr>
      </w:pPr>
    </w:p>
    <w:p w:rsidR="009B5687" w:rsidRPr="00E317BB" w:rsidRDefault="009B5687" w:rsidP="00075E9E">
      <w:pPr>
        <w:pStyle w:val="NormalWeb"/>
        <w:shd w:val="clear" w:color="auto" w:fill="FFFFFF"/>
        <w:spacing w:after="0" w:line="360" w:lineRule="auto"/>
        <w:jc w:val="both"/>
        <w:rPr>
          <w:rFonts w:ascii="Tahoma" w:hAnsi="Tahoma" w:cs="Tahoma"/>
          <w:b/>
          <w:sz w:val="22"/>
          <w:szCs w:val="22"/>
        </w:rPr>
      </w:pPr>
    </w:p>
    <w:p w:rsidR="005757D3" w:rsidRPr="00E317BB" w:rsidRDefault="00A92E8C" w:rsidP="00E317BB">
      <w:pPr>
        <w:pStyle w:val="NormalWeb"/>
        <w:shd w:val="clear" w:color="auto" w:fill="FFFFFF"/>
        <w:spacing w:after="0" w:line="360" w:lineRule="auto"/>
        <w:jc w:val="center"/>
        <w:rPr>
          <w:rFonts w:ascii="Tahoma" w:hAnsi="Tahoma" w:cs="Tahoma"/>
          <w:b/>
          <w:sz w:val="22"/>
          <w:szCs w:val="22"/>
        </w:rPr>
      </w:pPr>
      <w:r w:rsidRPr="00E317BB">
        <w:rPr>
          <w:rFonts w:ascii="Tahoma" w:hAnsi="Tahoma" w:cs="Tahoma"/>
          <w:b/>
          <w:sz w:val="22"/>
          <w:szCs w:val="22"/>
        </w:rPr>
        <w:lastRenderedPageBreak/>
        <w:t>PROHIBICIONES QUE DA  LA LEY DE COMPETENCIA.</w:t>
      </w:r>
    </w:p>
    <w:p w:rsidR="005757D3" w:rsidRPr="00E317BB" w:rsidRDefault="009B5687" w:rsidP="005757D3">
      <w:pPr>
        <w:pStyle w:val="NormalWeb"/>
        <w:shd w:val="clear" w:color="auto" w:fill="FFFFFF"/>
        <w:spacing w:after="0" w:line="360" w:lineRule="auto"/>
        <w:jc w:val="both"/>
        <w:rPr>
          <w:rFonts w:ascii="Tahoma" w:hAnsi="Tahoma" w:cs="Tahoma"/>
          <w:sz w:val="22"/>
          <w:szCs w:val="22"/>
        </w:rPr>
      </w:pPr>
      <w:r w:rsidRPr="00E317BB">
        <w:rPr>
          <w:rFonts w:ascii="Tahoma" w:hAnsi="Tahoma" w:cs="Tahoma"/>
          <w:sz w:val="22"/>
          <w:szCs w:val="22"/>
        </w:rPr>
        <w:t>Según el Art.1 inciso segundo de la Ley de Competencia  s</w:t>
      </w:r>
      <w:r w:rsidR="005757D3" w:rsidRPr="00E317BB">
        <w:rPr>
          <w:rFonts w:ascii="Tahoma" w:hAnsi="Tahoma" w:cs="Tahoma"/>
          <w:sz w:val="22"/>
          <w:szCs w:val="22"/>
        </w:rPr>
        <w:t xml:space="preserve">e prohíben los </w:t>
      </w:r>
      <w:r w:rsidRPr="00E317BB">
        <w:rPr>
          <w:rFonts w:ascii="Tahoma" w:hAnsi="Tahoma" w:cs="Tahoma"/>
          <w:sz w:val="22"/>
          <w:szCs w:val="22"/>
        </w:rPr>
        <w:t>“</w:t>
      </w:r>
      <w:r w:rsidR="005757D3" w:rsidRPr="00E317BB">
        <w:rPr>
          <w:rFonts w:ascii="Tahoma" w:hAnsi="Tahoma" w:cs="Tahoma"/>
          <w:sz w:val="22"/>
          <w:szCs w:val="22"/>
        </w:rPr>
        <w:t>acuerdos, pactos, convenios, contratos entre competidores y no competidores, así como los actos entre competidores y no competidores cuyo objeto sea limitar o restringir la competencia o impedir el acceso al mercado a cualquier agente económico, en los términos y condiciones establecidos en la presente ley</w:t>
      </w:r>
      <w:r w:rsidRPr="00E317BB">
        <w:rPr>
          <w:rFonts w:ascii="Tahoma" w:hAnsi="Tahoma" w:cs="Tahoma"/>
          <w:sz w:val="22"/>
          <w:szCs w:val="22"/>
        </w:rPr>
        <w:t>”</w:t>
      </w:r>
      <w:r w:rsidR="005757D3" w:rsidRPr="00E317BB">
        <w:rPr>
          <w:rFonts w:ascii="Tahoma" w:hAnsi="Tahoma" w:cs="Tahoma"/>
          <w:sz w:val="22"/>
          <w:szCs w:val="22"/>
        </w:rPr>
        <w:t>.</w:t>
      </w:r>
    </w:p>
    <w:p w:rsidR="009B5687" w:rsidRPr="00E317BB" w:rsidRDefault="00A92E8C" w:rsidP="00E317BB">
      <w:pPr>
        <w:pStyle w:val="NormalWeb"/>
        <w:shd w:val="clear" w:color="auto" w:fill="FFFFFF"/>
        <w:spacing w:after="0" w:line="360" w:lineRule="auto"/>
        <w:jc w:val="center"/>
        <w:rPr>
          <w:rFonts w:ascii="Tahoma" w:hAnsi="Tahoma" w:cs="Tahoma"/>
          <w:b/>
          <w:sz w:val="22"/>
          <w:szCs w:val="22"/>
        </w:rPr>
      </w:pPr>
      <w:r w:rsidRPr="00E317BB">
        <w:rPr>
          <w:rFonts w:ascii="Tahoma" w:hAnsi="Tahoma" w:cs="Tahoma"/>
          <w:b/>
          <w:sz w:val="22"/>
          <w:szCs w:val="22"/>
        </w:rPr>
        <w:t>CARGOS Y FUNCIONES QUE EMANAN DE LA LEY DE COMPETENCIA.</w:t>
      </w:r>
    </w:p>
    <w:p w:rsidR="00A92E8C" w:rsidRPr="00E317BB" w:rsidRDefault="00DB51D0" w:rsidP="00A92E8C">
      <w:pPr>
        <w:pStyle w:val="NormalWeb"/>
        <w:shd w:val="clear" w:color="auto" w:fill="FFFFFF"/>
        <w:spacing w:after="0" w:line="360" w:lineRule="auto"/>
        <w:jc w:val="both"/>
        <w:rPr>
          <w:rFonts w:ascii="Tahoma" w:hAnsi="Tahoma" w:cs="Tahoma"/>
          <w:sz w:val="22"/>
          <w:szCs w:val="22"/>
          <w:lang w:val="es-ES"/>
        </w:rPr>
      </w:pPr>
      <w:r w:rsidRPr="00E317BB">
        <w:rPr>
          <w:rFonts w:ascii="Tahoma" w:hAnsi="Tahoma" w:cs="Tahoma"/>
          <w:sz w:val="22"/>
          <w:szCs w:val="22"/>
          <w:lang w:val="es-ES"/>
        </w:rPr>
        <w:t>Según el Art. 6 de la Ley Competencia sera</w:t>
      </w:r>
      <w:r w:rsidR="00A92E8C" w:rsidRPr="00E317BB">
        <w:rPr>
          <w:rFonts w:ascii="Tahoma" w:hAnsi="Tahoma" w:cs="Tahoma"/>
          <w:sz w:val="22"/>
          <w:szCs w:val="22"/>
          <w:lang w:val="es-ES"/>
        </w:rPr>
        <w:t xml:space="preserve"> La máxima autoridad de la Superintendencia será el Consejo Directivo, que en lo sucesivo podrá denominarse "el Consejo", el cual estará conformado por el Superintendente y dos Directores, nombrados por el Presidente de la República.</w:t>
      </w:r>
    </w:p>
    <w:p w:rsidR="00A92E8C" w:rsidRPr="00E317BB" w:rsidRDefault="00A92E8C" w:rsidP="00A92E8C">
      <w:pPr>
        <w:pStyle w:val="NormalWeb"/>
        <w:shd w:val="clear" w:color="auto" w:fill="FFFFFF"/>
        <w:spacing w:after="0" w:line="360" w:lineRule="auto"/>
        <w:jc w:val="both"/>
        <w:rPr>
          <w:rFonts w:ascii="Tahoma" w:hAnsi="Tahoma" w:cs="Tahoma"/>
          <w:sz w:val="22"/>
          <w:szCs w:val="22"/>
          <w:lang w:val="es-ES"/>
        </w:rPr>
      </w:pPr>
      <w:r w:rsidRPr="00E317BB">
        <w:rPr>
          <w:rFonts w:ascii="Tahoma" w:hAnsi="Tahoma" w:cs="Tahoma"/>
          <w:sz w:val="22"/>
          <w:szCs w:val="22"/>
          <w:lang w:val="es-ES"/>
        </w:rPr>
        <w:t>El Superintendente presidirá el Consejo.</w:t>
      </w:r>
    </w:p>
    <w:p w:rsidR="00A92E8C" w:rsidRPr="00E317BB" w:rsidRDefault="00A92E8C" w:rsidP="00A92E8C">
      <w:pPr>
        <w:pStyle w:val="NormalWeb"/>
        <w:shd w:val="clear" w:color="auto" w:fill="FFFFFF"/>
        <w:spacing w:after="0" w:line="360" w:lineRule="auto"/>
        <w:jc w:val="both"/>
        <w:rPr>
          <w:rFonts w:ascii="Tahoma" w:hAnsi="Tahoma" w:cs="Tahoma"/>
          <w:sz w:val="22"/>
          <w:szCs w:val="22"/>
          <w:lang w:val="es-ES"/>
        </w:rPr>
      </w:pPr>
      <w:r w:rsidRPr="00E317BB">
        <w:rPr>
          <w:rFonts w:ascii="Tahoma" w:hAnsi="Tahoma" w:cs="Tahoma"/>
          <w:sz w:val="22"/>
          <w:szCs w:val="22"/>
          <w:lang w:val="es-ES"/>
        </w:rPr>
        <w:t>Habrá tres Directores suplentes designados en la misma forma que los propietarios, quienes asistirán al Consejo Directivo con voz pero sin voto, salvo cuando actúen en sustitución de los Directores propietarios.</w:t>
      </w:r>
    </w:p>
    <w:p w:rsidR="00A92E8C" w:rsidRPr="00E317BB" w:rsidRDefault="00A92E8C" w:rsidP="00A92E8C">
      <w:pPr>
        <w:pStyle w:val="NormalWeb"/>
        <w:shd w:val="clear" w:color="auto" w:fill="FFFFFF"/>
        <w:spacing w:after="0" w:line="360" w:lineRule="auto"/>
        <w:jc w:val="both"/>
        <w:rPr>
          <w:rFonts w:ascii="Tahoma" w:hAnsi="Tahoma" w:cs="Tahoma"/>
          <w:sz w:val="22"/>
          <w:szCs w:val="22"/>
          <w:lang w:val="es-ES"/>
        </w:rPr>
      </w:pPr>
      <w:r w:rsidRPr="00E317BB">
        <w:rPr>
          <w:rFonts w:ascii="Tahoma" w:hAnsi="Tahoma" w:cs="Tahoma"/>
          <w:sz w:val="22"/>
          <w:szCs w:val="22"/>
          <w:lang w:val="es-ES"/>
        </w:rPr>
        <w:t>En cualquier caso que por excusa o recusación no pudiere conocer ni el Superintendente propietario ni su respectivo suplente, los Directores llamarán al resto de los suplentes para conformar Consejo; el Consejo así integrado designará mediante resolución a uno de los Directores propietario o suplente para conocer del asunto de que se trate, en defecto del Superintendente.</w:t>
      </w:r>
    </w:p>
    <w:p w:rsidR="00A92E8C" w:rsidRPr="00E317BB" w:rsidRDefault="00A92E8C" w:rsidP="00A92E8C">
      <w:pPr>
        <w:pStyle w:val="NormalWeb"/>
        <w:shd w:val="clear" w:color="auto" w:fill="FFFFFF"/>
        <w:spacing w:after="0" w:line="360" w:lineRule="auto"/>
        <w:jc w:val="both"/>
        <w:rPr>
          <w:rFonts w:ascii="Tahoma" w:hAnsi="Tahoma" w:cs="Tahoma"/>
          <w:sz w:val="22"/>
          <w:szCs w:val="22"/>
          <w:lang w:val="es-ES"/>
        </w:rPr>
      </w:pPr>
      <w:r w:rsidRPr="00E317BB">
        <w:rPr>
          <w:rFonts w:ascii="Tahoma" w:hAnsi="Tahoma" w:cs="Tahoma"/>
          <w:sz w:val="22"/>
          <w:szCs w:val="22"/>
          <w:lang w:val="es-ES"/>
        </w:rPr>
        <w:t>Para que las sesiones del Consejo se consideren válidas será necesaria la asistencia de los tres miembros propietarios o de quienes hagan sus veces.</w:t>
      </w:r>
    </w:p>
    <w:p w:rsidR="00A92E8C" w:rsidRPr="00E317BB" w:rsidRDefault="00A92E8C" w:rsidP="00A92E8C">
      <w:pPr>
        <w:pStyle w:val="NormalWeb"/>
        <w:shd w:val="clear" w:color="auto" w:fill="FFFFFF"/>
        <w:spacing w:after="0" w:line="360" w:lineRule="auto"/>
        <w:jc w:val="both"/>
        <w:rPr>
          <w:rFonts w:ascii="Tahoma" w:hAnsi="Tahoma" w:cs="Tahoma"/>
          <w:sz w:val="22"/>
          <w:szCs w:val="22"/>
          <w:lang w:val="es-ES"/>
        </w:rPr>
      </w:pPr>
      <w:r w:rsidRPr="00E317BB">
        <w:rPr>
          <w:rFonts w:ascii="Tahoma" w:hAnsi="Tahoma" w:cs="Tahoma"/>
          <w:sz w:val="22"/>
          <w:szCs w:val="22"/>
          <w:lang w:val="es-ES"/>
        </w:rPr>
        <w:t>Las resoluciones de la Superintendencia, serán tomadas por la mayoría de sus miembros.</w:t>
      </w:r>
    </w:p>
    <w:p w:rsidR="00A92E8C" w:rsidRPr="00E317BB" w:rsidRDefault="00A92E8C" w:rsidP="00A92E8C">
      <w:pPr>
        <w:pStyle w:val="NormalWeb"/>
        <w:shd w:val="clear" w:color="auto" w:fill="FFFFFF"/>
        <w:spacing w:after="0" w:line="360" w:lineRule="auto"/>
        <w:jc w:val="both"/>
        <w:rPr>
          <w:rFonts w:ascii="Tahoma" w:hAnsi="Tahoma" w:cs="Tahoma"/>
          <w:sz w:val="22"/>
          <w:szCs w:val="22"/>
          <w:lang w:val="es-ES"/>
        </w:rPr>
      </w:pPr>
      <w:r w:rsidRPr="00E317BB">
        <w:rPr>
          <w:rFonts w:ascii="Tahoma" w:hAnsi="Tahoma" w:cs="Tahoma"/>
          <w:sz w:val="22"/>
          <w:szCs w:val="22"/>
          <w:lang w:val="es-ES"/>
        </w:rPr>
        <w:t>El Consejo Directivo se reunirá al menos una vez al mes o cuando las circunstancias lo hagan necesario, previa convocatoria del Superintendente o de quien haga sus veces.</w:t>
      </w:r>
    </w:p>
    <w:p w:rsidR="00A92E8C" w:rsidRPr="00E317BB" w:rsidRDefault="00A92E8C" w:rsidP="00A92E8C">
      <w:pPr>
        <w:pStyle w:val="NormalWeb"/>
        <w:shd w:val="clear" w:color="auto" w:fill="FFFFFF"/>
        <w:spacing w:after="0" w:line="360" w:lineRule="auto"/>
        <w:jc w:val="both"/>
        <w:rPr>
          <w:rFonts w:ascii="Tahoma" w:hAnsi="Tahoma" w:cs="Tahoma"/>
          <w:sz w:val="22"/>
          <w:szCs w:val="22"/>
          <w:lang w:val="es-ES"/>
        </w:rPr>
      </w:pPr>
      <w:r w:rsidRPr="00E317BB">
        <w:rPr>
          <w:rFonts w:ascii="Tahoma" w:hAnsi="Tahoma" w:cs="Tahoma"/>
          <w:sz w:val="22"/>
          <w:szCs w:val="22"/>
          <w:lang w:val="es-ES"/>
        </w:rPr>
        <w:lastRenderedPageBreak/>
        <w:t>Con excepción del Superintendente, los miembros propietarios y suplentes que asistan a las sesiones tendrán derecho a percibir las dietas fijadas para tal efecto.</w:t>
      </w:r>
    </w:p>
    <w:p w:rsidR="00A92E8C" w:rsidRPr="00E317BB" w:rsidRDefault="00A92E8C" w:rsidP="00A92E8C">
      <w:pPr>
        <w:pStyle w:val="NormalWeb"/>
        <w:shd w:val="clear" w:color="auto" w:fill="FFFFFF"/>
        <w:spacing w:after="0" w:line="360" w:lineRule="auto"/>
        <w:jc w:val="both"/>
        <w:rPr>
          <w:rFonts w:ascii="Tahoma" w:hAnsi="Tahoma" w:cs="Tahoma"/>
          <w:sz w:val="22"/>
          <w:szCs w:val="22"/>
          <w:lang w:val="es-ES"/>
        </w:rPr>
      </w:pPr>
      <w:r w:rsidRPr="00E317BB">
        <w:rPr>
          <w:rFonts w:ascii="Tahoma" w:hAnsi="Tahoma" w:cs="Tahoma"/>
          <w:sz w:val="22"/>
          <w:szCs w:val="22"/>
          <w:lang w:val="es-ES"/>
        </w:rPr>
        <w:t xml:space="preserve">El cargo de superintendente y los directores durarán cinco años en sus funciones y podrán ser reelectos en sus cargos. </w:t>
      </w:r>
    </w:p>
    <w:p w:rsidR="00A26950" w:rsidRPr="00E317BB" w:rsidRDefault="00A26950" w:rsidP="00A92E8C">
      <w:pPr>
        <w:pStyle w:val="NormalWeb"/>
        <w:shd w:val="clear" w:color="auto" w:fill="FFFFFF"/>
        <w:spacing w:after="0" w:line="360" w:lineRule="auto"/>
        <w:jc w:val="both"/>
        <w:rPr>
          <w:rFonts w:ascii="Tahoma" w:hAnsi="Tahoma" w:cs="Tahoma"/>
          <w:sz w:val="22"/>
          <w:szCs w:val="22"/>
          <w:lang w:val="es-ES"/>
        </w:rPr>
      </w:pPr>
    </w:p>
    <w:p w:rsidR="00A26950" w:rsidRPr="00E317BB" w:rsidRDefault="00A26950" w:rsidP="00A26950">
      <w:pPr>
        <w:tabs>
          <w:tab w:val="left" w:pos="360"/>
        </w:tabs>
        <w:adjustRightInd w:val="0"/>
        <w:spacing w:before="120" w:after="0" w:line="240" w:lineRule="atLeast"/>
        <w:jc w:val="center"/>
        <w:rPr>
          <w:rFonts w:ascii="Tahoma" w:eastAsia="Times New Roman" w:hAnsi="Tahoma" w:cs="Tahoma"/>
          <w:b/>
          <w:bCs/>
          <w:lang w:val="es-ES" w:eastAsia="es-SV"/>
        </w:rPr>
      </w:pPr>
      <w:r w:rsidRPr="00A26950">
        <w:rPr>
          <w:rFonts w:ascii="Tahoma" w:eastAsia="Times New Roman" w:hAnsi="Tahoma" w:cs="Tahoma"/>
          <w:b/>
          <w:bCs/>
          <w:lang w:val="es-ES" w:eastAsia="es-SV"/>
        </w:rPr>
        <w:t>LAS INFRACCIONES Y SANCIONES</w:t>
      </w:r>
    </w:p>
    <w:p w:rsidR="00A26950" w:rsidRPr="00E317BB" w:rsidRDefault="00A26950" w:rsidP="00A26950">
      <w:pPr>
        <w:tabs>
          <w:tab w:val="left" w:pos="360"/>
        </w:tabs>
        <w:adjustRightInd w:val="0"/>
        <w:spacing w:before="120" w:after="0" w:line="240" w:lineRule="atLeast"/>
        <w:jc w:val="center"/>
        <w:rPr>
          <w:rFonts w:ascii="Arial" w:eastAsia="Times New Roman" w:hAnsi="Arial" w:cs="Arial"/>
          <w:b/>
          <w:bCs/>
          <w:sz w:val="18"/>
          <w:szCs w:val="18"/>
          <w:lang w:val="es-ES" w:eastAsia="es-SV"/>
        </w:rPr>
      </w:pPr>
    </w:p>
    <w:p w:rsidR="00A26950" w:rsidRPr="00E317BB" w:rsidRDefault="00AE17E1" w:rsidP="00AE17E1">
      <w:pPr>
        <w:jc w:val="both"/>
        <w:rPr>
          <w:rFonts w:ascii="Tahoma" w:hAnsi="Tahoma" w:cs="Tahoma"/>
          <w:lang w:val="es-ES"/>
        </w:rPr>
      </w:pPr>
      <w:r w:rsidRPr="00E317BB">
        <w:rPr>
          <w:rFonts w:ascii="Tahoma" w:eastAsia="Times New Roman" w:hAnsi="Tahoma" w:cs="Tahoma"/>
          <w:bCs/>
          <w:lang w:val="es-ES" w:eastAsia="es-SV"/>
        </w:rPr>
        <w:t xml:space="preserve">El </w:t>
      </w:r>
      <w:r w:rsidRPr="00E317BB">
        <w:rPr>
          <w:rFonts w:ascii="Tahoma" w:hAnsi="Tahoma" w:cs="Tahoma"/>
          <w:lang w:val="es-ES"/>
        </w:rPr>
        <w:t>Art. 37</w:t>
      </w:r>
      <w:r w:rsidRPr="00E317BB">
        <w:rPr>
          <w:rFonts w:ascii="Tahoma" w:hAnsi="Tahoma" w:cs="Tahoma"/>
          <w:lang w:val="es-ES"/>
        </w:rPr>
        <w:t xml:space="preserve"> dice</w:t>
      </w:r>
      <w:r w:rsidRPr="00E317BB">
        <w:rPr>
          <w:rFonts w:ascii="Tahoma" w:hAnsi="Tahoma" w:cs="Tahoma"/>
          <w:lang w:val="es-ES"/>
        </w:rPr>
        <w:t>.- Para imponer sanciones, la Superintendencia tendrá en cuenta la gravedad de la infracción, el daño causado, el efecto sobre terceros, la duración de la práctica anticompetitiva, las dimensiones del mercado y la reincidencia.</w:t>
      </w:r>
    </w:p>
    <w:p w:rsidR="00AE17E1" w:rsidRPr="00E317BB" w:rsidRDefault="00AE17E1" w:rsidP="00AE17E1">
      <w:pPr>
        <w:jc w:val="both"/>
        <w:rPr>
          <w:rFonts w:ascii="Tahoma" w:hAnsi="Tahoma" w:cs="Tahoma"/>
          <w:lang w:val="es-ES"/>
        </w:rPr>
      </w:pPr>
    </w:p>
    <w:p w:rsidR="00AE17E1" w:rsidRPr="00E317BB" w:rsidRDefault="00AE17E1" w:rsidP="00AE17E1">
      <w:pPr>
        <w:jc w:val="both"/>
        <w:rPr>
          <w:rFonts w:ascii="Tahoma" w:hAnsi="Tahoma" w:cs="Tahoma"/>
          <w:lang w:val="es-ES"/>
        </w:rPr>
      </w:pPr>
      <w:r w:rsidRPr="00E317BB">
        <w:rPr>
          <w:rFonts w:ascii="Tahoma" w:hAnsi="Tahoma" w:cs="Tahoma"/>
          <w:lang w:val="es-ES"/>
        </w:rPr>
        <w:t>El Art. 38 da las diferentes sanciones que la ley da como la siguiente.- Las infracciones a la presente Ley serán sancionadas con multa, cuyo monto se determinará de conformidad a los criterios establecidos en el artículo anterior y que tendrá un máximo de cinco mil salarios mínimos mensuales urbanos en la industria.</w:t>
      </w:r>
    </w:p>
    <w:p w:rsidR="00AE17E1" w:rsidRPr="00E317BB" w:rsidRDefault="00AE17E1" w:rsidP="00AE17E1">
      <w:pPr>
        <w:jc w:val="both"/>
        <w:rPr>
          <w:rFonts w:ascii="Tahoma" w:hAnsi="Tahoma" w:cs="Tahoma"/>
          <w:lang w:val="es-ES"/>
        </w:rPr>
      </w:pPr>
    </w:p>
    <w:p w:rsidR="00AE17E1" w:rsidRPr="00E317BB" w:rsidRDefault="00AE17E1" w:rsidP="00AE17E1">
      <w:pPr>
        <w:jc w:val="both"/>
        <w:rPr>
          <w:rFonts w:ascii="Tahoma" w:hAnsi="Tahoma" w:cs="Tahoma"/>
          <w:lang w:val="es-ES"/>
        </w:rPr>
      </w:pPr>
      <w:r w:rsidRPr="00E317BB">
        <w:rPr>
          <w:rFonts w:ascii="Tahoma" w:hAnsi="Tahoma" w:cs="Tahoma"/>
          <w:lang w:val="es-ES"/>
        </w:rPr>
        <w:t>No obstante lo anterior, cuando la práctica incurrida revista particular gravedad, la Superintendencia podrá imponer, en lugar de la multa prevista en el inciso anterior, una multa hasta por el seis por ciento de las ventas anuales obtenidas por el infractor o hasta por el seis por ciento del valor de sus activos durante el ejercicio fiscal anterior o una multa equivalente a un mínimo de dos veces y hasta un máximo de diez veces la ganancia estimada derivada de las prácticas anticompetitivas, cualquiera que resulte más alta.</w:t>
      </w:r>
    </w:p>
    <w:p w:rsidR="00AE17E1" w:rsidRPr="00E317BB" w:rsidRDefault="00AE17E1" w:rsidP="00AE17E1">
      <w:pPr>
        <w:jc w:val="both"/>
        <w:rPr>
          <w:rFonts w:ascii="Tahoma" w:hAnsi="Tahoma" w:cs="Tahoma"/>
          <w:lang w:val="es-ES"/>
        </w:rPr>
      </w:pPr>
    </w:p>
    <w:p w:rsidR="00AE17E1" w:rsidRPr="00E317BB" w:rsidRDefault="00AE17E1" w:rsidP="00AE17E1">
      <w:pPr>
        <w:jc w:val="both"/>
        <w:rPr>
          <w:rFonts w:ascii="Tahoma" w:hAnsi="Tahoma" w:cs="Tahoma"/>
          <w:lang w:val="es-ES"/>
        </w:rPr>
      </w:pPr>
      <w:r w:rsidRPr="00E317BB">
        <w:rPr>
          <w:rFonts w:ascii="Tahoma" w:hAnsi="Tahoma" w:cs="Tahoma"/>
          <w:lang w:val="es-ES"/>
        </w:rPr>
        <w:t xml:space="preserve">Además de la sanción económica, </w:t>
      </w:r>
      <w:smartTag w:uri="urn:schemas-microsoft-com:office:smarttags" w:element="PersonName">
        <w:smartTagPr>
          <w:attr w:name="ProductID" w:val="la Superintendencia"/>
        </w:smartTagPr>
        <w:r w:rsidRPr="00E317BB">
          <w:rPr>
            <w:rFonts w:ascii="Tahoma" w:hAnsi="Tahoma" w:cs="Tahoma"/>
            <w:lang w:val="es-ES"/>
          </w:rPr>
          <w:t>la Superintendencia</w:t>
        </w:r>
      </w:smartTag>
      <w:r w:rsidRPr="00E317BB">
        <w:rPr>
          <w:rFonts w:ascii="Tahoma" w:hAnsi="Tahoma" w:cs="Tahoma"/>
          <w:lang w:val="es-ES"/>
        </w:rPr>
        <w:t>, en la resolución final, ordenará la cesación de las prácticas anticompetitivas en un plazo determinado y establecerá las condiciones u obligaciones necesarias, sean éstas estructurales o de comportamiento.</w:t>
      </w:r>
    </w:p>
    <w:p w:rsidR="00AE17E1" w:rsidRPr="00E317BB" w:rsidRDefault="00AE17E1" w:rsidP="00AE17E1">
      <w:pPr>
        <w:jc w:val="both"/>
        <w:rPr>
          <w:rFonts w:ascii="Tahoma" w:hAnsi="Tahoma" w:cs="Tahoma"/>
          <w:lang w:val="es-ES"/>
        </w:rPr>
      </w:pPr>
    </w:p>
    <w:p w:rsidR="00AE17E1" w:rsidRPr="00E317BB" w:rsidRDefault="00AE17E1" w:rsidP="00AE17E1">
      <w:pPr>
        <w:jc w:val="both"/>
        <w:rPr>
          <w:rFonts w:ascii="Tahoma" w:hAnsi="Tahoma" w:cs="Tahoma"/>
          <w:lang w:val="es-ES"/>
        </w:rPr>
      </w:pPr>
      <w:r w:rsidRPr="00E317BB">
        <w:rPr>
          <w:rFonts w:ascii="Tahoma" w:hAnsi="Tahoma" w:cs="Tahoma"/>
          <w:lang w:val="es-ES"/>
        </w:rPr>
        <w:t>Las mismas sanciones podrán imponerse a aquellos agentes económicos que, debiendo hacerlo, no solicitaren la autorización de una concentración.</w:t>
      </w:r>
    </w:p>
    <w:p w:rsidR="00AE17E1" w:rsidRPr="00E317BB" w:rsidRDefault="00AE17E1" w:rsidP="00AE17E1">
      <w:pPr>
        <w:jc w:val="both"/>
        <w:rPr>
          <w:rFonts w:ascii="Tahoma" w:hAnsi="Tahoma" w:cs="Tahoma"/>
          <w:lang w:val="es-ES"/>
        </w:rPr>
      </w:pPr>
    </w:p>
    <w:p w:rsidR="00AE17E1" w:rsidRPr="00E317BB" w:rsidRDefault="00AE17E1" w:rsidP="00AE17E1">
      <w:pPr>
        <w:jc w:val="both"/>
        <w:rPr>
          <w:rFonts w:ascii="Tahoma" w:hAnsi="Tahoma" w:cs="Tahoma"/>
          <w:lang w:val="es-ES"/>
        </w:rPr>
      </w:pPr>
      <w:r w:rsidRPr="00E317BB">
        <w:rPr>
          <w:rFonts w:ascii="Tahoma" w:hAnsi="Tahoma" w:cs="Tahoma"/>
          <w:lang w:val="es-ES"/>
        </w:rPr>
        <w:lastRenderedPageBreak/>
        <w:t xml:space="preserve">Cuando el agente económico a quien se le condicionó la solicitud de concentración económica no cumpla con lo ordenado en la resolución final dictada en esta clase de procedimiento de autorización, o lo haga de manera incompleta, incorrecta, falsa o engañosa, la Superintendencia podrá imponer una multa de hasta cinco mil salarios mínimos mensuales urbanos en la industria por cada día que transcurra sin que se cumpla con lo ordenado. </w:t>
      </w:r>
    </w:p>
    <w:p w:rsidR="00AE17E1" w:rsidRPr="00E317BB" w:rsidRDefault="00AE17E1" w:rsidP="00AE17E1">
      <w:pPr>
        <w:jc w:val="both"/>
        <w:rPr>
          <w:rFonts w:ascii="Tahoma" w:hAnsi="Tahoma" w:cs="Tahoma"/>
          <w:lang w:val="es-ES"/>
        </w:rPr>
      </w:pPr>
      <w:r w:rsidRPr="00E317BB">
        <w:rPr>
          <w:rFonts w:ascii="Tahoma" w:hAnsi="Tahoma" w:cs="Tahoma"/>
          <w:lang w:val="es-ES"/>
        </w:rPr>
        <w:t xml:space="preserve">La Superintendencia podrá también imponer multa de hasta diez salarios mínimos mensuales urbanos en la industria por cada día de atraso a las personas que deliberadamente o por negligencia no suministren la colaboración requerida o que haciéndolo lo hagan de manera incompleta o inexacta; la misma multa se podrá imponer a quienes no acataren una medida cautelar ordenada de conformidad a la presente Ley. </w:t>
      </w:r>
    </w:p>
    <w:p w:rsidR="00AE17E1" w:rsidRPr="00E317BB" w:rsidRDefault="00AE17E1" w:rsidP="00AE17E1">
      <w:pPr>
        <w:jc w:val="both"/>
        <w:rPr>
          <w:rFonts w:ascii="Tahoma" w:hAnsi="Tahoma" w:cs="Tahoma"/>
          <w:lang w:val="es-ES"/>
        </w:rPr>
      </w:pPr>
      <w:r w:rsidRPr="00E317BB">
        <w:rPr>
          <w:rFonts w:ascii="Tahoma" w:hAnsi="Tahoma" w:cs="Tahoma"/>
          <w:lang w:val="es-ES"/>
        </w:rPr>
        <w:t xml:space="preserve">Al agente económico que haya interpuesto una denuncia utilizando datos o documentos falsos con la intención de limitar, restringir o impedir la competencia, se le podrá imponer, previo el procedimiento respectivo, las multas a que se refiere el inciso primero y segundo de este artículo. </w:t>
      </w:r>
    </w:p>
    <w:p w:rsidR="00AE17E1" w:rsidRPr="00E317BB" w:rsidRDefault="00AE17E1" w:rsidP="00AE17E1">
      <w:pPr>
        <w:jc w:val="both"/>
        <w:rPr>
          <w:rFonts w:ascii="Tahoma" w:hAnsi="Tahoma" w:cs="Tahoma"/>
          <w:lang w:val="es-ES"/>
        </w:rPr>
      </w:pPr>
      <w:r w:rsidRPr="00E317BB">
        <w:rPr>
          <w:rFonts w:ascii="Tahoma" w:hAnsi="Tahoma" w:cs="Tahoma"/>
          <w:lang w:val="es-ES"/>
        </w:rPr>
        <w:tab/>
      </w:r>
    </w:p>
    <w:p w:rsidR="00AE17E1" w:rsidRPr="00E317BB" w:rsidRDefault="00AE17E1" w:rsidP="00AE17E1">
      <w:pPr>
        <w:jc w:val="both"/>
        <w:rPr>
          <w:rFonts w:ascii="Tahoma" w:hAnsi="Tahoma" w:cs="Tahoma"/>
          <w:lang w:val="es-ES"/>
        </w:rPr>
      </w:pPr>
      <w:r w:rsidRPr="00E317BB">
        <w:rPr>
          <w:rFonts w:ascii="Tahoma" w:hAnsi="Tahoma" w:cs="Tahoma"/>
          <w:lang w:val="es-ES"/>
        </w:rPr>
        <w:t xml:space="preserve">La Superintendencia dará aviso a las Instituciones del Estado, de las sanciones impuestas por infracciones al Art. 25, letra c) para que éstas resuelvan de conformidad al Art. 158 de la Ley de Adquisiciones y Contrataciones de la Administración Pública. </w:t>
      </w:r>
    </w:p>
    <w:p w:rsidR="00AE17E1" w:rsidRPr="00E317BB" w:rsidRDefault="00AE17E1" w:rsidP="00AE17E1">
      <w:pPr>
        <w:jc w:val="both"/>
        <w:rPr>
          <w:rFonts w:ascii="Tahoma" w:hAnsi="Tahoma" w:cs="Tahoma"/>
          <w:lang w:val="es-ES"/>
        </w:rPr>
      </w:pPr>
    </w:p>
    <w:p w:rsidR="00E317BB" w:rsidRPr="00E317BB" w:rsidRDefault="00E317BB" w:rsidP="00E317BB">
      <w:pPr>
        <w:jc w:val="both"/>
        <w:rPr>
          <w:rFonts w:ascii="Tahoma" w:hAnsi="Tahoma" w:cs="Tahoma"/>
          <w:lang w:val="es-ES"/>
        </w:rPr>
      </w:pPr>
      <w:r w:rsidRPr="00E317BB">
        <w:rPr>
          <w:rFonts w:ascii="Tahoma" w:hAnsi="Tahoma" w:cs="Tahoma"/>
          <w:lang w:val="es-ES"/>
        </w:rPr>
        <w:t xml:space="preserve">Art. 39.- Durante los trámites de la instrucción del procedimiento para la investigación de las prácticas anticompetitivas distintas de las contempladas en el artículo 25 de esta Ley, el presunto infractor podrá brindar garantías suficientes que suspenderá o modificará la práctica anticompetitiva por la cual se le investiga. </w:t>
      </w:r>
    </w:p>
    <w:p w:rsidR="00E317BB" w:rsidRPr="00E317BB" w:rsidRDefault="00E317BB" w:rsidP="00E317BB">
      <w:pPr>
        <w:jc w:val="both"/>
        <w:rPr>
          <w:rFonts w:ascii="Tahoma" w:hAnsi="Tahoma" w:cs="Tahoma"/>
          <w:lang w:val="es-ES"/>
        </w:rPr>
      </w:pPr>
      <w:r w:rsidRPr="00E317BB">
        <w:rPr>
          <w:rFonts w:ascii="Tahoma" w:hAnsi="Tahoma" w:cs="Tahoma"/>
          <w:lang w:val="es-ES"/>
        </w:rPr>
        <w:t xml:space="preserve">Cualquier agente económico que haya incurrido o esté incurriendo en una práctica anticompetitiva entre competidores podrá reconocerla ante el Superintendente, quien verificará, entre ellos, el cumplimiento de los requisitos siguientes: </w:t>
      </w:r>
    </w:p>
    <w:p w:rsidR="00E317BB" w:rsidRPr="00E317BB" w:rsidRDefault="00E317BB" w:rsidP="00E317BB">
      <w:pPr>
        <w:jc w:val="both"/>
        <w:rPr>
          <w:rFonts w:ascii="Tahoma" w:hAnsi="Tahoma" w:cs="Tahoma"/>
          <w:lang w:val="es-ES"/>
        </w:rPr>
      </w:pPr>
      <w:r w:rsidRPr="00E317BB">
        <w:rPr>
          <w:rFonts w:ascii="Tahoma" w:hAnsi="Tahoma" w:cs="Tahoma"/>
          <w:lang w:val="es-ES"/>
        </w:rPr>
        <w:t xml:space="preserve">a) Sea el primero; entre los agentes económicos involucrados en la conducta y aporte los elementos de convicción suficientes que obren en su poder y de los que pueda disponer y que a juicio del Superintendente permitan comprobar la existencia de la práctica y la participación del resto de agentes económicos; </w:t>
      </w:r>
    </w:p>
    <w:p w:rsidR="00E317BB" w:rsidRPr="00E317BB" w:rsidRDefault="00E317BB" w:rsidP="00E317BB">
      <w:pPr>
        <w:jc w:val="both"/>
        <w:rPr>
          <w:rFonts w:ascii="Tahoma" w:hAnsi="Tahoma" w:cs="Tahoma"/>
          <w:lang w:val="es-ES"/>
        </w:rPr>
      </w:pPr>
      <w:r w:rsidRPr="00E317BB">
        <w:rPr>
          <w:rFonts w:ascii="Tahoma" w:hAnsi="Tahoma" w:cs="Tahoma"/>
          <w:lang w:val="es-ES"/>
        </w:rPr>
        <w:t xml:space="preserve">b) Coopere en forma plena y continua con la Superintendencia en la sustanciación de la investigación que lleve a cabo; </w:t>
      </w:r>
    </w:p>
    <w:p w:rsidR="00E317BB" w:rsidRPr="00E317BB" w:rsidRDefault="00E317BB" w:rsidP="00E317BB">
      <w:pPr>
        <w:jc w:val="both"/>
        <w:rPr>
          <w:rFonts w:ascii="Tahoma" w:hAnsi="Tahoma" w:cs="Tahoma"/>
          <w:lang w:val="es-ES"/>
        </w:rPr>
      </w:pPr>
      <w:r w:rsidRPr="00E317BB">
        <w:rPr>
          <w:rFonts w:ascii="Tahoma" w:hAnsi="Tahoma" w:cs="Tahoma"/>
          <w:lang w:val="es-ES"/>
        </w:rPr>
        <w:t>c) Realice las acciones necesarias para determinar su participación en la práctica violatoria de la Ley.</w:t>
      </w:r>
    </w:p>
    <w:p w:rsidR="00E317BB" w:rsidRPr="00E317BB" w:rsidRDefault="00E317BB" w:rsidP="00E317BB">
      <w:pPr>
        <w:jc w:val="both"/>
        <w:rPr>
          <w:rFonts w:ascii="Tahoma" w:hAnsi="Tahoma" w:cs="Tahoma"/>
          <w:lang w:val="es-ES"/>
        </w:rPr>
      </w:pPr>
      <w:r w:rsidRPr="00E317BB">
        <w:rPr>
          <w:rFonts w:ascii="Tahoma" w:hAnsi="Tahoma" w:cs="Tahoma"/>
          <w:lang w:val="es-ES"/>
        </w:rPr>
        <w:lastRenderedPageBreak/>
        <w:t>Durante la tramitación del procedimiento, la Superintendencia mantendrá con carácter confidencial la identidad del agente económico que pretenda acogerse a los beneficios de este artículo.</w:t>
      </w:r>
    </w:p>
    <w:p w:rsidR="00E317BB" w:rsidRPr="00E317BB" w:rsidRDefault="00E317BB" w:rsidP="00E317BB">
      <w:pPr>
        <w:jc w:val="both"/>
        <w:rPr>
          <w:rFonts w:ascii="Tahoma" w:hAnsi="Tahoma" w:cs="Tahoma"/>
          <w:lang w:val="es-ES"/>
        </w:rPr>
      </w:pPr>
      <w:r w:rsidRPr="00E317BB">
        <w:rPr>
          <w:rFonts w:ascii="Tahoma" w:hAnsi="Tahoma" w:cs="Tahoma"/>
          <w:lang w:val="es-ES"/>
        </w:rPr>
        <w:t xml:space="preserve">En ambos casos, el Consejo Directivo, al momento de emitir la resolución final correspondiente, no aplicará al solicitante el criterio establecido en el artículo 38 inciso 2° de esta Ley. </w:t>
      </w:r>
    </w:p>
    <w:p w:rsidR="00E317BB" w:rsidRPr="00E317BB" w:rsidRDefault="00E317BB" w:rsidP="00E317BB">
      <w:pPr>
        <w:jc w:val="both"/>
        <w:rPr>
          <w:rFonts w:ascii="Tahoma" w:hAnsi="Tahoma" w:cs="Tahoma"/>
          <w:lang w:val="es-ES"/>
        </w:rPr>
      </w:pPr>
      <w:r w:rsidRPr="00E317BB">
        <w:rPr>
          <w:rFonts w:ascii="Tahoma" w:hAnsi="Tahoma" w:cs="Tahoma"/>
          <w:lang w:val="es-ES"/>
        </w:rPr>
        <w:t xml:space="preserve">La solicitud o el reconocimiento podrán plantearse hasta antes que se ordene la remisión de expediente al Consejo Directivo. </w:t>
      </w:r>
    </w:p>
    <w:p w:rsidR="00E317BB" w:rsidRPr="00E317BB" w:rsidRDefault="00E317BB" w:rsidP="00E317BB">
      <w:pPr>
        <w:jc w:val="both"/>
        <w:rPr>
          <w:rFonts w:ascii="Tahoma" w:hAnsi="Tahoma" w:cs="Tahoma"/>
          <w:lang w:val="es-ES"/>
        </w:rPr>
      </w:pPr>
      <w:r w:rsidRPr="00E317BB">
        <w:rPr>
          <w:rFonts w:ascii="Tahoma" w:hAnsi="Tahoma" w:cs="Tahoma"/>
          <w:lang w:val="es-ES"/>
        </w:rPr>
        <w:t xml:space="preserve">El beneficio regulado en este artículo podrá ser concedido una sola vez por cada agente económico. </w:t>
      </w:r>
    </w:p>
    <w:p w:rsidR="00E317BB" w:rsidRPr="00E317BB" w:rsidRDefault="00E317BB" w:rsidP="00E317BB">
      <w:pPr>
        <w:jc w:val="both"/>
        <w:rPr>
          <w:rFonts w:ascii="Tahoma" w:hAnsi="Tahoma" w:cs="Tahoma"/>
          <w:lang w:val="es-ES"/>
        </w:rPr>
      </w:pPr>
    </w:p>
    <w:p w:rsidR="00E317BB" w:rsidRDefault="00E317BB" w:rsidP="00E317BB">
      <w:pPr>
        <w:jc w:val="center"/>
        <w:rPr>
          <w:rFonts w:ascii="Tahoma" w:hAnsi="Tahoma" w:cs="Tahoma"/>
          <w:b/>
          <w:bCs/>
          <w:lang w:val="es-ES"/>
        </w:rPr>
      </w:pPr>
      <w:r w:rsidRPr="00E317BB">
        <w:rPr>
          <w:rFonts w:ascii="Tahoma" w:hAnsi="Tahoma" w:cs="Tahoma"/>
          <w:b/>
          <w:bCs/>
          <w:lang w:val="es-ES"/>
        </w:rPr>
        <w:t>DE LOS PROCEDIMIENTOS Y RECURSOS</w:t>
      </w:r>
    </w:p>
    <w:p w:rsidR="00E317BB" w:rsidRPr="00E317BB" w:rsidRDefault="00E317BB" w:rsidP="00E317BB">
      <w:pPr>
        <w:jc w:val="both"/>
        <w:rPr>
          <w:rFonts w:ascii="Tahoma" w:hAnsi="Tahoma" w:cs="Tahoma"/>
          <w:bCs/>
          <w:lang w:val="es-ES"/>
        </w:rPr>
      </w:pPr>
    </w:p>
    <w:p w:rsidR="00E317BB" w:rsidRPr="00E317BB" w:rsidRDefault="00E317BB" w:rsidP="00E317BB">
      <w:pPr>
        <w:jc w:val="both"/>
        <w:rPr>
          <w:rFonts w:ascii="Tahoma" w:hAnsi="Tahoma" w:cs="Tahoma"/>
          <w:bCs/>
          <w:lang w:val="es-ES"/>
        </w:rPr>
      </w:pPr>
      <w:r w:rsidRPr="00E317BB">
        <w:rPr>
          <w:rFonts w:ascii="Tahoma" w:hAnsi="Tahoma" w:cs="Tahoma"/>
          <w:bCs/>
          <w:lang w:val="es-ES"/>
        </w:rPr>
        <w:t>Art. 40.- El procedimiento ante el Superintendente se iniciará de oficio o por denuncia.</w:t>
      </w:r>
    </w:p>
    <w:p w:rsidR="00E317BB" w:rsidRPr="00E317BB" w:rsidRDefault="00E317BB" w:rsidP="00E317BB">
      <w:pPr>
        <w:jc w:val="both"/>
        <w:rPr>
          <w:rFonts w:ascii="Tahoma" w:hAnsi="Tahoma" w:cs="Tahoma"/>
          <w:bCs/>
          <w:lang w:val="es-ES"/>
        </w:rPr>
      </w:pPr>
    </w:p>
    <w:p w:rsidR="00E317BB" w:rsidRPr="00E317BB" w:rsidRDefault="00E317BB" w:rsidP="00E317BB">
      <w:pPr>
        <w:jc w:val="both"/>
        <w:rPr>
          <w:rFonts w:ascii="Tahoma" w:hAnsi="Tahoma" w:cs="Tahoma"/>
          <w:bCs/>
          <w:lang w:val="es-ES"/>
        </w:rPr>
      </w:pPr>
      <w:r w:rsidRPr="00E317BB">
        <w:rPr>
          <w:rFonts w:ascii="Tahoma" w:hAnsi="Tahoma" w:cs="Tahoma"/>
          <w:bCs/>
          <w:lang w:val="es-ES"/>
        </w:rPr>
        <w:t>Art. 41.- El Superintendente podrá efectuar, con anterioridad a la iniciación del procedimiento sancionatorio, actuaciones previas por parte de funcionarios de la Superintendencia, con facultades para investigar, averiguar, inspeccionar en materia de prácticas anticompetitivas, con el propósito de determinar con carácter preliminar la concurrencia de posibles violaciones a la Ley.</w:t>
      </w:r>
    </w:p>
    <w:p w:rsidR="00E317BB" w:rsidRPr="00E317BB" w:rsidRDefault="00E317BB" w:rsidP="00E317BB">
      <w:pPr>
        <w:jc w:val="both"/>
        <w:rPr>
          <w:rFonts w:ascii="Tahoma" w:hAnsi="Tahoma" w:cs="Tahoma"/>
          <w:bCs/>
          <w:lang w:val="es-ES"/>
        </w:rPr>
      </w:pPr>
      <w:r w:rsidRPr="00E317BB">
        <w:rPr>
          <w:rFonts w:ascii="Tahoma" w:hAnsi="Tahoma" w:cs="Tahoma"/>
          <w:bCs/>
          <w:lang w:val="es-ES"/>
        </w:rPr>
        <w:t>En ningún caso el resultado de las actuaciones previas podrá constituir prueba dentro del procedimiento.</w:t>
      </w:r>
    </w:p>
    <w:p w:rsidR="00E317BB" w:rsidRPr="00E317BB" w:rsidRDefault="00E317BB" w:rsidP="00E317BB">
      <w:pPr>
        <w:jc w:val="both"/>
        <w:rPr>
          <w:rFonts w:ascii="Tahoma" w:hAnsi="Tahoma" w:cs="Tahoma"/>
          <w:bCs/>
          <w:lang w:val="es-ES"/>
        </w:rPr>
      </w:pPr>
    </w:p>
    <w:p w:rsidR="00E317BB" w:rsidRPr="00E317BB" w:rsidRDefault="00E317BB" w:rsidP="00E317BB">
      <w:pPr>
        <w:jc w:val="both"/>
        <w:rPr>
          <w:rFonts w:ascii="Tahoma" w:hAnsi="Tahoma" w:cs="Tahoma"/>
          <w:bCs/>
          <w:lang w:val="es-ES"/>
        </w:rPr>
      </w:pPr>
      <w:r w:rsidRPr="00E317BB">
        <w:rPr>
          <w:rFonts w:ascii="Tahoma" w:hAnsi="Tahoma" w:cs="Tahoma"/>
          <w:bCs/>
          <w:lang w:val="es-ES"/>
        </w:rPr>
        <w:t>Art. 41-A.- El Superintendente podrá decretar las medidas cautelares a las que se refiere el Art. 13, letra s) de la presente Ley, cuando exista un riesgo inminente para el mercado que pudiera tener como consecuencia la limitación de la competencia, el acceso de un agente económico al mercado de que se trate o el desplazamiento de un agente económico, o que, la conducta detectada pudiera producir daños a terceros o daños a inte</w:t>
      </w:r>
      <w:r>
        <w:rPr>
          <w:rFonts w:ascii="Tahoma" w:hAnsi="Tahoma" w:cs="Tahoma"/>
          <w:bCs/>
          <w:lang w:val="es-ES"/>
        </w:rPr>
        <w:t xml:space="preserve">reses públicos o colectivos. </w:t>
      </w:r>
    </w:p>
    <w:p w:rsidR="00E317BB" w:rsidRPr="00E317BB" w:rsidRDefault="00E317BB" w:rsidP="00E317BB">
      <w:pPr>
        <w:jc w:val="both"/>
        <w:rPr>
          <w:rFonts w:ascii="Tahoma" w:hAnsi="Tahoma" w:cs="Tahoma"/>
          <w:bCs/>
          <w:lang w:val="es-ES"/>
        </w:rPr>
      </w:pPr>
    </w:p>
    <w:p w:rsidR="00E317BB" w:rsidRPr="00E317BB" w:rsidRDefault="00E317BB" w:rsidP="00E317BB">
      <w:pPr>
        <w:jc w:val="both"/>
        <w:rPr>
          <w:rFonts w:ascii="Tahoma" w:hAnsi="Tahoma" w:cs="Tahoma"/>
          <w:bCs/>
          <w:lang w:val="es-ES"/>
        </w:rPr>
      </w:pPr>
      <w:r w:rsidRPr="00E317BB">
        <w:rPr>
          <w:rFonts w:ascii="Tahoma" w:hAnsi="Tahoma" w:cs="Tahoma"/>
          <w:bCs/>
          <w:lang w:val="es-ES"/>
        </w:rPr>
        <w:t>Art. 42.- Cualquier persona, en el caso de las prácticas anticompetitivas a que se refiere la ley, podrá denunciar por escrito ante el Superintendente al presunto responsable indicando en qué consiste dicha práctica.</w:t>
      </w:r>
    </w:p>
    <w:p w:rsidR="00E317BB" w:rsidRPr="00E317BB" w:rsidRDefault="00E317BB" w:rsidP="00E317BB">
      <w:pPr>
        <w:jc w:val="both"/>
        <w:rPr>
          <w:rFonts w:ascii="Tahoma" w:hAnsi="Tahoma" w:cs="Tahoma"/>
          <w:bCs/>
          <w:lang w:val="es-ES"/>
        </w:rPr>
      </w:pPr>
      <w:r w:rsidRPr="00E317BB">
        <w:rPr>
          <w:rFonts w:ascii="Tahoma" w:hAnsi="Tahoma" w:cs="Tahoma"/>
          <w:bCs/>
          <w:lang w:val="es-ES"/>
        </w:rPr>
        <w:lastRenderedPageBreak/>
        <w:t>El denunciante deberá expresar en su denuncia los hechos que configuran las prácticas anticompetitivas.</w:t>
      </w:r>
    </w:p>
    <w:p w:rsidR="00E317BB" w:rsidRPr="00E317BB" w:rsidRDefault="00E317BB" w:rsidP="00E317BB">
      <w:pPr>
        <w:jc w:val="both"/>
        <w:rPr>
          <w:rFonts w:ascii="Tahoma" w:hAnsi="Tahoma" w:cs="Tahoma"/>
          <w:bCs/>
          <w:lang w:val="es-ES"/>
        </w:rPr>
      </w:pPr>
    </w:p>
    <w:p w:rsidR="00E317BB" w:rsidRPr="00E317BB" w:rsidRDefault="00E317BB" w:rsidP="00E317BB">
      <w:pPr>
        <w:jc w:val="both"/>
        <w:rPr>
          <w:rFonts w:ascii="Tahoma" w:hAnsi="Tahoma" w:cs="Tahoma"/>
          <w:bCs/>
          <w:lang w:val="es-ES"/>
        </w:rPr>
      </w:pPr>
      <w:r w:rsidRPr="00E317BB">
        <w:rPr>
          <w:rFonts w:ascii="Tahoma" w:hAnsi="Tahoma" w:cs="Tahoma"/>
          <w:bCs/>
          <w:lang w:val="es-ES"/>
        </w:rPr>
        <w:t>Art. 43.- La instrucción del procedimiento se ordenará mediante resolución motivada, en la que se indique lo siguiente:</w:t>
      </w:r>
    </w:p>
    <w:p w:rsidR="00E317BB" w:rsidRPr="00E317BB" w:rsidRDefault="00E317BB" w:rsidP="00E317BB">
      <w:pPr>
        <w:jc w:val="both"/>
        <w:rPr>
          <w:rFonts w:ascii="Tahoma" w:hAnsi="Tahoma" w:cs="Tahoma"/>
          <w:bCs/>
          <w:lang w:val="es-ES"/>
        </w:rPr>
      </w:pPr>
      <w:r>
        <w:rPr>
          <w:rFonts w:ascii="Tahoma" w:hAnsi="Tahoma" w:cs="Tahoma"/>
          <w:bCs/>
          <w:lang w:val="es-ES"/>
        </w:rPr>
        <w:t xml:space="preserve">a) </w:t>
      </w:r>
      <w:r w:rsidRPr="00E317BB">
        <w:rPr>
          <w:rFonts w:ascii="Tahoma" w:hAnsi="Tahoma" w:cs="Tahoma"/>
          <w:bCs/>
          <w:lang w:val="es-ES"/>
        </w:rPr>
        <w:t>El funcionario que ordena la instrucción con expresión de lugar y fecha de resolución;</w:t>
      </w:r>
    </w:p>
    <w:p w:rsidR="00E317BB" w:rsidRPr="00E317BB" w:rsidRDefault="00E317BB" w:rsidP="00E317BB">
      <w:pPr>
        <w:jc w:val="both"/>
        <w:rPr>
          <w:rFonts w:ascii="Tahoma" w:hAnsi="Tahoma" w:cs="Tahoma"/>
          <w:bCs/>
          <w:lang w:val="es-ES"/>
        </w:rPr>
      </w:pPr>
      <w:r>
        <w:rPr>
          <w:rFonts w:ascii="Tahoma" w:hAnsi="Tahoma" w:cs="Tahoma"/>
          <w:bCs/>
          <w:lang w:val="es-ES"/>
        </w:rPr>
        <w:t xml:space="preserve">b) </w:t>
      </w:r>
      <w:r w:rsidRPr="00E317BB">
        <w:rPr>
          <w:rFonts w:ascii="Tahoma" w:hAnsi="Tahoma" w:cs="Tahoma"/>
          <w:bCs/>
          <w:lang w:val="es-ES"/>
        </w:rPr>
        <w:t>Nombramiento del instructor del procedimiento que actuará por delegación y del secretario de actuaciones que tendrá asimismo las atribuciones de notificador;</w:t>
      </w:r>
    </w:p>
    <w:p w:rsidR="00E317BB" w:rsidRPr="00E317BB" w:rsidRDefault="00E317BB" w:rsidP="00E317BB">
      <w:pPr>
        <w:jc w:val="both"/>
        <w:rPr>
          <w:rFonts w:ascii="Tahoma" w:hAnsi="Tahoma" w:cs="Tahoma"/>
          <w:bCs/>
          <w:lang w:val="es-ES"/>
        </w:rPr>
      </w:pPr>
      <w:r>
        <w:rPr>
          <w:rFonts w:ascii="Tahoma" w:hAnsi="Tahoma" w:cs="Tahoma"/>
          <w:bCs/>
          <w:lang w:val="es-ES"/>
        </w:rPr>
        <w:t xml:space="preserve">c) </w:t>
      </w:r>
      <w:r w:rsidRPr="00E317BB">
        <w:rPr>
          <w:rFonts w:ascii="Tahoma" w:hAnsi="Tahoma" w:cs="Tahoma"/>
          <w:bCs/>
          <w:lang w:val="es-ES"/>
        </w:rPr>
        <w:t xml:space="preserve">Exposición </w:t>
      </w:r>
      <w:proofErr w:type="spellStart"/>
      <w:r w:rsidRPr="00E317BB">
        <w:rPr>
          <w:rFonts w:ascii="Tahoma" w:hAnsi="Tahoma" w:cs="Tahoma"/>
          <w:bCs/>
          <w:lang w:val="es-ES"/>
        </w:rPr>
        <w:t>suscinta</w:t>
      </w:r>
      <w:proofErr w:type="spellEnd"/>
      <w:r w:rsidRPr="00E317BB">
        <w:rPr>
          <w:rFonts w:ascii="Tahoma" w:hAnsi="Tahoma" w:cs="Tahoma"/>
          <w:bCs/>
          <w:lang w:val="es-ES"/>
        </w:rPr>
        <w:t xml:space="preserve"> de los hechos que justifiquen la investigación, la clase de infracción que se constituye y la sanción a que pudiere dar lugar; y</w:t>
      </w:r>
    </w:p>
    <w:p w:rsidR="00E317BB" w:rsidRPr="00E317BB" w:rsidRDefault="00E317BB" w:rsidP="00E317BB">
      <w:pPr>
        <w:jc w:val="both"/>
        <w:rPr>
          <w:rFonts w:ascii="Tahoma" w:hAnsi="Tahoma" w:cs="Tahoma"/>
          <w:bCs/>
          <w:lang w:val="es-ES"/>
        </w:rPr>
      </w:pPr>
      <w:r>
        <w:rPr>
          <w:rFonts w:ascii="Tahoma" w:hAnsi="Tahoma" w:cs="Tahoma"/>
          <w:bCs/>
          <w:lang w:val="es-ES"/>
        </w:rPr>
        <w:t xml:space="preserve">d) </w:t>
      </w:r>
      <w:r w:rsidRPr="00E317BB">
        <w:rPr>
          <w:rFonts w:ascii="Tahoma" w:hAnsi="Tahoma" w:cs="Tahoma"/>
          <w:bCs/>
          <w:lang w:val="es-ES"/>
        </w:rPr>
        <w:t>Indicación del derecho de vista de las actuaciones, de alegar e invocar las leyes y demás motivaciones jurídicas que justifiquen lo actuado por el presunto infractor, a aportar pruebas de descargo, a hacer uso de la audiencia y de las demás garantías que conforman el debido proceso legal.</w:t>
      </w:r>
    </w:p>
    <w:p w:rsidR="00E317BB" w:rsidRPr="00E317BB" w:rsidRDefault="00E317BB" w:rsidP="00E317BB">
      <w:pPr>
        <w:jc w:val="both"/>
        <w:rPr>
          <w:rFonts w:ascii="Tahoma" w:hAnsi="Tahoma" w:cs="Tahoma"/>
          <w:bCs/>
          <w:lang w:val="es-ES"/>
        </w:rPr>
      </w:pPr>
    </w:p>
    <w:p w:rsidR="00E317BB" w:rsidRPr="00E317BB" w:rsidRDefault="00E317BB" w:rsidP="00E317BB">
      <w:pPr>
        <w:jc w:val="both"/>
        <w:rPr>
          <w:rFonts w:ascii="Tahoma" w:hAnsi="Tahoma" w:cs="Tahoma"/>
          <w:bCs/>
          <w:lang w:val="es-ES"/>
        </w:rPr>
      </w:pPr>
      <w:r w:rsidRPr="00E317BB">
        <w:rPr>
          <w:rFonts w:ascii="Tahoma" w:hAnsi="Tahoma" w:cs="Tahoma"/>
          <w:bCs/>
          <w:lang w:val="es-ES"/>
        </w:rPr>
        <w:t>Art. 44.- El Superintendente, en el ejercicio de sus atribuciones, podrá requerir los informes o documentación relevante para realizar sus investigaciones, así como citar a declarar a quienes tengan relación con los casos de que se trata.</w:t>
      </w:r>
    </w:p>
    <w:p w:rsidR="00E317BB" w:rsidRPr="00E317BB" w:rsidRDefault="00E317BB" w:rsidP="00E317BB">
      <w:pPr>
        <w:jc w:val="both"/>
        <w:rPr>
          <w:rFonts w:ascii="Tahoma" w:hAnsi="Tahoma" w:cs="Tahoma"/>
          <w:bCs/>
          <w:lang w:val="es-ES"/>
        </w:rPr>
      </w:pPr>
      <w:r w:rsidRPr="00E317BB">
        <w:rPr>
          <w:rFonts w:ascii="Tahoma" w:hAnsi="Tahoma" w:cs="Tahoma"/>
          <w:bCs/>
          <w:lang w:val="es-ES"/>
        </w:rPr>
        <w:t>El Superintendente podrá realizar las investigaciones necesarias para la debida aplicación de esta Ley. En el curso de las inspecciones podrá examinar, ordenar compulsas o realizar extractos de los libros, documentos, incluso de carácter contable, y si procediere a retenerlos por un plazo máximo de diez días. En sus inspecciones podrá ir acompañado de peritos en las materias en que versen las investigaciones.</w:t>
      </w:r>
    </w:p>
    <w:p w:rsidR="00E317BB" w:rsidRPr="00E317BB" w:rsidRDefault="00E317BB" w:rsidP="00E317BB">
      <w:pPr>
        <w:jc w:val="both"/>
        <w:rPr>
          <w:rFonts w:ascii="Tahoma" w:hAnsi="Tahoma" w:cs="Tahoma"/>
          <w:bCs/>
          <w:lang w:val="es-ES"/>
        </w:rPr>
      </w:pPr>
      <w:r w:rsidRPr="00E317BB">
        <w:rPr>
          <w:rFonts w:ascii="Tahoma" w:hAnsi="Tahoma" w:cs="Tahoma"/>
          <w:bCs/>
          <w:lang w:val="es-ES"/>
        </w:rPr>
        <w:t>Cuando se trate de registros o allanamientos, en la solicitud que se haga al Juez, el Superintendente deberá incorporar, entre otro</w:t>
      </w:r>
      <w:r>
        <w:rPr>
          <w:rFonts w:ascii="Tahoma" w:hAnsi="Tahoma" w:cs="Tahoma"/>
          <w:bCs/>
          <w:lang w:val="es-ES"/>
        </w:rPr>
        <w:t xml:space="preserve">s, los siguientes elementos: </w:t>
      </w:r>
    </w:p>
    <w:p w:rsidR="00E317BB" w:rsidRPr="00E317BB" w:rsidRDefault="00E317BB" w:rsidP="00E317BB">
      <w:pPr>
        <w:jc w:val="both"/>
        <w:rPr>
          <w:rFonts w:ascii="Tahoma" w:hAnsi="Tahoma" w:cs="Tahoma"/>
          <w:bCs/>
          <w:lang w:val="es-ES"/>
        </w:rPr>
      </w:pPr>
      <w:r>
        <w:rPr>
          <w:rFonts w:ascii="Tahoma" w:hAnsi="Tahoma" w:cs="Tahoma"/>
          <w:bCs/>
          <w:lang w:val="es-ES"/>
        </w:rPr>
        <w:t xml:space="preserve">a) </w:t>
      </w:r>
      <w:r w:rsidRPr="00E317BB">
        <w:rPr>
          <w:rFonts w:ascii="Tahoma" w:hAnsi="Tahoma" w:cs="Tahoma"/>
          <w:bCs/>
          <w:lang w:val="es-ES"/>
        </w:rPr>
        <w:t>El objeto del procedimiento en el que se desarrollar</w:t>
      </w:r>
      <w:r>
        <w:rPr>
          <w:rFonts w:ascii="Tahoma" w:hAnsi="Tahoma" w:cs="Tahoma"/>
          <w:bCs/>
          <w:lang w:val="es-ES"/>
        </w:rPr>
        <w:t xml:space="preserve">ía la diligencia solicitada; </w:t>
      </w:r>
    </w:p>
    <w:p w:rsidR="00E317BB" w:rsidRPr="00E317BB" w:rsidRDefault="00E317BB" w:rsidP="00E317BB">
      <w:pPr>
        <w:jc w:val="both"/>
        <w:rPr>
          <w:rFonts w:ascii="Tahoma" w:hAnsi="Tahoma" w:cs="Tahoma"/>
          <w:bCs/>
          <w:lang w:val="es-ES"/>
        </w:rPr>
      </w:pPr>
      <w:r>
        <w:rPr>
          <w:rFonts w:ascii="Tahoma" w:hAnsi="Tahoma" w:cs="Tahoma"/>
          <w:bCs/>
          <w:lang w:val="es-ES"/>
        </w:rPr>
        <w:t xml:space="preserve">b) </w:t>
      </w:r>
      <w:r w:rsidRPr="00E317BB">
        <w:rPr>
          <w:rFonts w:ascii="Tahoma" w:hAnsi="Tahoma" w:cs="Tahoma"/>
          <w:bCs/>
          <w:lang w:val="es-ES"/>
        </w:rPr>
        <w:t>La indicación de las personas que participarán en e</w:t>
      </w:r>
      <w:r>
        <w:rPr>
          <w:rFonts w:ascii="Tahoma" w:hAnsi="Tahoma" w:cs="Tahoma"/>
          <w:bCs/>
          <w:lang w:val="es-ES"/>
        </w:rPr>
        <w:t xml:space="preserve">l registro o allanamiento; </w:t>
      </w:r>
    </w:p>
    <w:p w:rsidR="00E317BB" w:rsidRPr="00E317BB" w:rsidRDefault="00E317BB" w:rsidP="00E317BB">
      <w:pPr>
        <w:jc w:val="both"/>
        <w:rPr>
          <w:rFonts w:ascii="Tahoma" w:hAnsi="Tahoma" w:cs="Tahoma"/>
          <w:bCs/>
          <w:lang w:val="es-ES"/>
        </w:rPr>
      </w:pPr>
      <w:r>
        <w:rPr>
          <w:rFonts w:ascii="Tahoma" w:hAnsi="Tahoma" w:cs="Tahoma"/>
          <w:bCs/>
          <w:lang w:val="es-ES"/>
        </w:rPr>
        <w:t xml:space="preserve">c) </w:t>
      </w:r>
      <w:r w:rsidRPr="00E317BB">
        <w:rPr>
          <w:rFonts w:ascii="Tahoma" w:hAnsi="Tahoma" w:cs="Tahoma"/>
          <w:bCs/>
          <w:lang w:val="es-ES"/>
        </w:rPr>
        <w:t>La dirección del inmueble o inmuebles en donde</w:t>
      </w:r>
      <w:r>
        <w:rPr>
          <w:rFonts w:ascii="Tahoma" w:hAnsi="Tahoma" w:cs="Tahoma"/>
          <w:bCs/>
          <w:lang w:val="es-ES"/>
        </w:rPr>
        <w:t xml:space="preserve"> se realizará la diligencia; </w:t>
      </w:r>
    </w:p>
    <w:p w:rsidR="00E317BB" w:rsidRPr="00E317BB" w:rsidRDefault="00E317BB" w:rsidP="00E317BB">
      <w:pPr>
        <w:jc w:val="both"/>
        <w:rPr>
          <w:rFonts w:ascii="Tahoma" w:hAnsi="Tahoma" w:cs="Tahoma"/>
          <w:bCs/>
          <w:lang w:val="es-ES"/>
        </w:rPr>
      </w:pPr>
      <w:r>
        <w:rPr>
          <w:rFonts w:ascii="Tahoma" w:hAnsi="Tahoma" w:cs="Tahoma"/>
          <w:bCs/>
          <w:lang w:val="es-ES"/>
        </w:rPr>
        <w:t xml:space="preserve">d) </w:t>
      </w:r>
      <w:r w:rsidRPr="00E317BB">
        <w:rPr>
          <w:rFonts w:ascii="Tahoma" w:hAnsi="Tahoma" w:cs="Tahoma"/>
          <w:bCs/>
          <w:lang w:val="es-ES"/>
        </w:rPr>
        <w:t>La fecha y hora en las</w:t>
      </w:r>
      <w:r>
        <w:rPr>
          <w:rFonts w:ascii="Tahoma" w:hAnsi="Tahoma" w:cs="Tahoma"/>
          <w:bCs/>
          <w:lang w:val="es-ES"/>
        </w:rPr>
        <w:t xml:space="preserve"> que se realizaría la misma; </w:t>
      </w:r>
    </w:p>
    <w:p w:rsidR="00E317BB" w:rsidRPr="00E317BB" w:rsidRDefault="00E317BB" w:rsidP="00E317BB">
      <w:pPr>
        <w:jc w:val="both"/>
        <w:rPr>
          <w:rFonts w:ascii="Tahoma" w:hAnsi="Tahoma" w:cs="Tahoma"/>
          <w:bCs/>
          <w:lang w:val="es-ES"/>
        </w:rPr>
      </w:pPr>
      <w:r>
        <w:rPr>
          <w:rFonts w:ascii="Tahoma" w:hAnsi="Tahoma" w:cs="Tahoma"/>
          <w:bCs/>
          <w:lang w:val="es-ES"/>
        </w:rPr>
        <w:t xml:space="preserve">e) </w:t>
      </w:r>
      <w:r w:rsidRPr="00E317BB">
        <w:rPr>
          <w:rFonts w:ascii="Tahoma" w:hAnsi="Tahoma" w:cs="Tahoma"/>
          <w:bCs/>
          <w:lang w:val="es-ES"/>
        </w:rPr>
        <w:t>Los elementos probatorios que pretenden recabars</w:t>
      </w:r>
      <w:r>
        <w:rPr>
          <w:rFonts w:ascii="Tahoma" w:hAnsi="Tahoma" w:cs="Tahoma"/>
          <w:bCs/>
          <w:lang w:val="es-ES"/>
        </w:rPr>
        <w:t xml:space="preserve">e a través de la diligencia; </w:t>
      </w:r>
    </w:p>
    <w:p w:rsidR="00E317BB" w:rsidRPr="00E317BB" w:rsidRDefault="00E317BB" w:rsidP="00E317BB">
      <w:pPr>
        <w:jc w:val="both"/>
        <w:rPr>
          <w:rFonts w:ascii="Tahoma" w:hAnsi="Tahoma" w:cs="Tahoma"/>
          <w:bCs/>
          <w:lang w:val="es-ES"/>
        </w:rPr>
      </w:pPr>
      <w:r w:rsidRPr="00E317BB">
        <w:rPr>
          <w:rFonts w:ascii="Tahoma" w:hAnsi="Tahoma" w:cs="Tahoma"/>
          <w:bCs/>
          <w:lang w:val="es-ES"/>
        </w:rPr>
        <w:t>f</w:t>
      </w:r>
      <w:r>
        <w:rPr>
          <w:rFonts w:ascii="Tahoma" w:hAnsi="Tahoma" w:cs="Tahoma"/>
          <w:bCs/>
          <w:lang w:val="es-ES"/>
        </w:rPr>
        <w:t xml:space="preserve">) </w:t>
      </w:r>
      <w:r w:rsidRPr="00E317BB">
        <w:rPr>
          <w:rFonts w:ascii="Tahoma" w:hAnsi="Tahoma" w:cs="Tahoma"/>
          <w:bCs/>
          <w:lang w:val="es-ES"/>
        </w:rPr>
        <w:t>La relación de los elementos probatorios que pretenden recabarse con</w:t>
      </w:r>
      <w:r>
        <w:rPr>
          <w:rFonts w:ascii="Tahoma" w:hAnsi="Tahoma" w:cs="Tahoma"/>
          <w:bCs/>
          <w:lang w:val="es-ES"/>
        </w:rPr>
        <w:t xml:space="preserve"> el objeto del procedimiento; </w:t>
      </w:r>
    </w:p>
    <w:p w:rsidR="00E317BB" w:rsidRPr="00E317BB" w:rsidRDefault="00E317BB" w:rsidP="00E317BB">
      <w:pPr>
        <w:jc w:val="both"/>
        <w:rPr>
          <w:rFonts w:ascii="Tahoma" w:hAnsi="Tahoma" w:cs="Tahoma"/>
          <w:bCs/>
          <w:lang w:val="es-ES"/>
        </w:rPr>
      </w:pPr>
      <w:r>
        <w:rPr>
          <w:rFonts w:ascii="Tahoma" w:hAnsi="Tahoma" w:cs="Tahoma"/>
          <w:bCs/>
          <w:lang w:val="es-ES"/>
        </w:rPr>
        <w:lastRenderedPageBreak/>
        <w:t xml:space="preserve">g) </w:t>
      </w:r>
      <w:r w:rsidRPr="00E317BB">
        <w:rPr>
          <w:rFonts w:ascii="Tahoma" w:hAnsi="Tahoma" w:cs="Tahoma"/>
          <w:bCs/>
          <w:lang w:val="es-ES"/>
        </w:rPr>
        <w:t>Las razones que justifiquen que el registro o allanamiento es el medio idóneo y necesario para recaba</w:t>
      </w:r>
      <w:r>
        <w:rPr>
          <w:rFonts w:ascii="Tahoma" w:hAnsi="Tahoma" w:cs="Tahoma"/>
          <w:bCs/>
          <w:lang w:val="es-ES"/>
        </w:rPr>
        <w:t xml:space="preserve">r los elementos probatorios. </w:t>
      </w:r>
    </w:p>
    <w:p w:rsidR="00E317BB" w:rsidRPr="00E317BB" w:rsidRDefault="00E317BB" w:rsidP="00E317BB">
      <w:pPr>
        <w:jc w:val="both"/>
        <w:rPr>
          <w:rFonts w:ascii="Tahoma" w:hAnsi="Tahoma" w:cs="Tahoma"/>
          <w:bCs/>
          <w:lang w:val="es-ES"/>
        </w:rPr>
      </w:pPr>
      <w:r w:rsidRPr="00E317BB">
        <w:rPr>
          <w:rFonts w:ascii="Tahoma" w:hAnsi="Tahoma" w:cs="Tahoma"/>
          <w:bCs/>
          <w:lang w:val="es-ES"/>
        </w:rPr>
        <w:t>El Juez deberá resolver lo solicitado y notificar al Superintendente la orden de registro o allanamiento concedida en un plazo de veinticuatro horas contadas a partir de la p</w:t>
      </w:r>
      <w:r>
        <w:rPr>
          <w:rFonts w:ascii="Tahoma" w:hAnsi="Tahoma" w:cs="Tahoma"/>
          <w:bCs/>
          <w:lang w:val="es-ES"/>
        </w:rPr>
        <w:t xml:space="preserve">resentación de la solicitud. </w:t>
      </w:r>
    </w:p>
    <w:p w:rsidR="00E317BB" w:rsidRPr="00E317BB" w:rsidRDefault="00E317BB" w:rsidP="00E317BB">
      <w:pPr>
        <w:jc w:val="both"/>
        <w:rPr>
          <w:rFonts w:ascii="Tahoma" w:hAnsi="Tahoma" w:cs="Tahoma"/>
          <w:bCs/>
          <w:lang w:val="es-ES"/>
        </w:rPr>
      </w:pPr>
      <w:r w:rsidRPr="00E317BB">
        <w:rPr>
          <w:rFonts w:ascii="Tahoma" w:hAnsi="Tahoma" w:cs="Tahoma"/>
          <w:bCs/>
          <w:lang w:val="es-ES"/>
        </w:rPr>
        <w:t>La ejecución del registro o allanamiento será realizada por el Superintendente y/o las personas autorizadas para ese efecto, quienes podrán auxiliarse de la fuerza pública. La diligencia debe</w:t>
      </w:r>
      <w:r>
        <w:rPr>
          <w:rFonts w:ascii="Tahoma" w:hAnsi="Tahoma" w:cs="Tahoma"/>
          <w:bCs/>
          <w:lang w:val="es-ES"/>
        </w:rPr>
        <w:t xml:space="preserve">rá iniciar en horas hábiles. </w:t>
      </w:r>
    </w:p>
    <w:p w:rsidR="00E317BB" w:rsidRPr="00E317BB" w:rsidRDefault="00E317BB" w:rsidP="00E317BB">
      <w:pPr>
        <w:jc w:val="both"/>
        <w:rPr>
          <w:rFonts w:ascii="Tahoma" w:hAnsi="Tahoma" w:cs="Tahoma"/>
          <w:bCs/>
          <w:lang w:val="es-ES"/>
        </w:rPr>
      </w:pPr>
    </w:p>
    <w:p w:rsidR="00E317BB" w:rsidRPr="00E317BB" w:rsidRDefault="00E317BB" w:rsidP="00E317BB">
      <w:pPr>
        <w:jc w:val="both"/>
        <w:rPr>
          <w:rFonts w:ascii="Tahoma" w:hAnsi="Tahoma" w:cs="Tahoma"/>
          <w:bCs/>
          <w:lang w:val="es-ES"/>
        </w:rPr>
      </w:pPr>
      <w:r w:rsidRPr="00E317BB">
        <w:rPr>
          <w:rFonts w:ascii="Tahoma" w:hAnsi="Tahoma" w:cs="Tahoma"/>
          <w:bCs/>
          <w:lang w:val="es-ES"/>
        </w:rPr>
        <w:t>Art. 45.- La resolución que ordene la investigación se notificará al presunto infractor, observando las formalidades que establece el Art. 220 inciso tercero del Código de Procedimientos Civiles. En el acto de la notificación se le entregará al presunto infractor copia del acta que al efecto se levante y de las actuaciones previas, si las hubiere. En el caso de denuncia, también se le entregará así mismo copia de la denuncia.</w:t>
      </w:r>
    </w:p>
    <w:p w:rsidR="00E317BB" w:rsidRPr="00E317BB" w:rsidRDefault="00E317BB" w:rsidP="00E317BB">
      <w:pPr>
        <w:jc w:val="both"/>
        <w:rPr>
          <w:rFonts w:ascii="Tahoma" w:hAnsi="Tahoma" w:cs="Tahoma"/>
          <w:bCs/>
          <w:lang w:val="es-ES"/>
        </w:rPr>
      </w:pPr>
      <w:r w:rsidRPr="00E317BB">
        <w:rPr>
          <w:rFonts w:ascii="Tahoma" w:hAnsi="Tahoma" w:cs="Tahoma"/>
          <w:bCs/>
          <w:lang w:val="es-ES"/>
        </w:rPr>
        <w:t>El presunto infractor dispondrá de un plazo de treinta días, a contar de la notificación a que se refiere el inciso anterior para aportar las alegaciones, documentos e informaciones que estimen convenientes y propondrá los medios probatorios de los que pretenda hacer valer y señalará los hechos que pretenden probar.</w:t>
      </w:r>
    </w:p>
    <w:p w:rsidR="00E317BB" w:rsidRPr="00E317BB" w:rsidRDefault="00E317BB" w:rsidP="00E317BB">
      <w:pPr>
        <w:jc w:val="both"/>
        <w:rPr>
          <w:rFonts w:ascii="Tahoma" w:hAnsi="Tahoma" w:cs="Tahoma"/>
          <w:bCs/>
          <w:lang w:val="es-ES"/>
        </w:rPr>
      </w:pPr>
      <w:proofErr w:type="spellStart"/>
      <w:r w:rsidRPr="00E317BB">
        <w:rPr>
          <w:rFonts w:ascii="Tahoma" w:hAnsi="Tahoma" w:cs="Tahoma"/>
          <w:bCs/>
          <w:lang w:val="es-ES"/>
        </w:rPr>
        <w:t>Precluido</w:t>
      </w:r>
      <w:proofErr w:type="spellEnd"/>
      <w:r w:rsidRPr="00E317BB">
        <w:rPr>
          <w:rFonts w:ascii="Tahoma" w:hAnsi="Tahoma" w:cs="Tahoma"/>
          <w:bCs/>
          <w:lang w:val="es-ES"/>
        </w:rPr>
        <w:t xml:space="preserve"> el período de alegaciones se abrirá a pruebas el procedimiento por el plazo de veinte días hábiles.</w:t>
      </w:r>
    </w:p>
    <w:p w:rsidR="00E317BB" w:rsidRPr="00E317BB" w:rsidRDefault="00E317BB" w:rsidP="00E317BB">
      <w:pPr>
        <w:jc w:val="both"/>
        <w:rPr>
          <w:rFonts w:ascii="Tahoma" w:hAnsi="Tahoma" w:cs="Tahoma"/>
          <w:bCs/>
          <w:lang w:val="es-ES"/>
        </w:rPr>
      </w:pPr>
      <w:r w:rsidRPr="00E317BB">
        <w:rPr>
          <w:rFonts w:ascii="Tahoma" w:hAnsi="Tahoma" w:cs="Tahoma"/>
          <w:bCs/>
          <w:lang w:val="es-ES"/>
        </w:rPr>
        <w:t>La prueba se evaluará conforme las reglas de la sana crítica.</w:t>
      </w:r>
    </w:p>
    <w:p w:rsidR="00E317BB" w:rsidRPr="00E317BB" w:rsidRDefault="00E317BB" w:rsidP="00E317BB">
      <w:pPr>
        <w:jc w:val="both"/>
        <w:rPr>
          <w:rFonts w:ascii="Tahoma" w:hAnsi="Tahoma" w:cs="Tahoma"/>
          <w:bCs/>
          <w:lang w:val="es-ES"/>
        </w:rPr>
      </w:pPr>
      <w:r w:rsidRPr="00E317BB">
        <w:rPr>
          <w:rFonts w:ascii="Tahoma" w:hAnsi="Tahoma" w:cs="Tahoma"/>
          <w:bCs/>
          <w:lang w:val="es-ES"/>
        </w:rPr>
        <w:t>Una vez integrado el expediente, el Superintendente deberá concluir sus investigaciones y remitir el mismo al Consejo Directivo, el cual deberá emitir resolución dentro de un plazo no mayor de doce meses contados a partir de iniciada la investigación o hecha la denuncia; este plazo podrá ser ampliado por resolución motivada del Consejo, hasta por un plazo no mayor a doce meses y por una sola vez, cuando las circunstancias lo ameriten.</w:t>
      </w:r>
    </w:p>
    <w:p w:rsidR="00E317BB" w:rsidRPr="00E317BB" w:rsidRDefault="00E317BB" w:rsidP="00E317BB">
      <w:pPr>
        <w:jc w:val="both"/>
        <w:rPr>
          <w:rFonts w:ascii="Tahoma" w:hAnsi="Tahoma" w:cs="Tahoma"/>
          <w:bCs/>
          <w:lang w:val="es-ES"/>
        </w:rPr>
      </w:pPr>
    </w:p>
    <w:p w:rsidR="00E317BB" w:rsidRPr="00E317BB" w:rsidRDefault="00E317BB" w:rsidP="00E317BB">
      <w:pPr>
        <w:jc w:val="both"/>
        <w:rPr>
          <w:rFonts w:ascii="Tahoma" w:hAnsi="Tahoma" w:cs="Tahoma"/>
          <w:bCs/>
          <w:lang w:val="es-ES"/>
        </w:rPr>
      </w:pPr>
      <w:r w:rsidRPr="00E317BB">
        <w:rPr>
          <w:rFonts w:ascii="Tahoma" w:hAnsi="Tahoma" w:cs="Tahoma"/>
          <w:bCs/>
          <w:lang w:val="es-ES"/>
        </w:rPr>
        <w:t>Art. 46.- Todas las resoluciones que emita la Superintendencia en que se afecten derechos, se establezcan sanciones o que dicten sobreseimientos o suspensiones de investigación, deberán emitirse en forma razonada.</w:t>
      </w:r>
    </w:p>
    <w:p w:rsidR="00E317BB" w:rsidRDefault="00E317BB" w:rsidP="00E317BB">
      <w:pPr>
        <w:jc w:val="both"/>
        <w:rPr>
          <w:rFonts w:ascii="Tahoma" w:hAnsi="Tahoma" w:cs="Tahoma"/>
          <w:bCs/>
          <w:lang w:val="es-ES"/>
        </w:rPr>
      </w:pPr>
    </w:p>
    <w:p w:rsidR="00E317BB" w:rsidRDefault="00E317BB" w:rsidP="00E317BB">
      <w:pPr>
        <w:jc w:val="both"/>
        <w:rPr>
          <w:rFonts w:ascii="Tahoma" w:hAnsi="Tahoma" w:cs="Tahoma"/>
          <w:bCs/>
          <w:lang w:val="es-ES"/>
        </w:rPr>
      </w:pPr>
    </w:p>
    <w:p w:rsidR="00E317BB" w:rsidRPr="00E317BB" w:rsidRDefault="00E317BB" w:rsidP="00E317BB">
      <w:pPr>
        <w:jc w:val="both"/>
        <w:rPr>
          <w:rFonts w:ascii="Tahoma" w:hAnsi="Tahoma" w:cs="Tahoma"/>
          <w:bCs/>
          <w:lang w:val="es-ES"/>
        </w:rPr>
      </w:pPr>
      <w:r w:rsidRPr="00E317BB">
        <w:rPr>
          <w:rFonts w:ascii="Tahoma" w:hAnsi="Tahoma" w:cs="Tahoma"/>
          <w:bCs/>
          <w:lang w:val="es-ES"/>
        </w:rPr>
        <w:lastRenderedPageBreak/>
        <w:t>Así mismo, cuando la Superintendencia estime la ocurrencia de una nueva modalidad de prácticas prohibidas que atenten contra la competencia, distintas de las enunciadas en el Título III de las Prácticas Anticompetitivas de esta Ley, deberá motivar suficientemente la respectiva resolución y de manera especial deberá consignar en la misma, según sea el caso, el grado de incidencia o gravedad de la infracción, el daño causado, el efecto sobre terceros, la duración de la práctica anticompetitiva, las dimensiones del mercado o la reincidencia.</w:t>
      </w:r>
    </w:p>
    <w:p w:rsidR="00E317BB" w:rsidRPr="00E317BB" w:rsidRDefault="00E317BB" w:rsidP="00E317BB">
      <w:pPr>
        <w:jc w:val="both"/>
        <w:rPr>
          <w:rFonts w:ascii="Tahoma" w:hAnsi="Tahoma" w:cs="Tahoma"/>
          <w:bCs/>
          <w:lang w:val="es-ES"/>
        </w:rPr>
      </w:pPr>
    </w:p>
    <w:p w:rsidR="00E317BB" w:rsidRPr="00E317BB" w:rsidRDefault="00E317BB" w:rsidP="00E317BB">
      <w:pPr>
        <w:jc w:val="both"/>
        <w:rPr>
          <w:rFonts w:ascii="Tahoma" w:hAnsi="Tahoma" w:cs="Tahoma"/>
          <w:bCs/>
          <w:lang w:val="es-ES"/>
        </w:rPr>
      </w:pPr>
      <w:r w:rsidRPr="00E317BB">
        <w:rPr>
          <w:rFonts w:ascii="Tahoma" w:hAnsi="Tahoma" w:cs="Tahoma"/>
          <w:bCs/>
          <w:lang w:val="es-ES"/>
        </w:rPr>
        <w:t>Art. 47.- El Superintendente podrá declarar sin lugar aquellas denuncias notoriamente improcedentes, cuando las situaciones que se invoquen no constituyan violaciones a la presente ley.</w:t>
      </w:r>
    </w:p>
    <w:p w:rsidR="00E317BB" w:rsidRPr="00E317BB" w:rsidRDefault="00E317BB" w:rsidP="00E317BB">
      <w:pPr>
        <w:jc w:val="both"/>
        <w:rPr>
          <w:rFonts w:ascii="Tahoma" w:hAnsi="Tahoma" w:cs="Tahoma"/>
          <w:bCs/>
          <w:lang w:val="es-ES"/>
        </w:rPr>
      </w:pPr>
    </w:p>
    <w:p w:rsidR="00E317BB" w:rsidRPr="00E317BB" w:rsidRDefault="00E317BB" w:rsidP="00E317BB">
      <w:pPr>
        <w:jc w:val="both"/>
        <w:rPr>
          <w:rFonts w:ascii="Tahoma" w:hAnsi="Tahoma" w:cs="Tahoma"/>
          <w:bCs/>
          <w:lang w:val="es-ES"/>
        </w:rPr>
      </w:pPr>
      <w:r w:rsidRPr="00E317BB">
        <w:rPr>
          <w:rFonts w:ascii="Tahoma" w:hAnsi="Tahoma" w:cs="Tahoma"/>
          <w:bCs/>
          <w:lang w:val="es-ES"/>
        </w:rPr>
        <w:t>Art. 48.- El acto que resuelve definitivamente el procedimiento admitirá recurso de revisión, interpuesto en tiempo y forma, y en el mismo recurso podrán alegarse todas las ilegalidades de trámite.</w:t>
      </w:r>
    </w:p>
    <w:p w:rsidR="00E317BB" w:rsidRPr="00E317BB" w:rsidRDefault="00E317BB" w:rsidP="00E317BB">
      <w:pPr>
        <w:jc w:val="both"/>
        <w:rPr>
          <w:rFonts w:ascii="Tahoma" w:hAnsi="Tahoma" w:cs="Tahoma"/>
          <w:bCs/>
          <w:lang w:val="es-ES"/>
        </w:rPr>
      </w:pPr>
      <w:r w:rsidRPr="00E317BB">
        <w:rPr>
          <w:rFonts w:ascii="Tahoma" w:hAnsi="Tahoma" w:cs="Tahoma"/>
          <w:bCs/>
          <w:lang w:val="es-ES"/>
        </w:rPr>
        <w:t>Dicho recurso deberá interponerse por escrito ante el Consejo Directivo de la Superintendencia dentro del término de cinco días hábiles, contados a partir del día siguiente al de la notificación. Si transcurrido dicho plazo no se interpusiere recurso alguno, la resolución por medio del cual se dictó el acto quedará firme.</w:t>
      </w:r>
    </w:p>
    <w:p w:rsidR="00E317BB" w:rsidRPr="00E317BB" w:rsidRDefault="00E317BB" w:rsidP="00E317BB">
      <w:pPr>
        <w:jc w:val="both"/>
        <w:rPr>
          <w:rFonts w:ascii="Tahoma" w:hAnsi="Tahoma" w:cs="Tahoma"/>
          <w:bCs/>
          <w:lang w:val="es-ES"/>
        </w:rPr>
      </w:pPr>
      <w:r w:rsidRPr="00E317BB">
        <w:rPr>
          <w:rFonts w:ascii="Tahoma" w:hAnsi="Tahoma" w:cs="Tahoma"/>
          <w:bCs/>
          <w:lang w:val="es-ES"/>
        </w:rPr>
        <w:t>El recurso será resuelto en el plazo máximo de diez días hábiles posteriores a la admisión del mismo.</w:t>
      </w:r>
    </w:p>
    <w:p w:rsidR="00E317BB" w:rsidRPr="00E317BB" w:rsidRDefault="00E317BB" w:rsidP="00E317BB">
      <w:pPr>
        <w:jc w:val="both"/>
        <w:rPr>
          <w:rFonts w:ascii="Tahoma" w:hAnsi="Tahoma" w:cs="Tahoma"/>
          <w:bCs/>
          <w:lang w:val="es-ES"/>
        </w:rPr>
      </w:pPr>
      <w:r w:rsidRPr="00E317BB">
        <w:rPr>
          <w:rFonts w:ascii="Tahoma" w:hAnsi="Tahoma" w:cs="Tahoma"/>
          <w:bCs/>
          <w:lang w:val="es-ES"/>
        </w:rPr>
        <w:t>El recurso de revisión tendrá carácter optativo para efectos de la acción contencioso administrativa.</w:t>
      </w:r>
    </w:p>
    <w:p w:rsidR="00E317BB" w:rsidRPr="00E317BB" w:rsidRDefault="00E317BB" w:rsidP="00E317BB">
      <w:pPr>
        <w:jc w:val="both"/>
        <w:rPr>
          <w:rFonts w:ascii="Tahoma" w:hAnsi="Tahoma" w:cs="Tahoma"/>
          <w:bCs/>
          <w:lang w:val="es-ES"/>
        </w:rPr>
      </w:pPr>
      <w:r w:rsidRPr="00E317BB">
        <w:rPr>
          <w:rFonts w:ascii="Tahoma" w:hAnsi="Tahoma" w:cs="Tahoma"/>
          <w:bCs/>
          <w:lang w:val="es-ES"/>
        </w:rPr>
        <w:t xml:space="preserve">En el escrito de interposición del recurso, el recurrente deberá señalar dentro del radio </w:t>
      </w:r>
      <w:proofErr w:type="gramStart"/>
      <w:r w:rsidRPr="00E317BB">
        <w:rPr>
          <w:rFonts w:ascii="Tahoma" w:hAnsi="Tahoma" w:cs="Tahoma"/>
          <w:bCs/>
          <w:lang w:val="es-ES"/>
        </w:rPr>
        <w:t>urbano</w:t>
      </w:r>
      <w:proofErr w:type="gramEnd"/>
      <w:r w:rsidRPr="00E317BB">
        <w:rPr>
          <w:rFonts w:ascii="Tahoma" w:hAnsi="Tahoma" w:cs="Tahoma"/>
          <w:bCs/>
          <w:lang w:val="es-ES"/>
        </w:rPr>
        <w:t xml:space="preserve"> de San Salvador, lugar para recibir notificaciones y demás diligencias.</w:t>
      </w:r>
    </w:p>
    <w:p w:rsidR="00E317BB" w:rsidRPr="00E317BB" w:rsidRDefault="00E317BB" w:rsidP="00E317BB">
      <w:pPr>
        <w:jc w:val="both"/>
        <w:rPr>
          <w:rFonts w:ascii="Tahoma" w:hAnsi="Tahoma" w:cs="Tahoma"/>
          <w:bCs/>
          <w:lang w:val="es-ES"/>
        </w:rPr>
      </w:pPr>
      <w:bookmarkStart w:id="0" w:name="_GoBack"/>
      <w:bookmarkEnd w:id="0"/>
      <w:r w:rsidRPr="00E317BB">
        <w:rPr>
          <w:rFonts w:ascii="Tahoma" w:hAnsi="Tahoma" w:cs="Tahoma"/>
          <w:bCs/>
          <w:lang w:val="es-ES"/>
        </w:rPr>
        <w:t>Art. 49.- Si el recurso no fuere presentado en tiempo y forma, será declarado inadmisible mediante resolución razonada, contra la que no habrá recurso.</w:t>
      </w:r>
    </w:p>
    <w:p w:rsidR="00E317BB" w:rsidRPr="00E317BB" w:rsidRDefault="00E317BB" w:rsidP="00E317BB">
      <w:pPr>
        <w:jc w:val="both"/>
        <w:rPr>
          <w:rFonts w:ascii="Tahoma" w:hAnsi="Tahoma" w:cs="Tahoma"/>
          <w:b/>
          <w:bCs/>
          <w:lang w:val="es-ES"/>
        </w:rPr>
      </w:pPr>
    </w:p>
    <w:p w:rsidR="00E317BB" w:rsidRPr="00E317BB" w:rsidRDefault="00E317BB" w:rsidP="00E317BB">
      <w:pPr>
        <w:jc w:val="both"/>
        <w:rPr>
          <w:rFonts w:ascii="Tahoma" w:hAnsi="Tahoma" w:cs="Tahoma"/>
          <w:bCs/>
          <w:lang w:val="es-ES"/>
        </w:rPr>
      </w:pPr>
    </w:p>
    <w:p w:rsidR="00E317BB" w:rsidRPr="00E317BB" w:rsidRDefault="00E317BB" w:rsidP="00E317BB">
      <w:pPr>
        <w:jc w:val="center"/>
        <w:rPr>
          <w:rFonts w:ascii="Tahoma" w:hAnsi="Tahoma" w:cs="Tahoma"/>
          <w:b/>
          <w:bCs/>
          <w:lang w:val="es-ES"/>
        </w:rPr>
      </w:pPr>
    </w:p>
    <w:p w:rsidR="00E317BB" w:rsidRPr="00E317BB" w:rsidRDefault="00E317BB" w:rsidP="00E317BB">
      <w:pPr>
        <w:jc w:val="both"/>
        <w:rPr>
          <w:rFonts w:ascii="Tahoma" w:hAnsi="Tahoma" w:cs="Tahoma"/>
          <w:b/>
          <w:bCs/>
          <w:lang w:val="es-ES"/>
        </w:rPr>
      </w:pPr>
    </w:p>
    <w:p w:rsidR="00E317BB" w:rsidRPr="00E317BB" w:rsidRDefault="00E317BB" w:rsidP="00E317BB">
      <w:pPr>
        <w:jc w:val="both"/>
        <w:rPr>
          <w:rFonts w:ascii="Tahoma" w:hAnsi="Tahoma" w:cs="Tahoma"/>
          <w:lang w:val="es-ES"/>
        </w:rPr>
      </w:pPr>
    </w:p>
    <w:p w:rsidR="00E317BB" w:rsidRPr="00E317BB" w:rsidRDefault="00E317BB" w:rsidP="00E317BB">
      <w:pPr>
        <w:jc w:val="both"/>
        <w:rPr>
          <w:rFonts w:ascii="Tahoma" w:hAnsi="Tahoma" w:cs="Tahoma"/>
          <w:lang w:val="es-ES"/>
        </w:rPr>
      </w:pPr>
    </w:p>
    <w:p w:rsidR="00AE17E1" w:rsidRPr="00E317BB" w:rsidRDefault="00AE17E1" w:rsidP="00AE17E1">
      <w:pPr>
        <w:jc w:val="both"/>
        <w:rPr>
          <w:rFonts w:ascii="Tahoma" w:hAnsi="Tahoma" w:cs="Tahoma"/>
          <w:lang w:val="es-ES"/>
        </w:rPr>
      </w:pPr>
    </w:p>
    <w:p w:rsidR="00AE17E1" w:rsidRPr="00E317BB" w:rsidRDefault="00AE17E1" w:rsidP="00AE17E1">
      <w:pPr>
        <w:jc w:val="both"/>
        <w:rPr>
          <w:rFonts w:ascii="Tahoma" w:hAnsi="Tahoma" w:cs="Tahoma"/>
          <w:lang w:val="es-ES"/>
        </w:rPr>
      </w:pPr>
    </w:p>
    <w:p w:rsidR="00AE17E1" w:rsidRPr="00E317BB" w:rsidRDefault="00AE17E1" w:rsidP="00AE17E1">
      <w:pPr>
        <w:jc w:val="both"/>
        <w:rPr>
          <w:rFonts w:ascii="Tahoma" w:hAnsi="Tahoma" w:cs="Tahoma"/>
          <w:lang w:val="es-ES"/>
        </w:rPr>
      </w:pPr>
    </w:p>
    <w:p w:rsidR="00AE17E1" w:rsidRPr="00E317BB" w:rsidRDefault="00AE17E1" w:rsidP="00AE17E1">
      <w:pPr>
        <w:jc w:val="both"/>
        <w:rPr>
          <w:rFonts w:ascii="Tahoma" w:eastAsia="Times New Roman" w:hAnsi="Tahoma" w:cs="Tahoma"/>
          <w:bCs/>
          <w:lang w:val="es-ES" w:eastAsia="es-SV"/>
        </w:rPr>
      </w:pPr>
    </w:p>
    <w:p w:rsidR="00A26950" w:rsidRPr="00E317BB" w:rsidRDefault="00A26950" w:rsidP="00AE17E1">
      <w:pPr>
        <w:rPr>
          <w:rFonts w:ascii="Arial" w:eastAsia="Times New Roman" w:hAnsi="Arial" w:cs="Arial"/>
          <w:bCs/>
          <w:sz w:val="18"/>
          <w:szCs w:val="18"/>
          <w:lang w:val="es-ES" w:eastAsia="es-SV"/>
        </w:rPr>
      </w:pPr>
    </w:p>
    <w:p w:rsidR="00A26950" w:rsidRPr="00E317BB" w:rsidRDefault="00A26950" w:rsidP="00A92E8C">
      <w:pPr>
        <w:pStyle w:val="NormalWeb"/>
        <w:shd w:val="clear" w:color="auto" w:fill="FFFFFF"/>
        <w:spacing w:after="0" w:line="360" w:lineRule="auto"/>
        <w:jc w:val="both"/>
        <w:rPr>
          <w:rFonts w:ascii="Tahoma" w:hAnsi="Tahoma" w:cs="Tahoma"/>
          <w:sz w:val="22"/>
          <w:szCs w:val="22"/>
          <w:lang w:val="es-ES"/>
        </w:rPr>
      </w:pPr>
    </w:p>
    <w:p w:rsidR="00A92E8C" w:rsidRPr="00E317BB" w:rsidRDefault="00A92E8C" w:rsidP="00A92E8C">
      <w:pPr>
        <w:pStyle w:val="NormalWeb"/>
        <w:shd w:val="clear" w:color="auto" w:fill="FFFFFF"/>
        <w:spacing w:after="0" w:line="360" w:lineRule="auto"/>
        <w:jc w:val="both"/>
        <w:rPr>
          <w:rFonts w:ascii="Tahoma" w:hAnsi="Tahoma" w:cs="Tahoma"/>
          <w:sz w:val="22"/>
          <w:szCs w:val="22"/>
          <w:lang w:val="es-ES"/>
        </w:rPr>
      </w:pPr>
    </w:p>
    <w:p w:rsidR="00075E9E" w:rsidRPr="00E317BB" w:rsidRDefault="00075E9E" w:rsidP="00A92E8C">
      <w:pPr>
        <w:pStyle w:val="NormalWeb"/>
        <w:shd w:val="clear" w:color="auto" w:fill="FFFFFF"/>
        <w:spacing w:after="0" w:line="360" w:lineRule="auto"/>
        <w:jc w:val="both"/>
        <w:rPr>
          <w:rFonts w:ascii="Tahoma" w:hAnsi="Tahoma" w:cs="Tahoma"/>
          <w:sz w:val="22"/>
          <w:szCs w:val="22"/>
        </w:rPr>
      </w:pPr>
    </w:p>
    <w:p w:rsidR="00075E9E" w:rsidRPr="00E317BB" w:rsidRDefault="00075E9E" w:rsidP="00075E9E">
      <w:pPr>
        <w:pStyle w:val="NormalWeb"/>
        <w:shd w:val="clear" w:color="auto" w:fill="FFFFFF"/>
        <w:spacing w:after="0" w:line="360" w:lineRule="auto"/>
        <w:jc w:val="both"/>
        <w:rPr>
          <w:rFonts w:ascii="Tahoma" w:hAnsi="Tahoma" w:cs="Tahoma"/>
          <w:sz w:val="22"/>
          <w:szCs w:val="22"/>
        </w:rPr>
      </w:pPr>
    </w:p>
    <w:p w:rsidR="008B28D5" w:rsidRPr="00E317BB" w:rsidRDefault="008B28D5" w:rsidP="00075E9E">
      <w:pPr>
        <w:spacing w:line="360" w:lineRule="auto"/>
        <w:jc w:val="both"/>
        <w:rPr>
          <w:rFonts w:ascii="Tahoma" w:hAnsi="Tahoma" w:cs="Tahoma"/>
        </w:rPr>
      </w:pPr>
    </w:p>
    <w:sectPr w:rsidR="008B28D5" w:rsidRPr="00E317B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911"/>
    <w:rsid w:val="00075E9E"/>
    <w:rsid w:val="00482F2C"/>
    <w:rsid w:val="005757D3"/>
    <w:rsid w:val="007C5474"/>
    <w:rsid w:val="008B28D5"/>
    <w:rsid w:val="008E5A78"/>
    <w:rsid w:val="009B5687"/>
    <w:rsid w:val="00A26950"/>
    <w:rsid w:val="00A92E8C"/>
    <w:rsid w:val="00AE17E1"/>
    <w:rsid w:val="00DB51D0"/>
    <w:rsid w:val="00E317BB"/>
    <w:rsid w:val="00F3091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30911"/>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Sinespaciado">
    <w:name w:val="No Spacing"/>
    <w:uiPriority w:val="1"/>
    <w:qFormat/>
    <w:rsid w:val="00AE17E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30911"/>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Sinespaciado">
    <w:name w:val="No Spacing"/>
    <w:uiPriority w:val="1"/>
    <w:qFormat/>
    <w:rsid w:val="00AE17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77147">
      <w:bodyDiv w:val="1"/>
      <w:marLeft w:val="0"/>
      <w:marRight w:val="0"/>
      <w:marTop w:val="0"/>
      <w:marBottom w:val="0"/>
      <w:divBdr>
        <w:top w:val="none" w:sz="0" w:space="0" w:color="auto"/>
        <w:left w:val="none" w:sz="0" w:space="0" w:color="auto"/>
        <w:bottom w:val="none" w:sz="0" w:space="0" w:color="auto"/>
        <w:right w:val="none" w:sz="0" w:space="0" w:color="auto"/>
      </w:divBdr>
    </w:div>
    <w:div w:id="301278803">
      <w:bodyDiv w:val="1"/>
      <w:marLeft w:val="0"/>
      <w:marRight w:val="0"/>
      <w:marTop w:val="0"/>
      <w:marBottom w:val="0"/>
      <w:divBdr>
        <w:top w:val="none" w:sz="0" w:space="0" w:color="auto"/>
        <w:left w:val="none" w:sz="0" w:space="0" w:color="auto"/>
        <w:bottom w:val="none" w:sz="0" w:space="0" w:color="auto"/>
        <w:right w:val="none" w:sz="0" w:space="0" w:color="auto"/>
      </w:divBdr>
    </w:div>
    <w:div w:id="434516001">
      <w:bodyDiv w:val="1"/>
      <w:marLeft w:val="0"/>
      <w:marRight w:val="0"/>
      <w:marTop w:val="0"/>
      <w:marBottom w:val="0"/>
      <w:divBdr>
        <w:top w:val="none" w:sz="0" w:space="0" w:color="auto"/>
        <w:left w:val="none" w:sz="0" w:space="0" w:color="auto"/>
        <w:bottom w:val="none" w:sz="0" w:space="0" w:color="auto"/>
        <w:right w:val="none" w:sz="0" w:space="0" w:color="auto"/>
      </w:divBdr>
    </w:div>
    <w:div w:id="475418700">
      <w:bodyDiv w:val="1"/>
      <w:marLeft w:val="0"/>
      <w:marRight w:val="0"/>
      <w:marTop w:val="0"/>
      <w:marBottom w:val="0"/>
      <w:divBdr>
        <w:top w:val="none" w:sz="0" w:space="0" w:color="auto"/>
        <w:left w:val="none" w:sz="0" w:space="0" w:color="auto"/>
        <w:bottom w:val="none" w:sz="0" w:space="0" w:color="auto"/>
        <w:right w:val="none" w:sz="0" w:space="0" w:color="auto"/>
      </w:divBdr>
    </w:div>
    <w:div w:id="587008961">
      <w:bodyDiv w:val="1"/>
      <w:marLeft w:val="0"/>
      <w:marRight w:val="0"/>
      <w:marTop w:val="0"/>
      <w:marBottom w:val="0"/>
      <w:divBdr>
        <w:top w:val="none" w:sz="0" w:space="0" w:color="auto"/>
        <w:left w:val="none" w:sz="0" w:space="0" w:color="auto"/>
        <w:bottom w:val="none" w:sz="0" w:space="0" w:color="auto"/>
        <w:right w:val="none" w:sz="0" w:space="0" w:color="auto"/>
      </w:divBdr>
    </w:div>
    <w:div w:id="728188808">
      <w:bodyDiv w:val="1"/>
      <w:marLeft w:val="0"/>
      <w:marRight w:val="0"/>
      <w:marTop w:val="0"/>
      <w:marBottom w:val="0"/>
      <w:divBdr>
        <w:top w:val="none" w:sz="0" w:space="0" w:color="auto"/>
        <w:left w:val="none" w:sz="0" w:space="0" w:color="auto"/>
        <w:bottom w:val="none" w:sz="0" w:space="0" w:color="auto"/>
        <w:right w:val="none" w:sz="0" w:space="0" w:color="auto"/>
      </w:divBdr>
    </w:div>
    <w:div w:id="812913703">
      <w:bodyDiv w:val="1"/>
      <w:marLeft w:val="0"/>
      <w:marRight w:val="0"/>
      <w:marTop w:val="0"/>
      <w:marBottom w:val="0"/>
      <w:divBdr>
        <w:top w:val="none" w:sz="0" w:space="0" w:color="auto"/>
        <w:left w:val="none" w:sz="0" w:space="0" w:color="auto"/>
        <w:bottom w:val="none" w:sz="0" w:space="0" w:color="auto"/>
        <w:right w:val="none" w:sz="0" w:space="0" w:color="auto"/>
      </w:divBdr>
    </w:div>
    <w:div w:id="814034141">
      <w:bodyDiv w:val="1"/>
      <w:marLeft w:val="0"/>
      <w:marRight w:val="0"/>
      <w:marTop w:val="0"/>
      <w:marBottom w:val="0"/>
      <w:divBdr>
        <w:top w:val="none" w:sz="0" w:space="0" w:color="auto"/>
        <w:left w:val="none" w:sz="0" w:space="0" w:color="auto"/>
        <w:bottom w:val="none" w:sz="0" w:space="0" w:color="auto"/>
        <w:right w:val="none" w:sz="0" w:space="0" w:color="auto"/>
      </w:divBdr>
    </w:div>
    <w:div w:id="995766059">
      <w:bodyDiv w:val="1"/>
      <w:marLeft w:val="0"/>
      <w:marRight w:val="0"/>
      <w:marTop w:val="0"/>
      <w:marBottom w:val="0"/>
      <w:divBdr>
        <w:top w:val="none" w:sz="0" w:space="0" w:color="auto"/>
        <w:left w:val="none" w:sz="0" w:space="0" w:color="auto"/>
        <w:bottom w:val="none" w:sz="0" w:space="0" w:color="auto"/>
        <w:right w:val="none" w:sz="0" w:space="0" w:color="auto"/>
      </w:divBdr>
    </w:div>
    <w:div w:id="1264997566">
      <w:bodyDiv w:val="1"/>
      <w:marLeft w:val="0"/>
      <w:marRight w:val="0"/>
      <w:marTop w:val="0"/>
      <w:marBottom w:val="0"/>
      <w:divBdr>
        <w:top w:val="none" w:sz="0" w:space="0" w:color="auto"/>
        <w:left w:val="none" w:sz="0" w:space="0" w:color="auto"/>
        <w:bottom w:val="none" w:sz="0" w:space="0" w:color="auto"/>
        <w:right w:val="none" w:sz="0" w:space="0" w:color="auto"/>
      </w:divBdr>
    </w:div>
    <w:div w:id="1574897068">
      <w:bodyDiv w:val="1"/>
      <w:marLeft w:val="0"/>
      <w:marRight w:val="0"/>
      <w:marTop w:val="0"/>
      <w:marBottom w:val="0"/>
      <w:divBdr>
        <w:top w:val="none" w:sz="0" w:space="0" w:color="auto"/>
        <w:left w:val="none" w:sz="0" w:space="0" w:color="auto"/>
        <w:bottom w:val="none" w:sz="0" w:space="0" w:color="auto"/>
        <w:right w:val="none" w:sz="0" w:space="0" w:color="auto"/>
      </w:divBdr>
    </w:div>
    <w:div w:id="1683126614">
      <w:bodyDiv w:val="1"/>
      <w:marLeft w:val="0"/>
      <w:marRight w:val="0"/>
      <w:marTop w:val="0"/>
      <w:marBottom w:val="0"/>
      <w:divBdr>
        <w:top w:val="none" w:sz="0" w:space="0" w:color="auto"/>
        <w:left w:val="none" w:sz="0" w:space="0" w:color="auto"/>
        <w:bottom w:val="none" w:sz="0" w:space="0" w:color="auto"/>
        <w:right w:val="none" w:sz="0" w:space="0" w:color="auto"/>
      </w:divBdr>
    </w:div>
    <w:div w:id="183240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3193</Words>
  <Characters>17562</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MONTERROSA</dc:creator>
  <cp:lastModifiedBy>MONTERROSA</cp:lastModifiedBy>
  <cp:revision>10</cp:revision>
  <dcterms:created xsi:type="dcterms:W3CDTF">2013-02-07T20:55:00Z</dcterms:created>
  <dcterms:modified xsi:type="dcterms:W3CDTF">2013-03-05T05:19:00Z</dcterms:modified>
</cp:coreProperties>
</file>