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CD" w:rsidRPr="00C82046" w:rsidRDefault="009673CD" w:rsidP="00C82046">
      <w:pPr>
        <w:autoSpaceDE w:val="0"/>
        <w:autoSpaceDN w:val="0"/>
        <w:adjustRightInd w:val="0"/>
        <w:spacing w:line="360" w:lineRule="auto"/>
        <w:ind w:firstLine="567"/>
        <w:jc w:val="both"/>
        <w:rPr>
          <w:b/>
          <w:sz w:val="28"/>
          <w:szCs w:val="28"/>
          <w:u w:val="single"/>
        </w:rPr>
      </w:pPr>
      <w:r w:rsidRPr="00C82046">
        <w:rPr>
          <w:b/>
          <w:sz w:val="28"/>
          <w:szCs w:val="28"/>
          <w:u w:val="single"/>
        </w:rPr>
        <w:t>CLASIFICACION DE LOS ACTOS ADMINISTRATIVOS:</w:t>
      </w:r>
    </w:p>
    <w:p w:rsidR="009673CD" w:rsidRPr="00C82046" w:rsidRDefault="009673CD" w:rsidP="00C82046">
      <w:pPr>
        <w:numPr>
          <w:ilvl w:val="0"/>
          <w:numId w:val="1"/>
        </w:numPr>
        <w:autoSpaceDE w:val="0"/>
        <w:autoSpaceDN w:val="0"/>
        <w:adjustRightInd w:val="0"/>
        <w:spacing w:line="360" w:lineRule="auto"/>
        <w:ind w:left="0" w:firstLine="567"/>
        <w:jc w:val="both"/>
        <w:rPr>
          <w:b/>
          <w:sz w:val="28"/>
          <w:szCs w:val="28"/>
        </w:rPr>
      </w:pPr>
      <w:r w:rsidRPr="00C82046">
        <w:rPr>
          <w:b/>
          <w:sz w:val="28"/>
          <w:szCs w:val="28"/>
        </w:rPr>
        <w:t xml:space="preserve">En función de su contenido: </w:t>
      </w:r>
    </w:p>
    <w:p w:rsidR="009673CD" w:rsidRPr="00C82046" w:rsidRDefault="009673CD" w:rsidP="00C82046">
      <w:pPr>
        <w:numPr>
          <w:ilvl w:val="0"/>
          <w:numId w:val="3"/>
        </w:numPr>
        <w:autoSpaceDE w:val="0"/>
        <w:autoSpaceDN w:val="0"/>
        <w:adjustRightInd w:val="0"/>
        <w:spacing w:line="360" w:lineRule="auto"/>
        <w:ind w:left="0" w:firstLine="567"/>
        <w:jc w:val="both"/>
        <w:rPr>
          <w:b/>
          <w:sz w:val="28"/>
          <w:szCs w:val="28"/>
        </w:rPr>
      </w:pPr>
      <w:r w:rsidRPr="00C82046">
        <w:rPr>
          <w:b/>
          <w:sz w:val="28"/>
          <w:szCs w:val="28"/>
        </w:rPr>
        <w:t xml:space="preserve">Actos favorables  </w:t>
      </w:r>
      <w:proofErr w:type="spellStart"/>
      <w:r w:rsidRPr="00C82046">
        <w:rPr>
          <w:b/>
          <w:sz w:val="28"/>
          <w:szCs w:val="28"/>
        </w:rPr>
        <w:t>Ej</w:t>
      </w:r>
      <w:proofErr w:type="spellEnd"/>
      <w:r w:rsidRPr="00C82046">
        <w:rPr>
          <w:b/>
          <w:sz w:val="28"/>
          <w:szCs w:val="28"/>
        </w:rPr>
        <w:t>:</w:t>
      </w:r>
    </w:p>
    <w:p w:rsidR="009673CD" w:rsidRPr="00C82046" w:rsidRDefault="009673CD" w:rsidP="00C82046">
      <w:pPr>
        <w:numPr>
          <w:ilvl w:val="0"/>
          <w:numId w:val="4"/>
        </w:numPr>
        <w:autoSpaceDE w:val="0"/>
        <w:autoSpaceDN w:val="0"/>
        <w:adjustRightInd w:val="0"/>
        <w:spacing w:line="360" w:lineRule="auto"/>
        <w:ind w:left="0" w:firstLine="567"/>
        <w:jc w:val="both"/>
        <w:rPr>
          <w:b/>
          <w:sz w:val="28"/>
          <w:szCs w:val="28"/>
        </w:rPr>
      </w:pPr>
      <w:r w:rsidRPr="00C82046">
        <w:rPr>
          <w:b/>
          <w:sz w:val="28"/>
          <w:szCs w:val="28"/>
        </w:rPr>
        <w:t xml:space="preserve">Admisión, </w:t>
      </w:r>
    </w:p>
    <w:p w:rsidR="009673CD" w:rsidRPr="00C82046" w:rsidRDefault="009673CD" w:rsidP="00C82046">
      <w:pPr>
        <w:numPr>
          <w:ilvl w:val="0"/>
          <w:numId w:val="4"/>
        </w:numPr>
        <w:autoSpaceDE w:val="0"/>
        <w:autoSpaceDN w:val="0"/>
        <w:adjustRightInd w:val="0"/>
        <w:spacing w:line="360" w:lineRule="auto"/>
        <w:ind w:left="0" w:firstLine="567"/>
        <w:jc w:val="both"/>
        <w:rPr>
          <w:b/>
          <w:sz w:val="28"/>
          <w:szCs w:val="28"/>
        </w:rPr>
      </w:pPr>
      <w:r w:rsidRPr="00C82046">
        <w:rPr>
          <w:b/>
          <w:sz w:val="28"/>
          <w:szCs w:val="28"/>
        </w:rPr>
        <w:t>Autorización</w:t>
      </w:r>
    </w:p>
    <w:p w:rsidR="00C82046" w:rsidRPr="00C82046" w:rsidRDefault="009673CD" w:rsidP="00C82046">
      <w:pPr>
        <w:numPr>
          <w:ilvl w:val="0"/>
          <w:numId w:val="4"/>
        </w:numPr>
        <w:autoSpaceDE w:val="0"/>
        <w:autoSpaceDN w:val="0"/>
        <w:adjustRightInd w:val="0"/>
        <w:spacing w:line="360" w:lineRule="auto"/>
        <w:ind w:left="0" w:firstLine="567"/>
        <w:jc w:val="both"/>
        <w:rPr>
          <w:sz w:val="28"/>
          <w:szCs w:val="28"/>
        </w:rPr>
      </w:pPr>
      <w:r w:rsidRPr="00C82046">
        <w:rPr>
          <w:b/>
          <w:sz w:val="28"/>
          <w:szCs w:val="28"/>
        </w:rPr>
        <w:t>Concesión u otorgamiento</w:t>
      </w:r>
    </w:p>
    <w:p w:rsidR="009673CD" w:rsidRPr="00C82046" w:rsidRDefault="009673CD" w:rsidP="00C82046">
      <w:pPr>
        <w:numPr>
          <w:ilvl w:val="0"/>
          <w:numId w:val="4"/>
        </w:numPr>
        <w:autoSpaceDE w:val="0"/>
        <w:autoSpaceDN w:val="0"/>
        <w:adjustRightInd w:val="0"/>
        <w:spacing w:line="360" w:lineRule="auto"/>
        <w:ind w:left="0" w:firstLine="567"/>
        <w:jc w:val="both"/>
        <w:rPr>
          <w:sz w:val="28"/>
          <w:szCs w:val="28"/>
        </w:rPr>
      </w:pPr>
      <w:r w:rsidRPr="00C82046">
        <w:rPr>
          <w:b/>
          <w:sz w:val="28"/>
          <w:szCs w:val="28"/>
        </w:rPr>
        <w:t xml:space="preserve">Exención o dispensa: </w:t>
      </w:r>
      <w:r w:rsidRPr="00C82046">
        <w:rPr>
          <w:sz w:val="28"/>
          <w:szCs w:val="28"/>
        </w:rPr>
        <w:t xml:space="preserve">liberan al particular de una obligación normalmente exigible. </w:t>
      </w:r>
    </w:p>
    <w:p w:rsidR="009673CD" w:rsidRPr="00C82046" w:rsidRDefault="009673CD" w:rsidP="00C82046">
      <w:pPr>
        <w:numPr>
          <w:ilvl w:val="0"/>
          <w:numId w:val="3"/>
        </w:numPr>
        <w:autoSpaceDE w:val="0"/>
        <w:autoSpaceDN w:val="0"/>
        <w:adjustRightInd w:val="0"/>
        <w:spacing w:line="360" w:lineRule="auto"/>
        <w:ind w:left="0" w:firstLine="567"/>
        <w:jc w:val="both"/>
        <w:rPr>
          <w:b/>
          <w:sz w:val="28"/>
          <w:szCs w:val="28"/>
        </w:rPr>
      </w:pPr>
      <w:r w:rsidRPr="00C82046">
        <w:rPr>
          <w:b/>
          <w:sz w:val="28"/>
          <w:szCs w:val="28"/>
        </w:rPr>
        <w:t>Actos de gravamen o desfavorables</w:t>
      </w:r>
    </w:p>
    <w:p w:rsidR="009673CD" w:rsidRPr="00C82046" w:rsidRDefault="009673CD" w:rsidP="00C82046">
      <w:pPr>
        <w:pStyle w:val="Prrafodelista"/>
        <w:spacing w:line="480" w:lineRule="exact"/>
        <w:ind w:left="0" w:firstLine="567"/>
        <w:jc w:val="both"/>
        <w:rPr>
          <w:sz w:val="28"/>
          <w:szCs w:val="28"/>
        </w:rPr>
      </w:pPr>
      <w:r w:rsidRPr="00C82046">
        <w:rPr>
          <w:sz w:val="28"/>
          <w:szCs w:val="28"/>
          <w:u w:val="single"/>
        </w:rPr>
        <w:tab/>
        <w:t>Favorables- desfavorables</w:t>
      </w:r>
    </w:p>
    <w:p w:rsidR="009673CD" w:rsidRPr="00C82046" w:rsidRDefault="009673CD" w:rsidP="00C82046">
      <w:pPr>
        <w:pStyle w:val="Prrafodelista"/>
        <w:spacing w:line="480" w:lineRule="exact"/>
        <w:ind w:left="0" w:firstLine="567"/>
        <w:jc w:val="both"/>
        <w:rPr>
          <w:sz w:val="28"/>
          <w:szCs w:val="28"/>
        </w:rPr>
      </w:pPr>
      <w:r w:rsidRPr="00C82046">
        <w:rPr>
          <w:sz w:val="28"/>
          <w:szCs w:val="28"/>
        </w:rPr>
        <w:t>La diferencia radica en la forma en que afectan al sujeto destinatario: resultado ventajoso o perjudicial.</w:t>
      </w:r>
    </w:p>
    <w:p w:rsidR="009673CD" w:rsidRPr="00C82046" w:rsidRDefault="009673CD" w:rsidP="00C82046">
      <w:pPr>
        <w:pStyle w:val="Prrafodelista"/>
        <w:numPr>
          <w:ilvl w:val="0"/>
          <w:numId w:val="2"/>
        </w:numPr>
        <w:spacing w:line="480" w:lineRule="exact"/>
        <w:ind w:left="0" w:firstLine="567"/>
        <w:jc w:val="both"/>
        <w:rPr>
          <w:sz w:val="28"/>
          <w:szCs w:val="28"/>
        </w:rPr>
      </w:pPr>
      <w:r w:rsidRPr="00C82046">
        <w:rPr>
          <w:sz w:val="28"/>
          <w:szCs w:val="28"/>
        </w:rPr>
        <w:tab/>
        <w:t xml:space="preserve">Favorables: Suponen el reconocimiento de un derecho subjetivo, o de otro modo producen un beneficio directo para los intereses del ciudadano, le dan una facultad, un plus de acción, le liberan de una obligación, de un deber, produciéndole entonces un resultado ventajoso. Autorización de construcción, gano una licitación, eximir un impuesto. </w:t>
      </w:r>
    </w:p>
    <w:p w:rsidR="009673CD" w:rsidRPr="00C82046" w:rsidRDefault="009673CD" w:rsidP="00C82046">
      <w:pPr>
        <w:pStyle w:val="Prrafodelista"/>
        <w:numPr>
          <w:ilvl w:val="0"/>
          <w:numId w:val="2"/>
        </w:numPr>
        <w:spacing w:line="480" w:lineRule="exact"/>
        <w:ind w:left="0" w:firstLine="567"/>
        <w:jc w:val="both"/>
        <w:rPr>
          <w:sz w:val="28"/>
          <w:szCs w:val="28"/>
        </w:rPr>
      </w:pPr>
      <w:r w:rsidRPr="00C82046">
        <w:rPr>
          <w:sz w:val="28"/>
          <w:szCs w:val="28"/>
        </w:rPr>
        <w:tab/>
        <w:t>Desfavorables: restringen el patrimonio jurídico imponiendo una obligación o una carga nueva, también extinguen o restringen un derecho anterior. Multa, reducción de  pensión.</w:t>
      </w:r>
    </w:p>
    <w:p w:rsidR="009673CD" w:rsidRPr="00C82046" w:rsidRDefault="009673CD" w:rsidP="00C82046">
      <w:pPr>
        <w:autoSpaceDE w:val="0"/>
        <w:autoSpaceDN w:val="0"/>
        <w:adjustRightInd w:val="0"/>
        <w:spacing w:line="360" w:lineRule="auto"/>
        <w:ind w:firstLine="567"/>
        <w:jc w:val="both"/>
        <w:rPr>
          <w:b/>
          <w:iCs/>
          <w:sz w:val="28"/>
          <w:szCs w:val="28"/>
        </w:rPr>
      </w:pPr>
    </w:p>
    <w:p w:rsidR="009673CD" w:rsidRPr="00C82046" w:rsidRDefault="009673CD" w:rsidP="00C82046">
      <w:pPr>
        <w:pStyle w:val="NormalWeb"/>
        <w:numPr>
          <w:ilvl w:val="0"/>
          <w:numId w:val="1"/>
        </w:numPr>
        <w:spacing w:before="0" w:beforeAutospacing="0" w:after="0" w:afterAutospacing="0" w:line="360" w:lineRule="auto"/>
        <w:ind w:left="0" w:firstLine="567"/>
        <w:jc w:val="both"/>
        <w:rPr>
          <w:b/>
          <w:sz w:val="28"/>
          <w:szCs w:val="28"/>
        </w:rPr>
      </w:pPr>
      <w:r w:rsidRPr="00C82046">
        <w:rPr>
          <w:b/>
          <w:sz w:val="28"/>
          <w:szCs w:val="28"/>
        </w:rPr>
        <w:t>En relación a los efectos que produce el acto administrativo se clasifica en:</w:t>
      </w:r>
    </w:p>
    <w:p w:rsidR="00C82046" w:rsidRDefault="009673CD" w:rsidP="00C82046">
      <w:pPr>
        <w:pStyle w:val="NormalWeb"/>
        <w:numPr>
          <w:ilvl w:val="0"/>
          <w:numId w:val="15"/>
        </w:numPr>
        <w:spacing w:before="0" w:beforeAutospacing="0" w:after="0" w:afterAutospacing="0" w:line="360" w:lineRule="auto"/>
        <w:ind w:firstLine="567"/>
        <w:jc w:val="both"/>
        <w:rPr>
          <w:sz w:val="28"/>
          <w:szCs w:val="28"/>
        </w:rPr>
      </w:pPr>
      <w:r w:rsidRPr="00C82046">
        <w:rPr>
          <w:b/>
          <w:sz w:val="28"/>
          <w:szCs w:val="28"/>
        </w:rPr>
        <w:t xml:space="preserve">Actos constitutivos: </w:t>
      </w:r>
      <w:r w:rsidRPr="00C82046">
        <w:rPr>
          <w:sz w:val="28"/>
          <w:szCs w:val="28"/>
        </w:rPr>
        <w:t>son los que crean, modifican o extinguen una relación o situación jurídica.  (Ejemplo: la jubilación del funcionario, por la que se extingue la relación jurídica funcionarial que tuvo con la Administración)</w:t>
      </w:r>
    </w:p>
    <w:p w:rsidR="009673CD" w:rsidRPr="00C82046" w:rsidRDefault="009673CD" w:rsidP="00C82046">
      <w:pPr>
        <w:pStyle w:val="NormalWeb"/>
        <w:numPr>
          <w:ilvl w:val="0"/>
          <w:numId w:val="15"/>
        </w:numPr>
        <w:spacing w:before="0" w:beforeAutospacing="0" w:after="0" w:afterAutospacing="0" w:line="360" w:lineRule="auto"/>
        <w:ind w:firstLine="567"/>
        <w:jc w:val="both"/>
        <w:rPr>
          <w:sz w:val="28"/>
          <w:szCs w:val="28"/>
        </w:rPr>
      </w:pPr>
      <w:r w:rsidRPr="00C82046">
        <w:rPr>
          <w:b/>
          <w:sz w:val="28"/>
          <w:szCs w:val="28"/>
        </w:rPr>
        <w:lastRenderedPageBreak/>
        <w:t>Actos declarativos</w:t>
      </w:r>
      <w:r w:rsidRPr="00C82046">
        <w:rPr>
          <w:sz w:val="28"/>
          <w:szCs w:val="28"/>
        </w:rPr>
        <w:t xml:space="preserve"> son los que se limitan a constatar o acreditar una situación jurídica, sin alterarla ni incidir en ella (ejemplo: la expedición de un certificado de nacimiento, constancia de tiempo de servicio).</w:t>
      </w:r>
    </w:p>
    <w:p w:rsidR="009673CD" w:rsidRPr="00C82046" w:rsidRDefault="009673CD" w:rsidP="00C82046">
      <w:pPr>
        <w:pStyle w:val="NormalWeb"/>
        <w:spacing w:before="0" w:beforeAutospacing="0" w:after="0" w:afterAutospacing="0" w:line="360" w:lineRule="auto"/>
        <w:ind w:firstLine="567"/>
        <w:jc w:val="both"/>
        <w:rPr>
          <w:sz w:val="28"/>
          <w:szCs w:val="28"/>
        </w:rPr>
      </w:pPr>
    </w:p>
    <w:p w:rsidR="009673CD" w:rsidRPr="00C82046" w:rsidRDefault="009673CD" w:rsidP="00C82046">
      <w:pPr>
        <w:pStyle w:val="NormalWeb"/>
        <w:numPr>
          <w:ilvl w:val="0"/>
          <w:numId w:val="1"/>
        </w:numPr>
        <w:spacing w:before="0" w:beforeAutospacing="0" w:after="0" w:afterAutospacing="0" w:line="360" w:lineRule="auto"/>
        <w:ind w:left="0" w:firstLine="567"/>
        <w:jc w:val="both"/>
        <w:rPr>
          <w:sz w:val="28"/>
          <w:szCs w:val="28"/>
        </w:rPr>
      </w:pPr>
      <w:r w:rsidRPr="00C82046">
        <w:rPr>
          <w:b/>
          <w:bCs/>
          <w:sz w:val="28"/>
          <w:szCs w:val="28"/>
        </w:rPr>
        <w:t xml:space="preserve">En relación a las facultades que se ejercitan al estructurar el acto. </w:t>
      </w:r>
    </w:p>
    <w:p w:rsidR="009673CD" w:rsidRPr="00C82046" w:rsidRDefault="009673CD" w:rsidP="00C82046">
      <w:pPr>
        <w:pStyle w:val="NormalWeb"/>
        <w:numPr>
          <w:ilvl w:val="0"/>
          <w:numId w:val="6"/>
        </w:numPr>
        <w:spacing w:before="0" w:beforeAutospacing="0" w:after="0" w:afterAutospacing="0" w:line="360" w:lineRule="auto"/>
        <w:ind w:left="0" w:firstLine="567"/>
        <w:jc w:val="both"/>
        <w:rPr>
          <w:sz w:val="28"/>
          <w:szCs w:val="28"/>
        </w:rPr>
      </w:pPr>
      <w:r w:rsidRPr="00C82046">
        <w:rPr>
          <w:b/>
          <w:bCs/>
          <w:sz w:val="28"/>
          <w:szCs w:val="28"/>
        </w:rPr>
        <w:t>Acto reglado</w:t>
      </w:r>
    </w:p>
    <w:p w:rsidR="009673CD" w:rsidRPr="00C82046" w:rsidRDefault="009673CD" w:rsidP="00C82046">
      <w:pPr>
        <w:pStyle w:val="NormalWeb"/>
        <w:numPr>
          <w:ilvl w:val="0"/>
          <w:numId w:val="6"/>
        </w:numPr>
        <w:spacing w:before="0" w:beforeAutospacing="0" w:after="0" w:afterAutospacing="0" w:line="360" w:lineRule="auto"/>
        <w:ind w:left="0" w:firstLine="567"/>
        <w:jc w:val="both"/>
        <w:rPr>
          <w:sz w:val="28"/>
          <w:szCs w:val="28"/>
        </w:rPr>
      </w:pPr>
      <w:r w:rsidRPr="00C82046">
        <w:rPr>
          <w:b/>
          <w:bCs/>
          <w:sz w:val="28"/>
          <w:szCs w:val="28"/>
        </w:rPr>
        <w:t>Acto discrecional</w:t>
      </w:r>
    </w:p>
    <w:p w:rsidR="009673CD" w:rsidRPr="00C82046" w:rsidRDefault="009673CD" w:rsidP="00C82046">
      <w:pPr>
        <w:pStyle w:val="Prrafodelista"/>
        <w:spacing w:line="480" w:lineRule="exact"/>
        <w:ind w:left="0" w:firstLine="567"/>
        <w:jc w:val="both"/>
        <w:rPr>
          <w:sz w:val="28"/>
          <w:szCs w:val="28"/>
        </w:rPr>
      </w:pPr>
      <w:r w:rsidRPr="00C82046">
        <w:rPr>
          <w:sz w:val="28"/>
          <w:szCs w:val="28"/>
          <w:u w:val="single"/>
        </w:rPr>
        <w:t>Reglados-discrecionales</w:t>
      </w:r>
    </w:p>
    <w:p w:rsidR="009673CD" w:rsidRPr="00C82046" w:rsidRDefault="009673CD" w:rsidP="00C82046">
      <w:pPr>
        <w:pStyle w:val="Prrafodelista"/>
        <w:spacing w:line="480" w:lineRule="exact"/>
        <w:ind w:left="0" w:firstLine="567"/>
        <w:jc w:val="both"/>
        <w:rPr>
          <w:sz w:val="28"/>
          <w:szCs w:val="28"/>
        </w:rPr>
      </w:pPr>
      <w:r w:rsidRPr="00C82046">
        <w:rPr>
          <w:sz w:val="28"/>
          <w:szCs w:val="28"/>
        </w:rPr>
        <w:t>Potestad reglada y discrecional.</w:t>
      </w:r>
    </w:p>
    <w:p w:rsidR="009673CD" w:rsidRPr="00C82046" w:rsidRDefault="009673CD" w:rsidP="00C82046">
      <w:pPr>
        <w:pStyle w:val="Prrafodelista"/>
        <w:spacing w:line="480" w:lineRule="exact"/>
        <w:ind w:left="0" w:firstLine="567"/>
        <w:jc w:val="both"/>
        <w:rPr>
          <w:sz w:val="28"/>
          <w:szCs w:val="28"/>
        </w:rPr>
      </w:pPr>
      <w:r w:rsidRPr="00C82046">
        <w:rPr>
          <w:sz w:val="28"/>
          <w:szCs w:val="28"/>
        </w:rPr>
        <w:t xml:space="preserve">La mayor o menor exhaustividad determinada por </w:t>
      </w:r>
      <w:smartTag w:uri="urn:schemas-microsoft-com:office:smarttags" w:element="PersonName">
        <w:smartTagPr>
          <w:attr w:name="ProductID" w:val="la Ley"/>
        </w:smartTagPr>
        <w:r w:rsidRPr="00C82046">
          <w:rPr>
            <w:sz w:val="28"/>
            <w:szCs w:val="28"/>
          </w:rPr>
          <w:t>la Ley</w:t>
        </w:r>
      </w:smartTag>
      <w:r w:rsidRPr="00C82046">
        <w:rPr>
          <w:sz w:val="28"/>
          <w:szCs w:val="28"/>
        </w:rPr>
        <w:t xml:space="preserve"> en los supuestos que rigen la actuación de la administración.</w:t>
      </w:r>
    </w:p>
    <w:p w:rsidR="009673CD" w:rsidRPr="00C82046" w:rsidRDefault="009673CD" w:rsidP="00C82046">
      <w:pPr>
        <w:pStyle w:val="Prrafodelista"/>
        <w:numPr>
          <w:ilvl w:val="0"/>
          <w:numId w:val="14"/>
        </w:numPr>
        <w:spacing w:line="480" w:lineRule="exact"/>
        <w:ind w:left="0" w:firstLine="567"/>
        <w:jc w:val="both"/>
        <w:rPr>
          <w:sz w:val="28"/>
          <w:szCs w:val="28"/>
        </w:rPr>
      </w:pPr>
      <w:r w:rsidRPr="00C82046">
        <w:rPr>
          <w:sz w:val="28"/>
          <w:szCs w:val="28"/>
        </w:rPr>
        <w:t xml:space="preserve">Potestad reglada mayor grado de precisión, </w:t>
      </w:r>
      <w:smartTag w:uri="urn:schemas-microsoft-com:office:smarttags" w:element="PersonName">
        <w:smartTagPr>
          <w:attr w:name="ProductID" w:val="la Ley"/>
        </w:smartTagPr>
        <w:r w:rsidRPr="00C82046">
          <w:rPr>
            <w:sz w:val="28"/>
            <w:szCs w:val="28"/>
          </w:rPr>
          <w:t>la Ley</w:t>
        </w:r>
      </w:smartTag>
      <w:r w:rsidRPr="00C82046">
        <w:rPr>
          <w:sz w:val="28"/>
          <w:szCs w:val="28"/>
        </w:rPr>
        <w:t xml:space="preserve"> que rige la actuación ha determinado de manera taxativa el actuar de la Administración, de manera que limita su actuación a la constatación del supuesto de hecho y a aplicar lo que </w:t>
      </w:r>
      <w:smartTag w:uri="urn:schemas-microsoft-com:office:smarttags" w:element="PersonName">
        <w:smartTagPr>
          <w:attr w:name="ProductID" w:val="la Ley"/>
        </w:smartTagPr>
        <w:r w:rsidRPr="00C82046">
          <w:rPr>
            <w:sz w:val="28"/>
            <w:szCs w:val="28"/>
          </w:rPr>
          <w:t>la Ley</w:t>
        </w:r>
      </w:smartTag>
      <w:r w:rsidRPr="00C82046">
        <w:rPr>
          <w:sz w:val="28"/>
          <w:szCs w:val="28"/>
        </w:rPr>
        <w:t xml:space="preserve"> ha determinado. </w:t>
      </w:r>
      <w:smartTag w:uri="urn:schemas-microsoft-com:office:smarttags" w:element="PersonName">
        <w:smartTagPr>
          <w:attr w:name="ProductID" w:val="la Ley"/>
        </w:smartTagPr>
        <w:r w:rsidRPr="00C82046">
          <w:rPr>
            <w:sz w:val="28"/>
            <w:szCs w:val="28"/>
          </w:rPr>
          <w:t>La Ley</w:t>
        </w:r>
      </w:smartTag>
      <w:r w:rsidRPr="00C82046">
        <w:rPr>
          <w:sz w:val="28"/>
          <w:szCs w:val="28"/>
        </w:rPr>
        <w:t xml:space="preserve"> establece de manera previa las condiciones, objeto, y extensión de la actividad, eliminando la posibilidad de un juicio subjetivo.</w:t>
      </w:r>
    </w:p>
    <w:p w:rsidR="009673CD" w:rsidRPr="00C82046" w:rsidRDefault="009673CD" w:rsidP="00C82046">
      <w:pPr>
        <w:autoSpaceDE w:val="0"/>
        <w:autoSpaceDN w:val="0"/>
        <w:adjustRightInd w:val="0"/>
        <w:spacing w:line="360" w:lineRule="auto"/>
        <w:ind w:firstLine="567"/>
        <w:jc w:val="both"/>
        <w:rPr>
          <w:sz w:val="28"/>
          <w:szCs w:val="28"/>
        </w:rPr>
      </w:pPr>
    </w:p>
    <w:p w:rsidR="009673CD" w:rsidRPr="00C82046" w:rsidRDefault="009673CD" w:rsidP="00C82046">
      <w:pPr>
        <w:numPr>
          <w:ilvl w:val="0"/>
          <w:numId w:val="1"/>
        </w:numPr>
        <w:autoSpaceDE w:val="0"/>
        <w:autoSpaceDN w:val="0"/>
        <w:adjustRightInd w:val="0"/>
        <w:spacing w:line="360" w:lineRule="auto"/>
        <w:ind w:left="0" w:firstLine="567"/>
        <w:jc w:val="both"/>
        <w:rPr>
          <w:sz w:val="28"/>
          <w:szCs w:val="28"/>
        </w:rPr>
      </w:pPr>
      <w:r w:rsidRPr="00C82046">
        <w:rPr>
          <w:b/>
          <w:sz w:val="28"/>
          <w:szCs w:val="28"/>
        </w:rPr>
        <w:t xml:space="preserve">En función del nivel que ocupa el acto dentro del procedimiento administrativo y su </w:t>
      </w:r>
      <w:proofErr w:type="spellStart"/>
      <w:r w:rsidRPr="00C82046">
        <w:rPr>
          <w:b/>
          <w:sz w:val="28"/>
          <w:szCs w:val="28"/>
        </w:rPr>
        <w:t>impugnabilidad</w:t>
      </w:r>
      <w:proofErr w:type="spellEnd"/>
      <w:r w:rsidRPr="00C82046">
        <w:rPr>
          <w:b/>
          <w:sz w:val="28"/>
          <w:szCs w:val="28"/>
        </w:rPr>
        <w:t>.</w:t>
      </w:r>
    </w:p>
    <w:p w:rsidR="009673CD" w:rsidRPr="00C82046" w:rsidRDefault="009673CD" w:rsidP="00C82046">
      <w:pPr>
        <w:numPr>
          <w:ilvl w:val="0"/>
          <w:numId w:val="5"/>
        </w:numPr>
        <w:autoSpaceDE w:val="0"/>
        <w:autoSpaceDN w:val="0"/>
        <w:adjustRightInd w:val="0"/>
        <w:spacing w:line="360" w:lineRule="auto"/>
        <w:ind w:left="0" w:firstLine="567"/>
        <w:jc w:val="both"/>
        <w:rPr>
          <w:b/>
          <w:sz w:val="28"/>
          <w:szCs w:val="28"/>
        </w:rPr>
      </w:pPr>
      <w:r w:rsidRPr="00C82046">
        <w:rPr>
          <w:b/>
          <w:sz w:val="28"/>
          <w:szCs w:val="28"/>
        </w:rPr>
        <w:t>Actos de trámite</w:t>
      </w:r>
    </w:p>
    <w:p w:rsidR="009673CD" w:rsidRPr="00C82046" w:rsidRDefault="009673CD" w:rsidP="00C82046">
      <w:pPr>
        <w:numPr>
          <w:ilvl w:val="0"/>
          <w:numId w:val="5"/>
        </w:numPr>
        <w:autoSpaceDE w:val="0"/>
        <w:autoSpaceDN w:val="0"/>
        <w:adjustRightInd w:val="0"/>
        <w:spacing w:line="360" w:lineRule="auto"/>
        <w:ind w:left="0" w:firstLine="567"/>
        <w:jc w:val="both"/>
        <w:rPr>
          <w:b/>
          <w:sz w:val="28"/>
          <w:szCs w:val="28"/>
        </w:rPr>
      </w:pPr>
      <w:r w:rsidRPr="00C82046">
        <w:rPr>
          <w:b/>
          <w:sz w:val="28"/>
          <w:szCs w:val="28"/>
        </w:rPr>
        <w:t>Actos definitivos</w:t>
      </w:r>
    </w:p>
    <w:p w:rsidR="009673CD" w:rsidRPr="00C82046" w:rsidRDefault="009673CD" w:rsidP="00C82046">
      <w:pPr>
        <w:numPr>
          <w:ilvl w:val="0"/>
          <w:numId w:val="5"/>
        </w:numPr>
        <w:autoSpaceDE w:val="0"/>
        <w:autoSpaceDN w:val="0"/>
        <w:adjustRightInd w:val="0"/>
        <w:spacing w:line="360" w:lineRule="auto"/>
        <w:ind w:left="0" w:firstLine="567"/>
        <w:jc w:val="both"/>
        <w:rPr>
          <w:sz w:val="28"/>
          <w:szCs w:val="28"/>
        </w:rPr>
      </w:pPr>
      <w:r w:rsidRPr="00C82046">
        <w:rPr>
          <w:b/>
          <w:sz w:val="28"/>
          <w:szCs w:val="28"/>
        </w:rPr>
        <w:t>Actos confirmatorios</w:t>
      </w:r>
    </w:p>
    <w:p w:rsidR="00C82046" w:rsidRPr="00C82046" w:rsidRDefault="009673CD" w:rsidP="00C82046">
      <w:pPr>
        <w:pStyle w:val="Prrafodelista"/>
        <w:spacing w:line="480" w:lineRule="exact"/>
        <w:ind w:left="0" w:firstLine="567"/>
        <w:jc w:val="both"/>
        <w:rPr>
          <w:sz w:val="28"/>
          <w:szCs w:val="28"/>
        </w:rPr>
      </w:pPr>
      <w:r w:rsidRPr="00C82046">
        <w:rPr>
          <w:sz w:val="28"/>
          <w:szCs w:val="28"/>
          <w:u w:val="single"/>
        </w:rPr>
        <w:t>De trámite-definitivos.</w:t>
      </w:r>
      <w:r w:rsidRPr="00C82046">
        <w:rPr>
          <w:sz w:val="28"/>
          <w:szCs w:val="28"/>
        </w:rPr>
        <w:t xml:space="preserve"> </w:t>
      </w:r>
    </w:p>
    <w:p w:rsidR="009673CD" w:rsidRPr="00C82046" w:rsidRDefault="00C82046" w:rsidP="00C82046">
      <w:pPr>
        <w:pStyle w:val="Prrafodelista"/>
        <w:spacing w:line="480" w:lineRule="exact"/>
        <w:ind w:left="0" w:firstLine="567"/>
        <w:jc w:val="both"/>
        <w:rPr>
          <w:sz w:val="28"/>
          <w:szCs w:val="28"/>
        </w:rPr>
      </w:pPr>
      <w:r w:rsidRPr="00C82046">
        <w:rPr>
          <w:sz w:val="28"/>
          <w:szCs w:val="28"/>
        </w:rPr>
        <w:lastRenderedPageBreak/>
        <w:t>-</w:t>
      </w:r>
      <w:r w:rsidR="009673CD" w:rsidRPr="00C82046">
        <w:rPr>
          <w:sz w:val="28"/>
          <w:szCs w:val="28"/>
        </w:rPr>
        <w:t xml:space="preserve">Actos de trámite son los actos de </w:t>
      </w:r>
      <w:r w:rsidRPr="00C82046">
        <w:rPr>
          <w:sz w:val="28"/>
          <w:szCs w:val="28"/>
        </w:rPr>
        <w:t>procedimiento</w:t>
      </w:r>
      <w:r w:rsidR="009673CD" w:rsidRPr="00C82046">
        <w:rPr>
          <w:sz w:val="28"/>
          <w:szCs w:val="28"/>
        </w:rPr>
        <w:t>,</w:t>
      </w:r>
      <w:r w:rsidRPr="00C82046">
        <w:rPr>
          <w:sz w:val="28"/>
          <w:szCs w:val="28"/>
        </w:rPr>
        <w:t xml:space="preserve"> su</w:t>
      </w:r>
      <w:r w:rsidR="009673CD" w:rsidRPr="00C82046">
        <w:rPr>
          <w:sz w:val="28"/>
          <w:szCs w:val="28"/>
        </w:rPr>
        <w:t xml:space="preserve"> existencia es previa a la resolución final, la preparan y posibilitan. Salvo de manera excepcional contienen declaraciones de voluntad constitutivas. Hay sin embargo en los actos de trámite decisiones de voluntad al denegar una prueba</w:t>
      </w:r>
      <w:r w:rsidRPr="00C82046">
        <w:rPr>
          <w:sz w:val="28"/>
          <w:szCs w:val="28"/>
        </w:rPr>
        <w:t xml:space="preserve"> </w:t>
      </w:r>
      <w:r w:rsidR="009673CD" w:rsidRPr="00C82046">
        <w:rPr>
          <w:sz w:val="28"/>
          <w:szCs w:val="28"/>
        </w:rPr>
        <w:t>admitir como interesado a un tercero</w:t>
      </w:r>
      <w:r w:rsidRPr="00C82046">
        <w:rPr>
          <w:sz w:val="28"/>
          <w:szCs w:val="28"/>
        </w:rPr>
        <w:t>.</w:t>
      </w:r>
    </w:p>
    <w:p w:rsidR="00C82046" w:rsidRDefault="009673CD" w:rsidP="00C82046">
      <w:pPr>
        <w:pStyle w:val="Prrafodelista"/>
        <w:numPr>
          <w:ilvl w:val="0"/>
          <w:numId w:val="16"/>
        </w:numPr>
        <w:autoSpaceDE w:val="0"/>
        <w:autoSpaceDN w:val="0"/>
        <w:adjustRightInd w:val="0"/>
        <w:spacing w:line="360" w:lineRule="auto"/>
        <w:jc w:val="both"/>
        <w:rPr>
          <w:b/>
          <w:iCs/>
          <w:sz w:val="28"/>
          <w:szCs w:val="28"/>
        </w:rPr>
      </w:pPr>
      <w:r w:rsidRPr="00C82046">
        <w:rPr>
          <w:sz w:val="28"/>
          <w:szCs w:val="28"/>
        </w:rPr>
        <w:t xml:space="preserve">Actos definitivos ponen fin al </w:t>
      </w:r>
      <w:r w:rsidR="00C82046" w:rsidRPr="00C82046">
        <w:rPr>
          <w:sz w:val="28"/>
          <w:szCs w:val="28"/>
        </w:rPr>
        <w:t>procedimiento</w:t>
      </w:r>
      <w:r w:rsidRPr="00C82046">
        <w:rPr>
          <w:sz w:val="28"/>
          <w:szCs w:val="28"/>
        </w:rPr>
        <w:t>, verdaderas declaraciones de voluntad.</w:t>
      </w:r>
    </w:p>
    <w:p w:rsidR="00C82046" w:rsidRPr="00C82046" w:rsidRDefault="009673CD" w:rsidP="00C82046">
      <w:pPr>
        <w:pStyle w:val="Prrafodelista"/>
        <w:numPr>
          <w:ilvl w:val="0"/>
          <w:numId w:val="16"/>
        </w:numPr>
        <w:autoSpaceDE w:val="0"/>
        <w:autoSpaceDN w:val="0"/>
        <w:adjustRightInd w:val="0"/>
        <w:spacing w:line="360" w:lineRule="auto"/>
        <w:ind w:left="567"/>
        <w:jc w:val="both"/>
        <w:rPr>
          <w:b/>
          <w:iCs/>
          <w:sz w:val="28"/>
          <w:szCs w:val="28"/>
        </w:rPr>
      </w:pPr>
      <w:r w:rsidRPr="00C82046">
        <w:rPr>
          <w:sz w:val="28"/>
          <w:szCs w:val="28"/>
        </w:rPr>
        <w:t xml:space="preserve">Son </w:t>
      </w:r>
      <w:r w:rsidR="00C82046" w:rsidRPr="00C82046">
        <w:rPr>
          <w:sz w:val="28"/>
          <w:szCs w:val="28"/>
        </w:rPr>
        <w:t>por si mismos impugnables —por regla general—</w:t>
      </w:r>
      <w:r w:rsidRPr="00C82046">
        <w:rPr>
          <w:sz w:val="28"/>
          <w:szCs w:val="28"/>
        </w:rPr>
        <w:t xml:space="preserve">los </w:t>
      </w:r>
      <w:r w:rsidR="00C82046" w:rsidRPr="00C82046">
        <w:rPr>
          <w:sz w:val="28"/>
          <w:szCs w:val="28"/>
        </w:rPr>
        <w:t xml:space="preserve">actos </w:t>
      </w:r>
      <w:r w:rsidRPr="00C82046">
        <w:rPr>
          <w:sz w:val="28"/>
          <w:szCs w:val="28"/>
        </w:rPr>
        <w:t xml:space="preserve">definitivos, los de </w:t>
      </w:r>
      <w:r w:rsidR="00C82046" w:rsidRPr="00C82046">
        <w:rPr>
          <w:sz w:val="28"/>
          <w:szCs w:val="28"/>
        </w:rPr>
        <w:t>trámite</w:t>
      </w:r>
      <w:r w:rsidRPr="00C82046">
        <w:rPr>
          <w:sz w:val="28"/>
          <w:szCs w:val="28"/>
        </w:rPr>
        <w:t xml:space="preserve"> al impugnar el definitivo, y cuando bajo la apariencia de actos </w:t>
      </w:r>
      <w:proofErr w:type="spellStart"/>
      <w:r w:rsidRPr="00C82046">
        <w:rPr>
          <w:sz w:val="28"/>
          <w:szCs w:val="28"/>
        </w:rPr>
        <w:t>procedimientales</w:t>
      </w:r>
      <w:proofErr w:type="spellEnd"/>
      <w:r w:rsidRPr="00C82046">
        <w:rPr>
          <w:sz w:val="28"/>
          <w:szCs w:val="28"/>
        </w:rPr>
        <w:t xml:space="preserve"> se viene a decidir el asunto de fondo. </w:t>
      </w:r>
    </w:p>
    <w:p w:rsidR="00C82046" w:rsidRPr="00C82046" w:rsidRDefault="00C82046" w:rsidP="00C82046">
      <w:pPr>
        <w:pStyle w:val="Prrafodelista"/>
        <w:numPr>
          <w:ilvl w:val="0"/>
          <w:numId w:val="16"/>
        </w:numPr>
        <w:autoSpaceDE w:val="0"/>
        <w:autoSpaceDN w:val="0"/>
        <w:adjustRightInd w:val="0"/>
        <w:spacing w:line="360" w:lineRule="auto"/>
        <w:ind w:left="567"/>
        <w:jc w:val="both"/>
        <w:rPr>
          <w:b/>
          <w:iCs/>
          <w:sz w:val="28"/>
          <w:szCs w:val="28"/>
        </w:rPr>
      </w:pPr>
      <w:r w:rsidRPr="00C82046">
        <w:rPr>
          <w:sz w:val="28"/>
          <w:szCs w:val="28"/>
        </w:rPr>
        <w:t>Actos Confirmatorios, son los actos en que se confirma una decisión tomada en un acto anterior.</w:t>
      </w:r>
    </w:p>
    <w:p w:rsidR="009673CD" w:rsidRPr="00C82046" w:rsidRDefault="009673CD" w:rsidP="00C82046">
      <w:pPr>
        <w:pStyle w:val="Prrafodelista"/>
        <w:autoSpaceDE w:val="0"/>
        <w:autoSpaceDN w:val="0"/>
        <w:adjustRightInd w:val="0"/>
        <w:spacing w:line="360" w:lineRule="auto"/>
        <w:ind w:left="567"/>
        <w:jc w:val="both"/>
        <w:rPr>
          <w:b/>
          <w:iCs/>
          <w:sz w:val="28"/>
          <w:szCs w:val="28"/>
        </w:rPr>
      </w:pPr>
      <w:r w:rsidRPr="00C82046">
        <w:rPr>
          <w:b/>
          <w:iCs/>
          <w:sz w:val="28"/>
          <w:szCs w:val="28"/>
        </w:rPr>
        <w:t xml:space="preserve">En atención a su </w:t>
      </w:r>
      <w:proofErr w:type="spellStart"/>
      <w:r w:rsidRPr="00C82046">
        <w:rPr>
          <w:b/>
          <w:iCs/>
          <w:sz w:val="28"/>
          <w:szCs w:val="28"/>
        </w:rPr>
        <w:t>impugnabilidad</w:t>
      </w:r>
      <w:proofErr w:type="spellEnd"/>
      <w:r w:rsidRPr="00C82046">
        <w:rPr>
          <w:b/>
          <w:iCs/>
          <w:sz w:val="28"/>
          <w:szCs w:val="28"/>
        </w:rPr>
        <w:t xml:space="preserve">. </w:t>
      </w:r>
    </w:p>
    <w:p w:rsidR="009673CD" w:rsidRPr="00C82046" w:rsidRDefault="009673CD" w:rsidP="00C82046">
      <w:pPr>
        <w:numPr>
          <w:ilvl w:val="0"/>
          <w:numId w:val="7"/>
        </w:numPr>
        <w:autoSpaceDE w:val="0"/>
        <w:autoSpaceDN w:val="0"/>
        <w:adjustRightInd w:val="0"/>
        <w:ind w:left="0" w:firstLine="567"/>
        <w:jc w:val="both"/>
        <w:rPr>
          <w:b/>
          <w:iCs/>
          <w:sz w:val="28"/>
          <w:szCs w:val="28"/>
        </w:rPr>
      </w:pPr>
      <w:r w:rsidRPr="00C82046">
        <w:rPr>
          <w:b/>
          <w:iCs/>
          <w:sz w:val="28"/>
          <w:szCs w:val="28"/>
        </w:rPr>
        <w:t>Actos</w:t>
      </w:r>
      <w:r w:rsidR="00C82046" w:rsidRPr="00C82046">
        <w:rPr>
          <w:b/>
          <w:iCs/>
          <w:sz w:val="28"/>
          <w:szCs w:val="28"/>
        </w:rPr>
        <w:t xml:space="preserve"> que</w:t>
      </w:r>
      <w:r w:rsidRPr="00C82046">
        <w:rPr>
          <w:b/>
          <w:iCs/>
          <w:sz w:val="28"/>
          <w:szCs w:val="28"/>
        </w:rPr>
        <w:t xml:space="preserve"> agotan la vía administrativa </w:t>
      </w:r>
    </w:p>
    <w:p w:rsidR="009673CD" w:rsidRPr="00C82046" w:rsidRDefault="009673CD" w:rsidP="00C82046">
      <w:pPr>
        <w:pStyle w:val="NormalWeb"/>
        <w:numPr>
          <w:ilvl w:val="0"/>
          <w:numId w:val="7"/>
        </w:numPr>
        <w:spacing w:before="0" w:beforeAutospacing="0" w:after="0" w:afterAutospacing="0"/>
        <w:ind w:left="0" w:firstLine="567"/>
        <w:jc w:val="both"/>
        <w:rPr>
          <w:b/>
          <w:sz w:val="28"/>
          <w:szCs w:val="28"/>
        </w:rPr>
      </w:pPr>
      <w:r w:rsidRPr="00C82046">
        <w:rPr>
          <w:b/>
          <w:sz w:val="28"/>
          <w:szCs w:val="28"/>
        </w:rPr>
        <w:t xml:space="preserve">Actos no firmes </w:t>
      </w:r>
    </w:p>
    <w:p w:rsidR="009673CD" w:rsidRPr="00C82046" w:rsidRDefault="009673CD" w:rsidP="00C82046">
      <w:pPr>
        <w:pStyle w:val="NormalWeb"/>
        <w:numPr>
          <w:ilvl w:val="0"/>
          <w:numId w:val="7"/>
        </w:numPr>
        <w:autoSpaceDE w:val="0"/>
        <w:autoSpaceDN w:val="0"/>
        <w:adjustRightInd w:val="0"/>
        <w:spacing w:before="0" w:beforeAutospacing="0" w:after="0" w:afterAutospacing="0"/>
        <w:ind w:left="0" w:firstLine="567"/>
        <w:jc w:val="both"/>
        <w:rPr>
          <w:b/>
          <w:iCs/>
          <w:sz w:val="28"/>
          <w:szCs w:val="28"/>
        </w:rPr>
      </w:pPr>
      <w:r w:rsidRPr="00C82046">
        <w:rPr>
          <w:b/>
          <w:sz w:val="28"/>
          <w:szCs w:val="28"/>
        </w:rPr>
        <w:t>Actos firmes.</w:t>
      </w:r>
    </w:p>
    <w:p w:rsidR="009673CD" w:rsidRPr="00C82046" w:rsidRDefault="009673CD" w:rsidP="00C82046">
      <w:pPr>
        <w:pStyle w:val="NormalWeb"/>
        <w:numPr>
          <w:ilvl w:val="0"/>
          <w:numId w:val="7"/>
        </w:numPr>
        <w:autoSpaceDE w:val="0"/>
        <w:autoSpaceDN w:val="0"/>
        <w:adjustRightInd w:val="0"/>
        <w:spacing w:before="0" w:beforeAutospacing="0" w:after="0" w:afterAutospacing="0"/>
        <w:ind w:left="0" w:firstLine="567"/>
        <w:jc w:val="both"/>
        <w:rPr>
          <w:b/>
          <w:iCs/>
          <w:sz w:val="28"/>
          <w:szCs w:val="28"/>
        </w:rPr>
      </w:pPr>
      <w:r w:rsidRPr="00C82046">
        <w:rPr>
          <w:b/>
          <w:sz w:val="28"/>
          <w:szCs w:val="28"/>
        </w:rPr>
        <w:t>Actos confirmatorios.</w:t>
      </w:r>
    </w:p>
    <w:p w:rsidR="009673CD" w:rsidRPr="00C82046" w:rsidRDefault="00C82046" w:rsidP="00C82046">
      <w:pPr>
        <w:numPr>
          <w:ilvl w:val="0"/>
          <w:numId w:val="10"/>
        </w:numPr>
        <w:autoSpaceDE w:val="0"/>
        <w:autoSpaceDN w:val="0"/>
        <w:adjustRightInd w:val="0"/>
        <w:ind w:left="0" w:firstLine="567"/>
        <w:jc w:val="both"/>
        <w:rPr>
          <w:b/>
          <w:iCs/>
          <w:sz w:val="28"/>
          <w:szCs w:val="28"/>
        </w:rPr>
      </w:pPr>
      <w:r>
        <w:rPr>
          <w:b/>
          <w:iCs/>
          <w:sz w:val="28"/>
          <w:szCs w:val="28"/>
        </w:rPr>
        <w:t>A</w:t>
      </w:r>
      <w:r w:rsidRPr="00C82046">
        <w:rPr>
          <w:b/>
          <w:iCs/>
          <w:sz w:val="28"/>
          <w:szCs w:val="28"/>
        </w:rPr>
        <w:t>ctos</w:t>
      </w:r>
      <w:r>
        <w:rPr>
          <w:b/>
          <w:iCs/>
          <w:sz w:val="28"/>
          <w:szCs w:val="28"/>
        </w:rPr>
        <w:t xml:space="preserve"> que  no </w:t>
      </w:r>
      <w:r w:rsidRPr="00C82046">
        <w:rPr>
          <w:b/>
          <w:iCs/>
          <w:sz w:val="28"/>
          <w:szCs w:val="28"/>
        </w:rPr>
        <w:t xml:space="preserve">agotan la vía administrativa </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 xml:space="preserve">Los actos que agotan la vía administrativa, denominados también actos que causan estado, son aquellos actos que ya no están sujetos a un recurso en sede administrativa y por lo tanto abren la posibilidad de ser impugnados vía jurisdiccional. </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ab/>
        <w:t>El agotamiento de la vía administrativa presupone que el administrado que desea someter el acto a control judicial, debe haber agotado en tiempo y forma los recursos que contra el mismo prevé la Ley.</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De ahí que todo aquel acto que aún es susceptible de ser revisado en el seno de la Administración, es un acto que no causa estado o que no agotan la vía administrativa, el cual es requisito previo imprescindible para acudir a la vía jurisdiccional.</w:t>
      </w:r>
    </w:p>
    <w:p w:rsidR="009673CD" w:rsidRPr="00C82046" w:rsidRDefault="00C82046" w:rsidP="00C82046">
      <w:pPr>
        <w:pStyle w:val="NormalWeb"/>
        <w:numPr>
          <w:ilvl w:val="0"/>
          <w:numId w:val="10"/>
        </w:numPr>
        <w:spacing w:before="0" w:beforeAutospacing="0" w:after="0" w:afterAutospacing="0"/>
        <w:ind w:left="0" w:firstLine="567"/>
        <w:jc w:val="both"/>
        <w:rPr>
          <w:b/>
          <w:color w:val="000000"/>
          <w:sz w:val="28"/>
          <w:szCs w:val="28"/>
        </w:rPr>
      </w:pPr>
      <w:r>
        <w:rPr>
          <w:b/>
          <w:color w:val="000000"/>
          <w:sz w:val="28"/>
          <w:szCs w:val="28"/>
        </w:rPr>
        <w:t>A</w:t>
      </w:r>
      <w:r w:rsidRPr="00C82046">
        <w:rPr>
          <w:b/>
          <w:color w:val="000000"/>
          <w:sz w:val="28"/>
          <w:szCs w:val="28"/>
        </w:rPr>
        <w:t>ctos no firmes.</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 xml:space="preserve">Aquellos que pueden ser aun recurridos bien </w:t>
      </w:r>
      <w:proofErr w:type="gramStart"/>
      <w:r w:rsidRPr="00C82046">
        <w:rPr>
          <w:color w:val="000000"/>
          <w:sz w:val="28"/>
          <w:szCs w:val="28"/>
        </w:rPr>
        <w:t>sea</w:t>
      </w:r>
      <w:proofErr w:type="gramEnd"/>
      <w:r w:rsidRPr="00C82046">
        <w:rPr>
          <w:color w:val="000000"/>
          <w:sz w:val="28"/>
          <w:szCs w:val="28"/>
        </w:rPr>
        <w:t xml:space="preserve"> vía administrativa o vía jurisdiccional. </w:t>
      </w:r>
    </w:p>
    <w:p w:rsidR="009673CD" w:rsidRPr="00C82046" w:rsidRDefault="00C82046" w:rsidP="00C82046">
      <w:pPr>
        <w:pStyle w:val="NormalWeb"/>
        <w:numPr>
          <w:ilvl w:val="0"/>
          <w:numId w:val="10"/>
        </w:numPr>
        <w:spacing w:before="0" w:beforeAutospacing="0" w:after="0" w:afterAutospacing="0"/>
        <w:ind w:left="0" w:firstLine="567"/>
        <w:jc w:val="both"/>
        <w:rPr>
          <w:b/>
          <w:color w:val="000000"/>
          <w:sz w:val="28"/>
          <w:szCs w:val="28"/>
        </w:rPr>
      </w:pPr>
      <w:r>
        <w:rPr>
          <w:b/>
          <w:color w:val="000000"/>
          <w:sz w:val="28"/>
          <w:szCs w:val="28"/>
        </w:rPr>
        <w:lastRenderedPageBreak/>
        <w:t>A</w:t>
      </w:r>
      <w:r w:rsidRPr="00C82046">
        <w:rPr>
          <w:b/>
          <w:color w:val="000000"/>
          <w:sz w:val="28"/>
          <w:szCs w:val="28"/>
        </w:rPr>
        <w:t xml:space="preserve">ctos firmes </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Son aquellos actos que por el transcurso de los plazos establecidos, ya no son susceptibles de impugnación, aunque lo pudieron ser en su momento. Es decir, aquellos actos en los que el interesado ha dejado pasar los plazos que tenía para recurrir, en vía administrativa o en vía judicial, por lo que el acto queda firme e inatacable. Se supone que el interesado consiente con el vicio de que adolece el acto.-</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Aquellos que se dice han adquirido estado de firmeza y por lo tanto no son susceptibles de recurso alguno o impugnación vía judicial. Lo cual se puede dar por dos motivos:</w:t>
      </w:r>
    </w:p>
    <w:p w:rsidR="009673CD" w:rsidRPr="00C82046" w:rsidRDefault="009673CD" w:rsidP="00C82046">
      <w:pPr>
        <w:pStyle w:val="NormalWeb"/>
        <w:numPr>
          <w:ilvl w:val="0"/>
          <w:numId w:val="11"/>
        </w:numPr>
        <w:spacing w:before="0" w:beforeAutospacing="0" w:after="0" w:afterAutospacing="0"/>
        <w:ind w:left="0" w:firstLine="567"/>
        <w:jc w:val="both"/>
        <w:rPr>
          <w:color w:val="000000"/>
          <w:sz w:val="28"/>
          <w:szCs w:val="28"/>
          <w:u w:val="single"/>
        </w:rPr>
      </w:pPr>
      <w:r w:rsidRPr="00C82046">
        <w:rPr>
          <w:color w:val="000000"/>
          <w:sz w:val="28"/>
          <w:szCs w:val="28"/>
        </w:rPr>
        <w:t>Por transcurso del plazo de impugnación sin haber ejercido la acción correspondiente (interposición de recurso administrativo en sede administrativa, o ejercicio de la acción contenciosa en vía judicial). La firmeza vienen dada por razones formales (cosa juzgada formal).</w:t>
      </w:r>
    </w:p>
    <w:p w:rsidR="009673CD" w:rsidRPr="00C82046" w:rsidRDefault="009673CD" w:rsidP="00C82046">
      <w:pPr>
        <w:pStyle w:val="NormalWeb"/>
        <w:numPr>
          <w:ilvl w:val="0"/>
          <w:numId w:val="11"/>
        </w:numPr>
        <w:spacing w:before="0" w:beforeAutospacing="0" w:after="0" w:afterAutospacing="0"/>
        <w:ind w:left="0" w:firstLine="567"/>
        <w:jc w:val="both"/>
        <w:rPr>
          <w:color w:val="000000"/>
          <w:sz w:val="28"/>
          <w:szCs w:val="28"/>
          <w:u w:val="single"/>
        </w:rPr>
      </w:pPr>
      <w:r w:rsidRPr="00C82046">
        <w:rPr>
          <w:color w:val="000000"/>
          <w:sz w:val="28"/>
          <w:szCs w:val="28"/>
        </w:rPr>
        <w:t>Por haber sido agotados todos los mecanismos de reacción contra el acto. Es decir que el particular ha recurrido el acto agotando las dos instancias, administrativa y judicial, y por lo tanto el acto ya no es susceptible de impugnación alguna adquiriendo firmeza de carácter material (cosa juzgada material).</w:t>
      </w:r>
    </w:p>
    <w:p w:rsidR="009673CD" w:rsidRPr="00C82046" w:rsidRDefault="00C82046" w:rsidP="00C82046">
      <w:pPr>
        <w:pStyle w:val="NormalWeb"/>
        <w:numPr>
          <w:ilvl w:val="0"/>
          <w:numId w:val="10"/>
        </w:numPr>
        <w:spacing w:before="0" w:beforeAutospacing="0" w:after="0" w:afterAutospacing="0"/>
        <w:ind w:left="0" w:firstLine="567"/>
        <w:jc w:val="both"/>
        <w:rPr>
          <w:b/>
          <w:color w:val="000000"/>
          <w:sz w:val="28"/>
          <w:szCs w:val="28"/>
        </w:rPr>
      </w:pPr>
      <w:r>
        <w:rPr>
          <w:b/>
          <w:color w:val="000000"/>
          <w:sz w:val="28"/>
          <w:szCs w:val="28"/>
        </w:rPr>
        <w:t>A</w:t>
      </w:r>
      <w:r w:rsidRPr="00C82046">
        <w:rPr>
          <w:b/>
          <w:color w:val="000000"/>
          <w:sz w:val="28"/>
          <w:szCs w:val="28"/>
        </w:rPr>
        <w:t>ctos confirmatorios</w:t>
      </w:r>
      <w:r w:rsidR="009673CD" w:rsidRPr="00C82046">
        <w:rPr>
          <w:b/>
          <w:color w:val="000000"/>
          <w:sz w:val="28"/>
          <w:szCs w:val="28"/>
        </w:rPr>
        <w:t>.</w:t>
      </w:r>
    </w:p>
    <w:p w:rsidR="009673CD" w:rsidRPr="00C82046" w:rsidRDefault="009673CD" w:rsidP="00C82046">
      <w:pPr>
        <w:pStyle w:val="NormalWeb"/>
        <w:spacing w:before="0" w:beforeAutospacing="0" w:after="0" w:afterAutospacing="0"/>
        <w:ind w:firstLine="567"/>
        <w:jc w:val="both"/>
        <w:rPr>
          <w:color w:val="000000"/>
          <w:sz w:val="28"/>
          <w:szCs w:val="28"/>
        </w:rPr>
      </w:pPr>
      <w:r w:rsidRPr="00C82046">
        <w:rPr>
          <w:color w:val="000000"/>
          <w:sz w:val="28"/>
          <w:szCs w:val="28"/>
        </w:rPr>
        <w:t>Los actos confirmatorios son aquellos que reproducen otros actos dictados anteriormente, y que en su día quedaron firmes. Es una estratagema mediante la cual se presenta una nueva solicitud sobre un mismo asunto y una vez que la Administración la deniega se intenta recurrir, cosa que en su momento no pudo hacerse. Lo que se pretende es reabrir un debate sobre lo que en su día quedó definitivamente resuelto por no haberse recurrido. Para llamar confirmatorio a un acto es preciso que no recoja ninguna novedad respecto del anterior, no solo en cuanto al objeto sino en cuanto a los recurrentes y al órgano, y además sean idénticas las pretensiones.-</w:t>
      </w:r>
    </w:p>
    <w:p w:rsidR="009673CD" w:rsidRPr="00C82046" w:rsidRDefault="009673CD" w:rsidP="00C82046">
      <w:pPr>
        <w:pStyle w:val="NormalWeb"/>
        <w:spacing w:before="0" w:beforeAutospacing="0" w:after="0" w:afterAutospacing="0"/>
        <w:ind w:firstLine="567"/>
        <w:jc w:val="both"/>
        <w:rPr>
          <w:color w:val="000000"/>
          <w:sz w:val="28"/>
          <w:szCs w:val="28"/>
          <w:u w:val="single"/>
        </w:rPr>
      </w:pPr>
    </w:p>
    <w:p w:rsidR="009673CD" w:rsidRPr="00C82046" w:rsidRDefault="009673CD" w:rsidP="00C82046">
      <w:pPr>
        <w:numPr>
          <w:ilvl w:val="0"/>
          <w:numId w:val="1"/>
        </w:numPr>
        <w:autoSpaceDE w:val="0"/>
        <w:autoSpaceDN w:val="0"/>
        <w:adjustRightInd w:val="0"/>
        <w:ind w:left="0" w:firstLine="567"/>
        <w:jc w:val="both"/>
        <w:rPr>
          <w:b/>
          <w:iCs/>
          <w:sz w:val="28"/>
          <w:szCs w:val="28"/>
        </w:rPr>
      </w:pPr>
      <w:r w:rsidRPr="00C82046">
        <w:rPr>
          <w:b/>
          <w:iCs/>
          <w:sz w:val="28"/>
          <w:szCs w:val="28"/>
        </w:rPr>
        <w:t xml:space="preserve">En atención al modo de expresión. </w:t>
      </w:r>
    </w:p>
    <w:p w:rsidR="009673CD" w:rsidRPr="00C82046" w:rsidRDefault="009673CD" w:rsidP="00C82046">
      <w:pPr>
        <w:numPr>
          <w:ilvl w:val="0"/>
          <w:numId w:val="8"/>
        </w:numPr>
        <w:ind w:left="0" w:firstLine="567"/>
        <w:jc w:val="both"/>
        <w:rPr>
          <w:b/>
          <w:sz w:val="28"/>
          <w:szCs w:val="28"/>
        </w:rPr>
      </w:pPr>
      <w:r w:rsidRPr="00C82046">
        <w:rPr>
          <w:b/>
          <w:sz w:val="28"/>
          <w:szCs w:val="28"/>
        </w:rPr>
        <w:t xml:space="preserve">Expresos </w:t>
      </w:r>
    </w:p>
    <w:p w:rsidR="009673CD" w:rsidRPr="00C82046" w:rsidRDefault="009673CD" w:rsidP="00C82046">
      <w:pPr>
        <w:numPr>
          <w:ilvl w:val="0"/>
          <w:numId w:val="8"/>
        </w:numPr>
        <w:ind w:left="0" w:firstLine="567"/>
        <w:jc w:val="both"/>
        <w:rPr>
          <w:b/>
          <w:sz w:val="28"/>
          <w:szCs w:val="28"/>
        </w:rPr>
      </w:pPr>
      <w:r w:rsidRPr="00C82046">
        <w:rPr>
          <w:b/>
          <w:sz w:val="28"/>
          <w:szCs w:val="28"/>
        </w:rPr>
        <w:t>Tácitos</w:t>
      </w:r>
    </w:p>
    <w:p w:rsidR="009673CD" w:rsidRPr="00C82046" w:rsidRDefault="009673CD" w:rsidP="00C82046">
      <w:pPr>
        <w:numPr>
          <w:ilvl w:val="0"/>
          <w:numId w:val="8"/>
        </w:numPr>
        <w:ind w:left="0" w:firstLine="567"/>
        <w:jc w:val="both"/>
        <w:rPr>
          <w:b/>
          <w:sz w:val="28"/>
          <w:szCs w:val="28"/>
        </w:rPr>
      </w:pPr>
      <w:r w:rsidRPr="00C82046">
        <w:rPr>
          <w:b/>
          <w:sz w:val="28"/>
          <w:szCs w:val="28"/>
        </w:rPr>
        <w:t>Presuntos</w:t>
      </w:r>
    </w:p>
    <w:p w:rsidR="009673CD" w:rsidRPr="00C82046" w:rsidRDefault="009673CD" w:rsidP="00C82046">
      <w:pPr>
        <w:numPr>
          <w:ilvl w:val="0"/>
          <w:numId w:val="12"/>
        </w:numPr>
        <w:ind w:left="0" w:firstLine="567"/>
        <w:jc w:val="both"/>
        <w:rPr>
          <w:sz w:val="28"/>
          <w:szCs w:val="28"/>
        </w:rPr>
      </w:pPr>
      <w:r w:rsidRPr="00C82046">
        <w:rPr>
          <w:b/>
          <w:sz w:val="28"/>
          <w:szCs w:val="28"/>
        </w:rPr>
        <w:t xml:space="preserve">Acto expreso: </w:t>
      </w:r>
      <w:r w:rsidRPr="00C82046">
        <w:rPr>
          <w:sz w:val="28"/>
          <w:szCs w:val="28"/>
        </w:rPr>
        <w:t xml:space="preserve">son los que se concretan en una resolución administrativa que contiene una clara e inequívoca exteriorización de la voluntad, conocimiento, juicio, deseo del órgano que la dicta. Esta es la regla general </w:t>
      </w:r>
    </w:p>
    <w:p w:rsidR="009673CD" w:rsidRPr="00C82046" w:rsidRDefault="009673CD" w:rsidP="00C82046">
      <w:pPr>
        <w:numPr>
          <w:ilvl w:val="0"/>
          <w:numId w:val="12"/>
        </w:numPr>
        <w:ind w:left="0" w:firstLine="567"/>
        <w:jc w:val="both"/>
        <w:rPr>
          <w:sz w:val="28"/>
          <w:szCs w:val="28"/>
        </w:rPr>
      </w:pPr>
      <w:r w:rsidRPr="00C82046">
        <w:rPr>
          <w:b/>
          <w:sz w:val="28"/>
          <w:szCs w:val="28"/>
        </w:rPr>
        <w:t>Acto tácito:</w:t>
      </w:r>
      <w:r w:rsidRPr="00C82046">
        <w:rPr>
          <w:sz w:val="28"/>
          <w:szCs w:val="28"/>
        </w:rPr>
        <w:t xml:space="preserve"> son conductas o comportamientos de la Administración que revelan concluyentemente una decisión administrativa </w:t>
      </w:r>
      <w:r w:rsidRPr="00C82046">
        <w:rPr>
          <w:sz w:val="28"/>
          <w:szCs w:val="28"/>
        </w:rPr>
        <w:lastRenderedPageBreak/>
        <w:t xml:space="preserve">previa, y que se dan sobre todo en las actuaciones que llevan aparejada el uso de la fuerza y la coacción, donde muchas veces la ejecución misma se presenta como la única exteriorización de la voluntad administrativa. </w:t>
      </w:r>
    </w:p>
    <w:p w:rsidR="009673CD" w:rsidRPr="00C82046" w:rsidRDefault="009673CD" w:rsidP="00C82046">
      <w:pPr>
        <w:ind w:firstLine="567"/>
        <w:jc w:val="both"/>
        <w:rPr>
          <w:sz w:val="28"/>
          <w:szCs w:val="28"/>
        </w:rPr>
      </w:pPr>
      <w:r w:rsidRPr="00C82046">
        <w:rPr>
          <w:sz w:val="28"/>
          <w:szCs w:val="28"/>
        </w:rPr>
        <w:t>Se produce cuando del modo de actuar de la Administración quepa presumir racionalmente la existencia de una voluntad productora de efectos jurídicos.</w:t>
      </w:r>
    </w:p>
    <w:p w:rsidR="009673CD" w:rsidRPr="00C82046" w:rsidRDefault="009673CD" w:rsidP="00C82046">
      <w:pPr>
        <w:ind w:firstLine="567"/>
        <w:jc w:val="both"/>
        <w:rPr>
          <w:sz w:val="28"/>
          <w:szCs w:val="28"/>
        </w:rPr>
      </w:pPr>
      <w:r w:rsidRPr="00C82046">
        <w:rPr>
          <w:sz w:val="28"/>
          <w:szCs w:val="28"/>
        </w:rPr>
        <w:t>En los actos tácitos falta esta declaración, pero ante la conducta administrativa se supone racional la existencia de una voluntad que produce efectos jurídicos.</w:t>
      </w:r>
    </w:p>
    <w:p w:rsidR="009673CD" w:rsidRPr="00C82046" w:rsidRDefault="009673CD" w:rsidP="00C82046">
      <w:pPr>
        <w:numPr>
          <w:ilvl w:val="0"/>
          <w:numId w:val="13"/>
        </w:numPr>
        <w:ind w:left="0" w:firstLine="567"/>
        <w:jc w:val="both"/>
        <w:rPr>
          <w:sz w:val="28"/>
          <w:szCs w:val="28"/>
        </w:rPr>
      </w:pPr>
      <w:r w:rsidRPr="00C82046">
        <w:rPr>
          <w:b/>
          <w:sz w:val="28"/>
          <w:szCs w:val="28"/>
        </w:rPr>
        <w:t xml:space="preserve">Actos Presuntos: </w:t>
      </w:r>
      <w:r w:rsidRPr="00C82046">
        <w:rPr>
          <w:sz w:val="28"/>
          <w:szCs w:val="28"/>
        </w:rPr>
        <w:t>ante la inactividad de la Administración Pública frente a una petición realizada por un administrado,  se presume por ministerio de Ley la existencia de un acto.</w:t>
      </w:r>
    </w:p>
    <w:p w:rsidR="009673CD" w:rsidRPr="00C82046" w:rsidRDefault="009673CD" w:rsidP="00C82046">
      <w:pPr>
        <w:ind w:firstLine="567"/>
        <w:jc w:val="both"/>
        <w:rPr>
          <w:sz w:val="28"/>
          <w:szCs w:val="28"/>
        </w:rPr>
      </w:pPr>
      <w:r w:rsidRPr="00C82046">
        <w:rPr>
          <w:sz w:val="28"/>
          <w:szCs w:val="28"/>
        </w:rPr>
        <w:t xml:space="preserve">Hablamos entonces de la figura del silencio administrativo, la cual surge como un medio de defensa del administrado frente a la inactividad, pasividad y/o demora de la Administración. </w:t>
      </w:r>
    </w:p>
    <w:sectPr w:rsidR="009673CD" w:rsidRPr="00C82046" w:rsidSect="006F7C5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9C90"/>
      </v:shape>
    </w:pict>
  </w:numPicBullet>
  <w:abstractNum w:abstractNumId="0">
    <w:nsid w:val="14006951"/>
    <w:multiLevelType w:val="hybridMultilevel"/>
    <w:tmpl w:val="6428AB16"/>
    <w:lvl w:ilvl="0" w:tplc="0A8264C0">
      <w:start w:val="1"/>
      <w:numFmt w:val="lowerRoman"/>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49007E"/>
    <w:multiLevelType w:val="hybridMultilevel"/>
    <w:tmpl w:val="359E75BA"/>
    <w:lvl w:ilvl="0" w:tplc="0C0A0007">
      <w:start w:val="1"/>
      <w:numFmt w:val="bullet"/>
      <w:lvlText w:val=""/>
      <w:lvlPicBulletId w:val="0"/>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2">
    <w:nsid w:val="1CF46E05"/>
    <w:multiLevelType w:val="hybridMultilevel"/>
    <w:tmpl w:val="46964EF2"/>
    <w:lvl w:ilvl="0" w:tplc="70502412">
      <w:start w:val="5"/>
      <w:numFmt w:val="bullet"/>
      <w:lvlText w:val="-"/>
      <w:lvlJc w:val="left"/>
      <w:pPr>
        <w:ind w:left="1788" w:hanging="360"/>
      </w:pPr>
      <w:rPr>
        <w:rFonts w:ascii="Courier" w:eastAsia="Times New Roman" w:hAnsi="Courier" w:cs="Times New Roman"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3">
    <w:nsid w:val="2D51255B"/>
    <w:multiLevelType w:val="hybridMultilevel"/>
    <w:tmpl w:val="B2E8172E"/>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322D3515"/>
    <w:multiLevelType w:val="hybridMultilevel"/>
    <w:tmpl w:val="0096E94C"/>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36F341FB"/>
    <w:multiLevelType w:val="hybridMultilevel"/>
    <w:tmpl w:val="1812D182"/>
    <w:lvl w:ilvl="0" w:tplc="0C0A0007">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FC533A9"/>
    <w:multiLevelType w:val="hybridMultilevel"/>
    <w:tmpl w:val="3C784B46"/>
    <w:lvl w:ilvl="0" w:tplc="0C0A0007">
      <w:start w:val="1"/>
      <w:numFmt w:val="bullet"/>
      <w:lvlText w:val=""/>
      <w:lvlPicBulletId w:val="0"/>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43E609AA"/>
    <w:multiLevelType w:val="hybridMultilevel"/>
    <w:tmpl w:val="DD9E7D02"/>
    <w:lvl w:ilvl="0" w:tplc="0C0A0007">
      <w:start w:val="1"/>
      <w:numFmt w:val="bullet"/>
      <w:lvlText w:val=""/>
      <w:lvlPicBulletId w:val="0"/>
      <w:lvlJc w:val="left"/>
      <w:pPr>
        <w:ind w:left="1365" w:hanging="360"/>
      </w:pPr>
      <w:rPr>
        <w:rFonts w:ascii="Symbol" w:hAnsi="Symbol" w:hint="default"/>
      </w:rPr>
    </w:lvl>
    <w:lvl w:ilvl="1" w:tplc="440A0003" w:tentative="1">
      <w:start w:val="1"/>
      <w:numFmt w:val="bullet"/>
      <w:lvlText w:val="o"/>
      <w:lvlJc w:val="left"/>
      <w:pPr>
        <w:ind w:left="2085" w:hanging="360"/>
      </w:pPr>
      <w:rPr>
        <w:rFonts w:ascii="Courier New" w:hAnsi="Courier New" w:cs="Courier New" w:hint="default"/>
      </w:rPr>
    </w:lvl>
    <w:lvl w:ilvl="2" w:tplc="440A0005" w:tentative="1">
      <w:start w:val="1"/>
      <w:numFmt w:val="bullet"/>
      <w:lvlText w:val=""/>
      <w:lvlJc w:val="left"/>
      <w:pPr>
        <w:ind w:left="2805" w:hanging="360"/>
      </w:pPr>
      <w:rPr>
        <w:rFonts w:ascii="Wingdings" w:hAnsi="Wingdings" w:hint="default"/>
      </w:rPr>
    </w:lvl>
    <w:lvl w:ilvl="3" w:tplc="440A0001" w:tentative="1">
      <w:start w:val="1"/>
      <w:numFmt w:val="bullet"/>
      <w:lvlText w:val=""/>
      <w:lvlJc w:val="left"/>
      <w:pPr>
        <w:ind w:left="3525" w:hanging="360"/>
      </w:pPr>
      <w:rPr>
        <w:rFonts w:ascii="Symbol" w:hAnsi="Symbol" w:hint="default"/>
      </w:rPr>
    </w:lvl>
    <w:lvl w:ilvl="4" w:tplc="440A0003" w:tentative="1">
      <w:start w:val="1"/>
      <w:numFmt w:val="bullet"/>
      <w:lvlText w:val="o"/>
      <w:lvlJc w:val="left"/>
      <w:pPr>
        <w:ind w:left="4245" w:hanging="360"/>
      </w:pPr>
      <w:rPr>
        <w:rFonts w:ascii="Courier New" w:hAnsi="Courier New" w:cs="Courier New" w:hint="default"/>
      </w:rPr>
    </w:lvl>
    <w:lvl w:ilvl="5" w:tplc="440A0005" w:tentative="1">
      <w:start w:val="1"/>
      <w:numFmt w:val="bullet"/>
      <w:lvlText w:val=""/>
      <w:lvlJc w:val="left"/>
      <w:pPr>
        <w:ind w:left="4965" w:hanging="360"/>
      </w:pPr>
      <w:rPr>
        <w:rFonts w:ascii="Wingdings" w:hAnsi="Wingdings" w:hint="default"/>
      </w:rPr>
    </w:lvl>
    <w:lvl w:ilvl="6" w:tplc="440A0001" w:tentative="1">
      <w:start w:val="1"/>
      <w:numFmt w:val="bullet"/>
      <w:lvlText w:val=""/>
      <w:lvlJc w:val="left"/>
      <w:pPr>
        <w:ind w:left="5685" w:hanging="360"/>
      </w:pPr>
      <w:rPr>
        <w:rFonts w:ascii="Symbol" w:hAnsi="Symbol" w:hint="default"/>
      </w:rPr>
    </w:lvl>
    <w:lvl w:ilvl="7" w:tplc="440A0003" w:tentative="1">
      <w:start w:val="1"/>
      <w:numFmt w:val="bullet"/>
      <w:lvlText w:val="o"/>
      <w:lvlJc w:val="left"/>
      <w:pPr>
        <w:ind w:left="6405" w:hanging="360"/>
      </w:pPr>
      <w:rPr>
        <w:rFonts w:ascii="Courier New" w:hAnsi="Courier New" w:cs="Courier New" w:hint="default"/>
      </w:rPr>
    </w:lvl>
    <w:lvl w:ilvl="8" w:tplc="440A0005" w:tentative="1">
      <w:start w:val="1"/>
      <w:numFmt w:val="bullet"/>
      <w:lvlText w:val=""/>
      <w:lvlJc w:val="left"/>
      <w:pPr>
        <w:ind w:left="7125" w:hanging="360"/>
      </w:pPr>
      <w:rPr>
        <w:rFonts w:ascii="Wingdings" w:hAnsi="Wingdings" w:hint="default"/>
      </w:rPr>
    </w:lvl>
  </w:abstractNum>
  <w:abstractNum w:abstractNumId="8">
    <w:nsid w:val="55BB1BCF"/>
    <w:multiLevelType w:val="hybridMultilevel"/>
    <w:tmpl w:val="F3DC0134"/>
    <w:lvl w:ilvl="0" w:tplc="33CEE900">
      <w:start w:val="1"/>
      <w:numFmt w:val="bullet"/>
      <w:lvlText w:val=""/>
      <w:lvlJc w:val="left"/>
      <w:pPr>
        <w:ind w:left="1724" w:hanging="360"/>
      </w:pPr>
      <w:rPr>
        <w:rFonts w:ascii="Symbol" w:hAnsi="Symbol" w:hint="default"/>
        <w:color w:val="auto"/>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9">
    <w:nsid w:val="65A6696C"/>
    <w:multiLevelType w:val="hybridMultilevel"/>
    <w:tmpl w:val="4DE84034"/>
    <w:lvl w:ilvl="0" w:tplc="7B468FC6">
      <w:start w:val="1"/>
      <w:numFmt w:val="lowerLetter"/>
      <w:lvlText w:val="%1)"/>
      <w:lvlJc w:val="left"/>
      <w:pPr>
        <w:ind w:left="1069" w:hanging="360"/>
      </w:pPr>
      <w:rPr>
        <w:rFonts w:hint="default"/>
        <w:b/>
        <w:color w:val="0033CC"/>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nsid w:val="67D81BF7"/>
    <w:multiLevelType w:val="hybridMultilevel"/>
    <w:tmpl w:val="F318839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6A1B49C7"/>
    <w:multiLevelType w:val="hybridMultilevel"/>
    <w:tmpl w:val="C46CF3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B0D124C"/>
    <w:multiLevelType w:val="hybridMultilevel"/>
    <w:tmpl w:val="63809C16"/>
    <w:lvl w:ilvl="0" w:tplc="0C0A0007">
      <w:start w:val="1"/>
      <w:numFmt w:val="bullet"/>
      <w:lvlText w:val=""/>
      <w:lvlPicBulletId w:val="0"/>
      <w:lvlJc w:val="left"/>
      <w:pPr>
        <w:ind w:left="1004" w:hanging="720"/>
      </w:pPr>
      <w:rPr>
        <w:rFonts w:ascii="Symbol" w:hAnsi="Symbol" w:hint="default"/>
        <w:b/>
        <w:color w:val="2A06A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67C55C0"/>
    <w:multiLevelType w:val="hybridMultilevel"/>
    <w:tmpl w:val="BEB0FA20"/>
    <w:lvl w:ilvl="0" w:tplc="0C0A0007">
      <w:start w:val="1"/>
      <w:numFmt w:val="bullet"/>
      <w:lvlText w:val=""/>
      <w:lvlPicBulletId w:val="0"/>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7AC64FD0"/>
    <w:multiLevelType w:val="hybridMultilevel"/>
    <w:tmpl w:val="54A6FA56"/>
    <w:lvl w:ilvl="0" w:tplc="0C0A0007">
      <w:start w:val="1"/>
      <w:numFmt w:val="bullet"/>
      <w:lvlText w:val=""/>
      <w:lvlPicBulletId w:val="0"/>
      <w:lvlJc w:val="left"/>
      <w:pPr>
        <w:ind w:left="2444" w:hanging="360"/>
      </w:pPr>
      <w:rPr>
        <w:rFonts w:ascii="Symbol" w:hAnsi="Symbol" w:hint="default"/>
      </w:rPr>
    </w:lvl>
    <w:lvl w:ilvl="1" w:tplc="0C0A0003" w:tentative="1">
      <w:start w:val="1"/>
      <w:numFmt w:val="bullet"/>
      <w:lvlText w:val="o"/>
      <w:lvlJc w:val="left"/>
      <w:pPr>
        <w:ind w:left="3164" w:hanging="360"/>
      </w:pPr>
      <w:rPr>
        <w:rFonts w:ascii="Courier New" w:hAnsi="Courier New" w:cs="Courier New" w:hint="default"/>
      </w:rPr>
    </w:lvl>
    <w:lvl w:ilvl="2" w:tplc="0C0A0005" w:tentative="1">
      <w:start w:val="1"/>
      <w:numFmt w:val="bullet"/>
      <w:lvlText w:val=""/>
      <w:lvlJc w:val="left"/>
      <w:pPr>
        <w:ind w:left="3884" w:hanging="360"/>
      </w:pPr>
      <w:rPr>
        <w:rFonts w:ascii="Wingdings" w:hAnsi="Wingdings" w:hint="default"/>
      </w:rPr>
    </w:lvl>
    <w:lvl w:ilvl="3" w:tplc="0C0A0001" w:tentative="1">
      <w:start w:val="1"/>
      <w:numFmt w:val="bullet"/>
      <w:lvlText w:val=""/>
      <w:lvlJc w:val="left"/>
      <w:pPr>
        <w:ind w:left="4604" w:hanging="360"/>
      </w:pPr>
      <w:rPr>
        <w:rFonts w:ascii="Symbol" w:hAnsi="Symbol" w:hint="default"/>
      </w:rPr>
    </w:lvl>
    <w:lvl w:ilvl="4" w:tplc="0C0A0003" w:tentative="1">
      <w:start w:val="1"/>
      <w:numFmt w:val="bullet"/>
      <w:lvlText w:val="o"/>
      <w:lvlJc w:val="left"/>
      <w:pPr>
        <w:ind w:left="5324" w:hanging="360"/>
      </w:pPr>
      <w:rPr>
        <w:rFonts w:ascii="Courier New" w:hAnsi="Courier New" w:cs="Courier New" w:hint="default"/>
      </w:rPr>
    </w:lvl>
    <w:lvl w:ilvl="5" w:tplc="0C0A0005" w:tentative="1">
      <w:start w:val="1"/>
      <w:numFmt w:val="bullet"/>
      <w:lvlText w:val=""/>
      <w:lvlJc w:val="left"/>
      <w:pPr>
        <w:ind w:left="6044" w:hanging="360"/>
      </w:pPr>
      <w:rPr>
        <w:rFonts w:ascii="Wingdings" w:hAnsi="Wingdings" w:hint="default"/>
      </w:rPr>
    </w:lvl>
    <w:lvl w:ilvl="6" w:tplc="0C0A0001" w:tentative="1">
      <w:start w:val="1"/>
      <w:numFmt w:val="bullet"/>
      <w:lvlText w:val=""/>
      <w:lvlJc w:val="left"/>
      <w:pPr>
        <w:ind w:left="6764" w:hanging="360"/>
      </w:pPr>
      <w:rPr>
        <w:rFonts w:ascii="Symbol" w:hAnsi="Symbol" w:hint="default"/>
      </w:rPr>
    </w:lvl>
    <w:lvl w:ilvl="7" w:tplc="0C0A0003" w:tentative="1">
      <w:start w:val="1"/>
      <w:numFmt w:val="bullet"/>
      <w:lvlText w:val="o"/>
      <w:lvlJc w:val="left"/>
      <w:pPr>
        <w:ind w:left="7484" w:hanging="360"/>
      </w:pPr>
      <w:rPr>
        <w:rFonts w:ascii="Courier New" w:hAnsi="Courier New" w:cs="Courier New" w:hint="default"/>
      </w:rPr>
    </w:lvl>
    <w:lvl w:ilvl="8" w:tplc="0C0A0005" w:tentative="1">
      <w:start w:val="1"/>
      <w:numFmt w:val="bullet"/>
      <w:lvlText w:val=""/>
      <w:lvlJc w:val="left"/>
      <w:pPr>
        <w:ind w:left="8204" w:hanging="360"/>
      </w:pPr>
      <w:rPr>
        <w:rFonts w:ascii="Wingdings" w:hAnsi="Wingdings" w:hint="default"/>
      </w:rPr>
    </w:lvl>
  </w:abstractNum>
  <w:abstractNum w:abstractNumId="15">
    <w:nsid w:val="7F9126E5"/>
    <w:multiLevelType w:val="hybridMultilevel"/>
    <w:tmpl w:val="A894E1B4"/>
    <w:lvl w:ilvl="0" w:tplc="A13AB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14"/>
  </w:num>
  <w:num w:numId="5">
    <w:abstractNumId w:val="3"/>
  </w:num>
  <w:num w:numId="6">
    <w:abstractNumId w:val="6"/>
  </w:num>
  <w:num w:numId="7">
    <w:abstractNumId w:val="5"/>
  </w:num>
  <w:num w:numId="8">
    <w:abstractNumId w:val="13"/>
  </w:num>
  <w:num w:numId="9">
    <w:abstractNumId w:val="9"/>
  </w:num>
  <w:num w:numId="10">
    <w:abstractNumId w:val="11"/>
  </w:num>
  <w:num w:numId="11">
    <w:abstractNumId w:val="0"/>
  </w:num>
  <w:num w:numId="12">
    <w:abstractNumId w:val="4"/>
  </w:num>
  <w:num w:numId="13">
    <w:abstractNumId w:val="10"/>
  </w:num>
  <w:num w:numId="14">
    <w:abstractNumId w:val="2"/>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73CD"/>
    <w:rsid w:val="006F7C56"/>
    <w:rsid w:val="009673CD"/>
    <w:rsid w:val="00C8204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673CD"/>
    <w:pPr>
      <w:spacing w:before="100" w:beforeAutospacing="1" w:after="100" w:afterAutospacing="1"/>
    </w:pPr>
  </w:style>
  <w:style w:type="paragraph" w:styleId="Textoindependiente3">
    <w:name w:val="Body Text 3"/>
    <w:basedOn w:val="Normal"/>
    <w:link w:val="Textoindependiente3Car"/>
    <w:uiPriority w:val="99"/>
    <w:semiHidden/>
    <w:unhideWhenUsed/>
    <w:rsid w:val="009673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73CD"/>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9673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D93E-AEFA-40A7-B6F0-4B2EFE2D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1096</Words>
  <Characters>6032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mvalladares</dc:creator>
  <cp:keywords/>
  <dc:description/>
  <cp:lastModifiedBy>mvalladares</cp:lastModifiedBy>
  <cp:revision>1</cp:revision>
  <dcterms:created xsi:type="dcterms:W3CDTF">2012-01-20T17:14:00Z</dcterms:created>
  <dcterms:modified xsi:type="dcterms:W3CDTF">2012-01-20T17:38:00Z</dcterms:modified>
</cp:coreProperties>
</file>