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F4" w:rsidRDefault="008F1B5B" w:rsidP="000D60F4">
      <w:pPr>
        <w:jc w:val="right"/>
        <w:rPr>
          <w:color w:val="7F7F7F"/>
          <w:sz w:val="32"/>
          <w:szCs w:val="32"/>
        </w:rPr>
      </w:pPr>
      <w:r w:rsidRPr="008F1B5B">
        <w:rPr>
          <w:noProof/>
          <w:color w:val="C4BC96"/>
          <w:sz w:val="32"/>
          <w:szCs w:val="32"/>
        </w:rPr>
        <w:pict>
          <v:group id="_x0000_s1026" style="position:absolute;left:0;text-align:left;margin-left:0;margin-top:.75pt;width:595.1pt;height:841.9pt;z-index:-251655168;mso-width-percent:1000;mso-height-percent:1000;mso-position-horizontal-relative:page;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red" stroked="f"/>
            <v:rect id="_x0000_s1028" style="position:absolute;left:612;top:638;width:11016;height:14564;mso-width-percent:900;mso-height-percent:920;mso-position-horizontal:center;mso-position-horizontal-relative:page;mso-position-vertical:center;mso-position-vertical-relative:page;mso-width-percent:900;mso-height-percent:920" stroked="f"/>
            <w10:wrap anchorx="page" anchory="page"/>
          </v:group>
        </w:pict>
      </w:r>
    </w:p>
    <w:tbl>
      <w:tblPr>
        <w:tblpPr w:leftFromText="187" w:rightFromText="187" w:horzAnchor="margin" w:tblpXSpec="center" w:tblpYSpec="bottom"/>
        <w:tblOverlap w:val="never"/>
        <w:tblW w:w="0" w:type="auto"/>
        <w:tblLook w:val="04A0"/>
      </w:tblPr>
      <w:tblGrid>
        <w:gridCol w:w="8720"/>
      </w:tblGrid>
      <w:tr w:rsidR="000D60F4" w:rsidTr="00705011">
        <w:tc>
          <w:tcPr>
            <w:tcW w:w="9576" w:type="dxa"/>
          </w:tcPr>
          <w:p w:rsidR="000D60F4" w:rsidRDefault="000D60F4" w:rsidP="00705011">
            <w:pPr>
              <w:pStyle w:val="Sinespaciado"/>
              <w:jc w:val="center"/>
              <w:rPr>
                <w:color w:val="7F7F7F"/>
                <w:sz w:val="32"/>
                <w:szCs w:val="32"/>
              </w:rPr>
            </w:pPr>
          </w:p>
        </w:tc>
      </w:tr>
    </w:tbl>
    <w:p w:rsidR="000D60F4" w:rsidRDefault="000D60F4" w:rsidP="000D60F4">
      <w:pPr>
        <w:jc w:val="right"/>
        <w:rPr>
          <w:color w:val="7F7F7F"/>
          <w:sz w:val="32"/>
          <w:szCs w:val="32"/>
        </w:rPr>
      </w:pPr>
    </w:p>
    <w:p w:rsidR="000D60F4" w:rsidRPr="006960A7" w:rsidRDefault="00D90CAA" w:rsidP="000D60F4">
      <w:pPr>
        <w:autoSpaceDE w:val="0"/>
        <w:autoSpaceDN w:val="0"/>
        <w:adjustRightInd w:val="0"/>
        <w:spacing w:after="0"/>
        <w:jc w:val="center"/>
        <w:rPr>
          <w:rFonts w:ascii="Times New Roman" w:hAnsi="Times New Roman"/>
          <w:b/>
          <w:szCs w:val="24"/>
          <w:u w:val="single"/>
        </w:rPr>
      </w:pPr>
      <w:r w:rsidRPr="008F1B5B">
        <w:rPr>
          <w:noProof/>
          <w:color w:val="C4BC96"/>
          <w:sz w:val="32"/>
          <w:szCs w:val="32"/>
        </w:rPr>
        <w:pict>
          <v:rect id="_x0000_s1029" style="position:absolute;left:0;text-align:left;margin-left:29.75pt;margin-top:369.2pt;width:535.65pt;height:140.9pt;z-index:251662336;mso-width-percent:900;mso-position-horizontal-relative:page;mso-position-vertical-relative:page;mso-width-percent:900" o:allowincell="f" fillcolor="#a5a5a5" stroked="f">
            <v:fill opacity="58982f"/>
            <v:textbox style="mso-next-textbox:#_x0000_s1029;mso-fit-shape-to-text:t" inset="18pt,0,18pt,0">
              <w:txbxContent>
                <w:tbl>
                  <w:tblPr>
                    <w:tblW w:w="5000" w:type="pct"/>
                    <w:tblCellMar>
                      <w:left w:w="360" w:type="dxa"/>
                      <w:right w:w="360" w:type="dxa"/>
                    </w:tblCellMar>
                    <w:tblLook w:val="04A0"/>
                  </w:tblPr>
                  <w:tblGrid>
                    <w:gridCol w:w="2367"/>
                    <w:gridCol w:w="8362"/>
                  </w:tblGrid>
                  <w:tr w:rsidR="00D90CAA" w:rsidRPr="00773961" w:rsidTr="00705011">
                    <w:trPr>
                      <w:trHeight w:val="1080"/>
                    </w:trPr>
                    <w:tc>
                      <w:tcPr>
                        <w:tcW w:w="1000" w:type="pct"/>
                        <w:shd w:val="clear" w:color="auto" w:fill="000000"/>
                        <w:vAlign w:val="center"/>
                      </w:tcPr>
                      <w:p w:rsidR="00D3584F" w:rsidRPr="00773961" w:rsidRDefault="00D3584F" w:rsidP="00705011">
                        <w:pPr>
                          <w:pStyle w:val="Sinespaciado"/>
                          <w:rPr>
                            <w:rFonts w:ascii="Copperplate Gothic Bold" w:hAnsi="Copperplate Gothic Bold"/>
                            <w:smallCaps/>
                            <w:sz w:val="28"/>
                            <w:szCs w:val="40"/>
                          </w:rPr>
                        </w:pPr>
                        <w:r w:rsidRPr="00773961">
                          <w:rPr>
                            <w:rFonts w:ascii="Copperplate Gothic Bold" w:hAnsi="Copperplate Gothic Bold"/>
                            <w:smallCaps/>
                            <w:sz w:val="28"/>
                            <w:szCs w:val="40"/>
                            <w:lang w:val="es-SV"/>
                          </w:rPr>
                          <w:t>Asociación Atlacatl Vivo Positivo</w:t>
                        </w:r>
                      </w:p>
                    </w:tc>
                    <w:tc>
                      <w:tcPr>
                        <w:tcW w:w="4000" w:type="pct"/>
                        <w:shd w:val="clear" w:color="auto" w:fill="92D050"/>
                        <w:vAlign w:val="center"/>
                      </w:tcPr>
                      <w:p w:rsidR="00D90CAA" w:rsidRDefault="00D3584F" w:rsidP="00705011">
                        <w:pPr>
                          <w:rPr>
                            <w:rFonts w:ascii="Copperplate Gothic Bold" w:hAnsi="Copperplate Gothic Bold"/>
                            <w:sz w:val="36"/>
                            <w:szCs w:val="36"/>
                          </w:rPr>
                        </w:pPr>
                        <w:bookmarkStart w:id="0" w:name="_Toc299639246"/>
                        <w:r>
                          <w:rPr>
                            <w:rFonts w:ascii="Copperplate Gothic Bold" w:hAnsi="Copperplate Gothic Bold"/>
                            <w:sz w:val="36"/>
                            <w:szCs w:val="36"/>
                          </w:rPr>
                          <w:t>Marco Legal</w:t>
                        </w:r>
                        <w:r w:rsidRPr="000D60F4">
                          <w:rPr>
                            <w:rFonts w:ascii="Copperplate Gothic Bold" w:hAnsi="Copperplate Gothic Bold"/>
                            <w:sz w:val="36"/>
                            <w:szCs w:val="36"/>
                          </w:rPr>
                          <w:t xml:space="preserve"> </w:t>
                        </w:r>
                        <w:r>
                          <w:rPr>
                            <w:rFonts w:ascii="Copperplate Gothic Bold" w:hAnsi="Copperplate Gothic Bold"/>
                            <w:sz w:val="36"/>
                            <w:szCs w:val="36"/>
                          </w:rPr>
                          <w:t xml:space="preserve">Nacional e Internacional </w:t>
                        </w:r>
                        <w:r w:rsidRPr="000D60F4">
                          <w:rPr>
                            <w:rFonts w:ascii="Copperplate Gothic Bold" w:hAnsi="Copperplate Gothic Bold"/>
                            <w:sz w:val="36"/>
                            <w:szCs w:val="36"/>
                          </w:rPr>
                          <w:t>de la epidemia de VIH-</w:t>
                        </w:r>
                        <w:r>
                          <w:rPr>
                            <w:rFonts w:ascii="Copperplate Gothic Bold" w:hAnsi="Copperplate Gothic Bold"/>
                            <w:sz w:val="36"/>
                            <w:szCs w:val="36"/>
                          </w:rPr>
                          <w:t xml:space="preserve">VIH avanzado </w:t>
                        </w:r>
                        <w:r w:rsidRPr="000D60F4">
                          <w:rPr>
                            <w:rFonts w:ascii="Copperplate Gothic Bold" w:hAnsi="Copperplate Gothic Bold"/>
                            <w:sz w:val="36"/>
                            <w:szCs w:val="36"/>
                          </w:rPr>
                          <w:t>en El Salvador.</w:t>
                        </w:r>
                        <w:bookmarkEnd w:id="0"/>
                      </w:p>
                      <w:p w:rsidR="00D90CAA" w:rsidRPr="000D60F4" w:rsidRDefault="00D90CAA" w:rsidP="00705011">
                        <w:pPr>
                          <w:rPr>
                            <w:rFonts w:ascii="Copperplate Gothic Bold" w:hAnsi="Copperplate Gothic Bold"/>
                            <w:sz w:val="36"/>
                            <w:szCs w:val="36"/>
                          </w:rPr>
                        </w:pPr>
                        <w:r>
                          <w:rPr>
                            <w:rFonts w:ascii="Copperplate Gothic Bold" w:hAnsi="Copperplate Gothic Bold"/>
                            <w:sz w:val="36"/>
                            <w:szCs w:val="36"/>
                          </w:rPr>
                          <w:t xml:space="preserve">Lic. Julio Magaña </w:t>
                        </w:r>
                      </w:p>
                    </w:tc>
                  </w:tr>
                </w:tbl>
                <w:p w:rsidR="00D3584F" w:rsidRPr="00773961" w:rsidRDefault="00D3584F" w:rsidP="000D60F4">
                  <w:pPr>
                    <w:pStyle w:val="Sinespaciado"/>
                    <w:spacing w:line="14" w:lineRule="exact"/>
                    <w:rPr>
                      <w:sz w:val="20"/>
                    </w:rPr>
                  </w:pPr>
                </w:p>
              </w:txbxContent>
            </v:textbox>
            <w10:wrap anchorx="page" anchory="page"/>
          </v:rect>
        </w:pict>
      </w:r>
      <w:r w:rsidR="000D60F4">
        <w:rPr>
          <w:noProof/>
          <w:sz w:val="32"/>
          <w:szCs w:val="32"/>
          <w:lang w:val="es-SV" w:eastAsia="es-SV"/>
        </w:rPr>
        <w:drawing>
          <wp:anchor distT="0" distB="0" distL="114300" distR="114300" simplePos="0" relativeHeight="251660288" behindDoc="0" locked="0" layoutInCell="1" allowOverlap="1">
            <wp:simplePos x="0" y="0"/>
            <wp:positionH relativeFrom="column">
              <wp:posOffset>1482090</wp:posOffset>
            </wp:positionH>
            <wp:positionV relativeFrom="paragraph">
              <wp:posOffset>250825</wp:posOffset>
            </wp:positionV>
            <wp:extent cx="2362200" cy="2362200"/>
            <wp:effectExtent l="19050" t="0" r="0" b="0"/>
            <wp:wrapNone/>
            <wp:docPr id="3" name="Imagen 6" descr="Logo Atlacat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Atlacatl[1]"/>
                    <pic:cNvPicPr>
                      <a:picLocks noChangeAspect="1" noChangeArrowheads="1"/>
                    </pic:cNvPicPr>
                  </pic:nvPicPr>
                  <pic:blipFill>
                    <a:blip r:embed="rId8" cstate="print"/>
                    <a:srcRect/>
                    <a:stretch>
                      <a:fillRect/>
                    </a:stretch>
                  </pic:blipFill>
                  <pic:spPr bwMode="auto">
                    <a:xfrm>
                      <a:off x="0" y="0"/>
                      <a:ext cx="2362200" cy="2362200"/>
                    </a:xfrm>
                    <a:prstGeom prst="rect">
                      <a:avLst/>
                    </a:prstGeom>
                    <a:noFill/>
                    <a:ln w="9525">
                      <a:noFill/>
                      <a:miter lim="800000"/>
                      <a:headEnd/>
                      <a:tailEnd/>
                    </a:ln>
                  </pic:spPr>
                </pic:pic>
              </a:graphicData>
            </a:graphic>
          </wp:anchor>
        </w:drawing>
      </w:r>
      <w:r w:rsidR="000D60F4">
        <w:rPr>
          <w:rFonts w:cs="Arial"/>
          <w:b/>
          <w:szCs w:val="24"/>
        </w:rPr>
        <w:br w:type="page"/>
      </w:r>
      <w:r w:rsidR="000D60F4" w:rsidRPr="006960A7">
        <w:rPr>
          <w:rFonts w:ascii="Times New Roman" w:hAnsi="Times New Roman"/>
          <w:b/>
          <w:szCs w:val="24"/>
          <w:u w:val="single"/>
        </w:rPr>
        <w:lastRenderedPageBreak/>
        <w:t>INDICE.</w:t>
      </w:r>
    </w:p>
    <w:p w:rsidR="00F2311E" w:rsidRPr="00811B90" w:rsidRDefault="00F2311E" w:rsidP="000D60F4">
      <w:pPr>
        <w:autoSpaceDE w:val="0"/>
        <w:autoSpaceDN w:val="0"/>
        <w:adjustRightInd w:val="0"/>
        <w:spacing w:after="0"/>
        <w:jc w:val="center"/>
        <w:rPr>
          <w:rFonts w:ascii="Times New Roman" w:hAnsi="Times New Roman"/>
          <w:b/>
          <w:szCs w:val="24"/>
        </w:rPr>
      </w:pPr>
    </w:p>
    <w:p w:rsidR="003D3C9F" w:rsidRPr="003D3C9F" w:rsidRDefault="008F1B5B" w:rsidP="003D3C9F">
      <w:pPr>
        <w:pStyle w:val="TDC1"/>
        <w:tabs>
          <w:tab w:val="right" w:leader="dot" w:pos="8494"/>
        </w:tabs>
        <w:rPr>
          <w:rFonts w:ascii="Arial" w:eastAsiaTheme="minorEastAsia" w:hAnsi="Arial" w:cs="Arial"/>
          <w:b w:val="0"/>
          <w:bCs w:val="0"/>
          <w:caps w:val="0"/>
          <w:noProof/>
          <w:sz w:val="24"/>
          <w:szCs w:val="24"/>
          <w:lang w:eastAsia="es-ES"/>
        </w:rPr>
      </w:pPr>
      <w:r w:rsidRPr="008F1B5B">
        <w:rPr>
          <w:rFonts w:ascii="Times New Roman" w:hAnsi="Times New Roman"/>
          <w:b w:val="0"/>
          <w:sz w:val="24"/>
          <w:szCs w:val="24"/>
        </w:rPr>
        <w:fldChar w:fldCharType="begin"/>
      </w:r>
      <w:r w:rsidR="000D60F4" w:rsidRPr="00F2311E">
        <w:rPr>
          <w:rFonts w:ascii="Times New Roman" w:hAnsi="Times New Roman"/>
          <w:b w:val="0"/>
          <w:sz w:val="24"/>
          <w:szCs w:val="24"/>
        </w:rPr>
        <w:instrText xml:space="preserve"> TOC \o "1-5" \h \z \u </w:instrText>
      </w:r>
      <w:r w:rsidRPr="008F1B5B">
        <w:rPr>
          <w:rFonts w:ascii="Times New Roman" w:hAnsi="Times New Roman"/>
          <w:b w:val="0"/>
          <w:sz w:val="24"/>
          <w:szCs w:val="24"/>
        </w:rPr>
        <w:fldChar w:fldCharType="separate"/>
      </w:r>
      <w:hyperlink w:anchor="_Toc320694966" w:history="1">
        <w:r w:rsidR="003D3C9F" w:rsidRPr="003D3C9F">
          <w:rPr>
            <w:rStyle w:val="Hipervnculo"/>
            <w:rFonts w:ascii="Arial" w:hAnsi="Arial" w:cs="Arial"/>
            <w:noProof/>
            <w:sz w:val="24"/>
            <w:szCs w:val="24"/>
          </w:rPr>
          <w:t>IntroducciÓn.</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_Toc320694966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i</w:t>
        </w:r>
        <w:r w:rsidRPr="003D3C9F">
          <w:rPr>
            <w:rFonts w:ascii="Arial" w:hAnsi="Arial" w:cs="Arial"/>
            <w:noProof/>
            <w:webHidden/>
            <w:sz w:val="24"/>
            <w:szCs w:val="24"/>
          </w:rPr>
          <w:fldChar w:fldCharType="end"/>
        </w:r>
      </w:hyperlink>
    </w:p>
    <w:p w:rsidR="003D3C9F" w:rsidRPr="003D3C9F" w:rsidRDefault="008F1B5B" w:rsidP="003D3C9F">
      <w:pPr>
        <w:pStyle w:val="TDC1"/>
        <w:tabs>
          <w:tab w:val="right" w:leader="dot" w:pos="8494"/>
        </w:tabs>
        <w:rPr>
          <w:rFonts w:ascii="Arial" w:eastAsiaTheme="minorEastAsia" w:hAnsi="Arial" w:cs="Arial"/>
          <w:b w:val="0"/>
          <w:bCs w:val="0"/>
          <w:caps w:val="0"/>
          <w:noProof/>
          <w:sz w:val="24"/>
          <w:szCs w:val="24"/>
          <w:lang w:eastAsia="es-ES"/>
        </w:rPr>
      </w:pPr>
      <w:hyperlink w:anchor="_Toc320694967" w:history="1">
        <w:r w:rsidR="003D3C9F" w:rsidRPr="003D3C9F">
          <w:rPr>
            <w:rStyle w:val="Hipervnculo"/>
            <w:rFonts w:ascii="Arial" w:hAnsi="Arial" w:cs="Arial"/>
            <w:noProof/>
            <w:sz w:val="24"/>
            <w:szCs w:val="24"/>
          </w:rPr>
          <w:t>Marco Legal Nacional e Internacional de la epidemia de VIH-VIH Avanzado en El Salvador.</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_Toc320694967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w:t>
        </w:r>
        <w:r w:rsidRPr="003D3C9F">
          <w:rPr>
            <w:rFonts w:ascii="Arial" w:hAnsi="Arial" w:cs="Arial"/>
            <w:noProof/>
            <w:webHidden/>
            <w:sz w:val="24"/>
            <w:szCs w:val="24"/>
          </w:rPr>
          <w:fldChar w:fldCharType="end"/>
        </w:r>
      </w:hyperlink>
    </w:p>
    <w:p w:rsidR="003D3C9F" w:rsidRPr="003D3C9F" w:rsidRDefault="008F1B5B" w:rsidP="003D3C9F">
      <w:pPr>
        <w:pStyle w:val="TDC2"/>
        <w:tabs>
          <w:tab w:val="left" w:pos="660"/>
          <w:tab w:val="right" w:leader="dot" w:pos="8494"/>
        </w:tabs>
        <w:rPr>
          <w:rFonts w:ascii="Arial" w:eastAsiaTheme="minorEastAsia" w:hAnsi="Arial" w:cs="Arial"/>
          <w:smallCaps w:val="0"/>
          <w:noProof/>
          <w:sz w:val="24"/>
          <w:szCs w:val="24"/>
          <w:lang w:eastAsia="es-ES"/>
        </w:rPr>
      </w:pPr>
      <w:hyperlink w:anchor="_Toc320694968" w:history="1">
        <w:r w:rsidR="003D3C9F" w:rsidRPr="003D3C9F">
          <w:rPr>
            <w:rStyle w:val="Hipervnculo"/>
            <w:rFonts w:ascii="Arial" w:hAnsi="Arial" w:cs="Arial"/>
            <w:noProof/>
            <w:sz w:val="24"/>
            <w:szCs w:val="24"/>
          </w:rPr>
          <w:t>1.</w:t>
        </w:r>
        <w:r w:rsidR="003D3C9F" w:rsidRPr="003D3C9F">
          <w:rPr>
            <w:rFonts w:ascii="Arial" w:eastAsiaTheme="minorEastAsia" w:hAnsi="Arial" w:cs="Arial"/>
            <w:smallCaps w:val="0"/>
            <w:noProof/>
            <w:sz w:val="24"/>
            <w:szCs w:val="24"/>
            <w:lang w:eastAsia="es-ES"/>
          </w:rPr>
          <w:tab/>
        </w:r>
        <w:r w:rsidR="003D3C9F" w:rsidRPr="003D3C9F">
          <w:rPr>
            <w:rStyle w:val="Hipervnculo"/>
            <w:rFonts w:ascii="Arial" w:hAnsi="Arial" w:cs="Arial"/>
            <w:b/>
            <w:noProof/>
            <w:sz w:val="24"/>
            <w:szCs w:val="24"/>
          </w:rPr>
          <w:t>Marco Legal Nacional</w:t>
        </w:r>
        <w:r w:rsidR="003D3C9F" w:rsidRPr="003D3C9F">
          <w:rPr>
            <w:rStyle w:val="Hipervnculo"/>
            <w:rFonts w:ascii="Arial" w:hAnsi="Arial" w:cs="Arial"/>
            <w:noProof/>
            <w:sz w:val="24"/>
            <w:szCs w:val="24"/>
          </w:rPr>
          <w:t>.</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_Toc320694968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69" w:history="1">
        <w:r w:rsidR="003D3C9F" w:rsidRPr="003D3C9F">
          <w:rPr>
            <w:rStyle w:val="Hipervnculo"/>
            <w:rFonts w:ascii="Arial" w:hAnsi="Arial" w:cs="Arial"/>
            <w:noProof/>
            <w:sz w:val="24"/>
            <w:szCs w:val="24"/>
          </w:rPr>
          <w:t>1.1</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Constitucion de la República.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_Toc320694969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0" w:history="1">
        <w:r w:rsidR="003D3C9F" w:rsidRPr="003D3C9F">
          <w:rPr>
            <w:rStyle w:val="Hipervnculo"/>
            <w:rFonts w:ascii="Arial" w:hAnsi="Arial" w:cs="Arial"/>
            <w:noProof/>
            <w:sz w:val="24"/>
            <w:szCs w:val="24"/>
          </w:rPr>
          <w:t>1.2</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Código de salud.</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_Toc320694970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1" w:history="1">
        <w:r w:rsidR="003D3C9F" w:rsidRPr="003D3C9F">
          <w:rPr>
            <w:rStyle w:val="Hipervnculo"/>
            <w:rFonts w:ascii="Arial" w:hAnsi="Arial" w:cs="Arial"/>
            <w:noProof/>
            <w:sz w:val="24"/>
            <w:szCs w:val="24"/>
          </w:rPr>
          <w:t>1.3</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Ley de prevención y control de la infección provocada por el virus de inmunodeficiencia humana.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_Toc320694971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2</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2" w:history="1">
        <w:r w:rsidR="003D3C9F" w:rsidRPr="003D3C9F">
          <w:rPr>
            <w:rStyle w:val="Hipervnculo"/>
            <w:rFonts w:ascii="Arial" w:hAnsi="Arial" w:cs="Arial"/>
            <w:noProof/>
            <w:sz w:val="24"/>
            <w:szCs w:val="24"/>
          </w:rPr>
          <w:t>1.4</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Reglamento de la ley de prevención y control de la infección provocada por el virus de inmunodeficiencia humana.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_Toc320694972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2</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3" w:history="1">
        <w:r w:rsidR="003D3C9F" w:rsidRPr="003D3C9F">
          <w:rPr>
            <w:rStyle w:val="Hipervnculo"/>
            <w:rFonts w:ascii="Arial" w:hAnsi="Arial" w:cs="Arial"/>
            <w:noProof/>
            <w:sz w:val="24"/>
            <w:szCs w:val="24"/>
          </w:rPr>
          <w:t>1.5</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Código de trabajo.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_Toc320694973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2</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4" w:history="1">
        <w:r w:rsidR="003D3C9F" w:rsidRPr="003D3C9F">
          <w:rPr>
            <w:rStyle w:val="Hipervnculo"/>
            <w:rFonts w:ascii="Arial" w:hAnsi="Arial" w:cs="Arial"/>
            <w:noProof/>
            <w:sz w:val="24"/>
            <w:szCs w:val="24"/>
          </w:rPr>
          <w:t>1.6</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Ley penitenciaria.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_Toc320694974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3</w:t>
        </w:r>
        <w:r w:rsidRPr="003D3C9F">
          <w:rPr>
            <w:rFonts w:ascii="Arial" w:hAnsi="Arial" w:cs="Arial"/>
            <w:noProof/>
            <w:webHidden/>
            <w:sz w:val="24"/>
            <w:szCs w:val="24"/>
          </w:rPr>
          <w:fldChar w:fldCharType="end"/>
        </w:r>
      </w:hyperlink>
    </w:p>
    <w:p w:rsidR="003D3C9F" w:rsidRPr="003D3C9F" w:rsidRDefault="008F1B5B" w:rsidP="003D3C9F">
      <w:pPr>
        <w:pStyle w:val="TDC3"/>
        <w:tabs>
          <w:tab w:val="right" w:leader="dot" w:pos="8494"/>
        </w:tabs>
        <w:rPr>
          <w:rFonts w:ascii="Arial" w:eastAsiaTheme="minorEastAsia" w:hAnsi="Arial" w:cs="Arial"/>
          <w:i w:val="0"/>
          <w:iCs w:val="0"/>
          <w:noProof/>
          <w:sz w:val="24"/>
          <w:szCs w:val="24"/>
          <w:lang w:eastAsia="es-ES"/>
        </w:rPr>
      </w:pPr>
      <w:hyperlink w:anchor="_Toc320694975" w:history="1">
        <w:r w:rsidR="003D3C9F" w:rsidRPr="003D3C9F">
          <w:rPr>
            <w:rStyle w:val="Hipervnculo"/>
            <w:rFonts w:ascii="Arial" w:hAnsi="Arial" w:cs="Arial"/>
            <w:noProof/>
            <w:sz w:val="24"/>
            <w:szCs w:val="24"/>
          </w:rPr>
          <w:t>1.7 Código de familia.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_Toc320694975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4</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6" w:history="1">
        <w:r w:rsidR="003D3C9F" w:rsidRPr="003D3C9F">
          <w:rPr>
            <w:rStyle w:val="Hipervnculo"/>
            <w:rFonts w:ascii="Arial" w:hAnsi="Arial" w:cs="Arial"/>
            <w:noProof/>
            <w:sz w:val="24"/>
            <w:szCs w:val="24"/>
          </w:rPr>
          <w:t>1.8</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Ley contra la violencia intrafamiliar.</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_Toc320694976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4</w:t>
        </w:r>
        <w:r w:rsidRPr="003D3C9F">
          <w:rPr>
            <w:rFonts w:ascii="Arial" w:hAnsi="Arial" w:cs="Arial"/>
            <w:noProof/>
            <w:webHidden/>
            <w:sz w:val="24"/>
            <w:szCs w:val="24"/>
          </w:rPr>
          <w:fldChar w:fldCharType="end"/>
        </w:r>
      </w:hyperlink>
    </w:p>
    <w:p w:rsidR="003D3C9F" w:rsidRPr="003D3C9F" w:rsidRDefault="008F1B5B" w:rsidP="003D3C9F">
      <w:pPr>
        <w:pStyle w:val="TDC2"/>
        <w:tabs>
          <w:tab w:val="left" w:pos="660"/>
          <w:tab w:val="right" w:leader="dot" w:pos="8494"/>
        </w:tabs>
        <w:rPr>
          <w:rFonts w:ascii="Arial" w:eastAsiaTheme="minorEastAsia" w:hAnsi="Arial" w:cs="Arial"/>
          <w:smallCaps w:val="0"/>
          <w:noProof/>
          <w:sz w:val="24"/>
          <w:szCs w:val="24"/>
          <w:lang w:eastAsia="es-ES"/>
        </w:rPr>
      </w:pPr>
      <w:hyperlink w:anchor="_Toc320694977" w:history="1">
        <w:r w:rsidR="003D3C9F" w:rsidRPr="003D3C9F">
          <w:rPr>
            <w:rStyle w:val="Hipervnculo"/>
            <w:rFonts w:ascii="Arial" w:hAnsi="Arial" w:cs="Arial"/>
            <w:noProof/>
            <w:sz w:val="24"/>
            <w:szCs w:val="24"/>
          </w:rPr>
          <w:t>2.</w:t>
        </w:r>
        <w:r w:rsidR="003D3C9F" w:rsidRPr="003D3C9F">
          <w:rPr>
            <w:rFonts w:ascii="Arial" w:eastAsiaTheme="minorEastAsia" w:hAnsi="Arial" w:cs="Arial"/>
            <w:smallCaps w:val="0"/>
            <w:noProof/>
            <w:sz w:val="24"/>
            <w:szCs w:val="24"/>
            <w:lang w:eastAsia="es-ES"/>
          </w:rPr>
          <w:tab/>
        </w:r>
        <w:r w:rsidR="003D3C9F" w:rsidRPr="003D3C9F">
          <w:rPr>
            <w:rStyle w:val="Hipervnculo"/>
            <w:rFonts w:ascii="Arial" w:hAnsi="Arial" w:cs="Arial"/>
            <w:b/>
            <w:noProof/>
            <w:sz w:val="24"/>
            <w:szCs w:val="24"/>
          </w:rPr>
          <w:t>Compromisos Nacionales asumidos por el Estado Salvadoreño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_Toc320694977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5</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78" w:history="1">
        <w:r w:rsidR="003D3C9F" w:rsidRPr="003D3C9F">
          <w:rPr>
            <w:rStyle w:val="Hipervnculo"/>
            <w:rFonts w:ascii="Arial" w:hAnsi="Arial" w:cs="Arial"/>
            <w:noProof/>
            <w:sz w:val="24"/>
            <w:szCs w:val="24"/>
          </w:rPr>
          <w:t>2.1</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Política nacional de la mujer.</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_Toc320694978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5</w:t>
        </w:r>
        <w:r w:rsidRPr="003D3C9F">
          <w:rPr>
            <w:rFonts w:ascii="Arial" w:hAnsi="Arial" w:cs="Arial"/>
            <w:noProof/>
            <w:webHidden/>
            <w:sz w:val="24"/>
            <w:szCs w:val="24"/>
          </w:rPr>
          <w:fldChar w:fldCharType="end"/>
        </w:r>
      </w:hyperlink>
    </w:p>
    <w:p w:rsidR="003D3C9F" w:rsidRPr="003D3C9F" w:rsidRDefault="008F1B5B" w:rsidP="003D3C9F">
      <w:pPr>
        <w:pStyle w:val="TDC2"/>
        <w:tabs>
          <w:tab w:val="left" w:pos="660"/>
          <w:tab w:val="right" w:leader="dot" w:pos="8494"/>
        </w:tabs>
        <w:rPr>
          <w:rFonts w:ascii="Arial" w:eastAsiaTheme="minorEastAsia" w:hAnsi="Arial" w:cs="Arial"/>
          <w:smallCaps w:val="0"/>
          <w:noProof/>
          <w:sz w:val="24"/>
          <w:szCs w:val="24"/>
          <w:lang w:eastAsia="es-ES"/>
        </w:rPr>
      </w:pPr>
      <w:hyperlink w:anchor="_Toc320694979" w:history="1">
        <w:r w:rsidR="003D3C9F" w:rsidRPr="003D3C9F">
          <w:rPr>
            <w:rStyle w:val="Hipervnculo"/>
            <w:rFonts w:ascii="Arial" w:hAnsi="Arial" w:cs="Arial"/>
            <w:noProof/>
            <w:sz w:val="24"/>
            <w:szCs w:val="24"/>
          </w:rPr>
          <w:t>3.</w:t>
        </w:r>
        <w:r w:rsidR="003D3C9F" w:rsidRPr="003D3C9F">
          <w:rPr>
            <w:rFonts w:ascii="Arial" w:eastAsiaTheme="minorEastAsia" w:hAnsi="Arial" w:cs="Arial"/>
            <w:smallCaps w:val="0"/>
            <w:noProof/>
            <w:sz w:val="24"/>
            <w:szCs w:val="24"/>
            <w:lang w:eastAsia="es-ES"/>
          </w:rPr>
          <w:tab/>
        </w:r>
        <w:r w:rsidR="003D3C9F" w:rsidRPr="003D3C9F">
          <w:rPr>
            <w:rStyle w:val="Hipervnculo"/>
            <w:rFonts w:ascii="Arial" w:hAnsi="Arial" w:cs="Arial"/>
            <w:b/>
            <w:noProof/>
            <w:sz w:val="24"/>
            <w:szCs w:val="24"/>
          </w:rPr>
          <w:t>Compromisos internacionales ratificados por el Estado Salvadoreño</w:t>
        </w:r>
        <w:r w:rsidR="003D3C9F" w:rsidRPr="003D3C9F">
          <w:rPr>
            <w:rStyle w:val="Hipervnculo"/>
            <w:rFonts w:ascii="Arial" w:hAnsi="Arial" w:cs="Arial"/>
            <w:noProof/>
            <w:sz w:val="24"/>
            <w:szCs w:val="24"/>
          </w:rPr>
          <w:t>.</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_Toc320694979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5</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0" w:history="1">
        <w:r w:rsidR="003D3C9F" w:rsidRPr="003D3C9F">
          <w:rPr>
            <w:rStyle w:val="Hipervnculo"/>
            <w:rFonts w:ascii="Arial" w:hAnsi="Arial" w:cs="Arial"/>
            <w:noProof/>
            <w:sz w:val="24"/>
            <w:szCs w:val="24"/>
          </w:rPr>
          <w:t>3.1</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Pacto internacional de derechos civiles y políticos.</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_Toc320694980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5</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1" w:history="1">
        <w:r w:rsidR="003D3C9F" w:rsidRPr="003D3C9F">
          <w:rPr>
            <w:rStyle w:val="Hipervnculo"/>
            <w:rFonts w:ascii="Arial" w:hAnsi="Arial" w:cs="Arial"/>
            <w:noProof/>
            <w:sz w:val="24"/>
            <w:szCs w:val="24"/>
          </w:rPr>
          <w:t>3.2</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Convención sobre los derechos del niño.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_Toc320694981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5</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2" w:history="1">
        <w:r w:rsidR="003D3C9F" w:rsidRPr="003D3C9F">
          <w:rPr>
            <w:rStyle w:val="Hipervnculo"/>
            <w:rFonts w:ascii="Arial" w:hAnsi="Arial" w:cs="Arial"/>
            <w:noProof/>
            <w:sz w:val="24"/>
            <w:szCs w:val="24"/>
          </w:rPr>
          <w:t>3.3</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Convención sobre la eliminación de todas las formas de discriminación contra la mujer.</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_Toc320694982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6</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3" w:history="1">
        <w:r w:rsidR="003D3C9F" w:rsidRPr="003D3C9F">
          <w:rPr>
            <w:rStyle w:val="Hipervnculo"/>
            <w:rFonts w:ascii="Arial" w:hAnsi="Arial" w:cs="Arial"/>
            <w:noProof/>
            <w:sz w:val="24"/>
            <w:szCs w:val="24"/>
          </w:rPr>
          <w:t>3.4</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Convención interamericana para prevenir, sancionar y erradicar la violencia contra la mujer. (Convención de Belem Do Pará).</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_Toc320694983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7</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4" w:history="1">
        <w:r w:rsidR="003D3C9F" w:rsidRPr="003D3C9F">
          <w:rPr>
            <w:rStyle w:val="Hipervnculo"/>
            <w:rFonts w:ascii="Arial" w:hAnsi="Arial" w:cs="Arial"/>
            <w:noProof/>
            <w:sz w:val="24"/>
            <w:szCs w:val="24"/>
          </w:rPr>
          <w:t>3.5</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Protocolo facultativo del pacto internacional de derechos civiles y políticos.</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_Toc320694984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8</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5" w:history="1">
        <w:r w:rsidR="003D3C9F" w:rsidRPr="003D3C9F">
          <w:rPr>
            <w:rStyle w:val="Hipervnculo"/>
            <w:rFonts w:ascii="Arial" w:hAnsi="Arial" w:cs="Arial"/>
            <w:noProof/>
            <w:sz w:val="24"/>
            <w:szCs w:val="24"/>
          </w:rPr>
          <w:t>3.6</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Pacto internacional de derechos económicos, sociales y culturales.</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_Toc320694985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8</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6" w:history="1">
        <w:r w:rsidR="003D3C9F" w:rsidRPr="003D3C9F">
          <w:rPr>
            <w:rStyle w:val="Hipervnculo"/>
            <w:rFonts w:ascii="Arial" w:hAnsi="Arial" w:cs="Arial"/>
            <w:noProof/>
            <w:sz w:val="24"/>
            <w:szCs w:val="24"/>
          </w:rPr>
          <w:t>3.7</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Protocolo adicional a la convención sobre derechos humanos en materia de derechos económicos, sociales y culturales.</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_Toc320694986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9</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7" w:history="1">
        <w:r w:rsidR="003D3C9F" w:rsidRPr="003D3C9F">
          <w:rPr>
            <w:rStyle w:val="Hipervnculo"/>
            <w:rFonts w:ascii="Arial" w:hAnsi="Arial" w:cs="Arial"/>
            <w:noProof/>
            <w:sz w:val="24"/>
            <w:szCs w:val="24"/>
          </w:rPr>
          <w:t>3.8</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Convenio sobre la discriminación de empleo y ocupación.</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_Toc320694987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9</w:t>
        </w:r>
        <w:r w:rsidRPr="003D3C9F">
          <w:rPr>
            <w:rFonts w:ascii="Arial" w:hAnsi="Arial" w:cs="Arial"/>
            <w:noProof/>
            <w:webHidden/>
            <w:sz w:val="24"/>
            <w:szCs w:val="24"/>
          </w:rPr>
          <w:fldChar w:fldCharType="end"/>
        </w:r>
      </w:hyperlink>
    </w:p>
    <w:p w:rsidR="003D3C9F" w:rsidRPr="003D3C9F" w:rsidRDefault="008F1B5B" w:rsidP="003D3C9F">
      <w:pPr>
        <w:pStyle w:val="TDC2"/>
        <w:tabs>
          <w:tab w:val="left" w:pos="660"/>
          <w:tab w:val="right" w:leader="dot" w:pos="8494"/>
        </w:tabs>
        <w:rPr>
          <w:rFonts w:ascii="Arial" w:eastAsiaTheme="minorEastAsia" w:hAnsi="Arial" w:cs="Arial"/>
          <w:smallCaps w:val="0"/>
          <w:noProof/>
          <w:sz w:val="24"/>
          <w:szCs w:val="24"/>
          <w:lang w:eastAsia="es-ES"/>
        </w:rPr>
      </w:pPr>
      <w:hyperlink w:anchor="_Toc320694988" w:history="1">
        <w:r w:rsidR="003D3C9F" w:rsidRPr="003D3C9F">
          <w:rPr>
            <w:rStyle w:val="Hipervnculo"/>
            <w:rFonts w:ascii="Arial" w:hAnsi="Arial" w:cs="Arial"/>
            <w:noProof/>
            <w:sz w:val="24"/>
            <w:szCs w:val="24"/>
          </w:rPr>
          <w:t>4.</w:t>
        </w:r>
        <w:r w:rsidR="003D3C9F" w:rsidRPr="003D3C9F">
          <w:rPr>
            <w:rFonts w:ascii="Arial" w:eastAsiaTheme="minorEastAsia" w:hAnsi="Arial" w:cs="Arial"/>
            <w:smallCaps w:val="0"/>
            <w:noProof/>
            <w:sz w:val="24"/>
            <w:szCs w:val="24"/>
            <w:lang w:eastAsia="es-ES"/>
          </w:rPr>
          <w:tab/>
        </w:r>
        <w:r w:rsidR="003D3C9F" w:rsidRPr="003D3C9F">
          <w:rPr>
            <w:rStyle w:val="Hipervnculo"/>
            <w:rFonts w:ascii="Arial" w:hAnsi="Arial" w:cs="Arial"/>
            <w:b/>
            <w:noProof/>
            <w:sz w:val="24"/>
            <w:szCs w:val="24"/>
          </w:rPr>
          <w:t>Compromisos políticos asumidos por el Estado Salvadoreño</w:t>
        </w:r>
        <w:r w:rsidR="003D3C9F" w:rsidRPr="003D3C9F">
          <w:rPr>
            <w:rStyle w:val="Hipervnculo"/>
            <w:rFonts w:ascii="Arial" w:hAnsi="Arial" w:cs="Arial"/>
            <w:noProof/>
            <w:sz w:val="24"/>
            <w:szCs w:val="24"/>
          </w:rPr>
          <w:t>.</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_Toc320694988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9</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89" w:history="1">
        <w:r w:rsidR="003D3C9F" w:rsidRPr="003D3C9F">
          <w:rPr>
            <w:rStyle w:val="Hipervnculo"/>
            <w:rFonts w:ascii="Arial" w:hAnsi="Arial" w:cs="Arial"/>
            <w:noProof/>
            <w:sz w:val="24"/>
            <w:szCs w:val="24"/>
          </w:rPr>
          <w:t>4.1</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Declaración de compromiso sobre VIH/SIDA (UNGAS).</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_Toc320694989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9</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0" w:history="1">
        <w:r w:rsidR="003D3C9F" w:rsidRPr="003D3C9F">
          <w:rPr>
            <w:rStyle w:val="Hipervnculo"/>
            <w:rFonts w:ascii="Arial" w:hAnsi="Arial" w:cs="Arial"/>
            <w:noProof/>
            <w:sz w:val="24"/>
            <w:szCs w:val="24"/>
          </w:rPr>
          <w:t>4.2</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Objetivos del desarrollo del milenio.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_Toc320694990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10</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1" w:history="1">
        <w:r w:rsidR="003D3C9F" w:rsidRPr="003D3C9F">
          <w:rPr>
            <w:rStyle w:val="Hipervnculo"/>
            <w:rFonts w:ascii="Arial" w:hAnsi="Arial" w:cs="Arial"/>
            <w:noProof/>
            <w:sz w:val="24"/>
            <w:szCs w:val="24"/>
          </w:rPr>
          <w:t>4.3</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Declaración de Nuevo León.</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_Toc320694991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10</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2" w:history="1">
        <w:r w:rsidR="003D3C9F" w:rsidRPr="003D3C9F">
          <w:rPr>
            <w:rStyle w:val="Hipervnculo"/>
            <w:rFonts w:ascii="Arial" w:hAnsi="Arial" w:cs="Arial"/>
            <w:noProof/>
            <w:sz w:val="24"/>
            <w:szCs w:val="24"/>
          </w:rPr>
          <w:t>4.4</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Declaración de Beijing y plataforma de acción.</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_Toc320694992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11</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3" w:history="1">
        <w:r w:rsidR="003D3C9F" w:rsidRPr="003D3C9F">
          <w:rPr>
            <w:rStyle w:val="Hipervnculo"/>
            <w:rFonts w:ascii="Arial" w:hAnsi="Arial" w:cs="Arial"/>
            <w:noProof/>
            <w:sz w:val="24"/>
            <w:szCs w:val="24"/>
          </w:rPr>
          <w:t>4.5</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Declaración de El Cairo.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_Toc320694993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11</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4" w:history="1">
        <w:r w:rsidR="003D3C9F" w:rsidRPr="003D3C9F">
          <w:rPr>
            <w:rStyle w:val="Hipervnculo"/>
            <w:rFonts w:ascii="Arial" w:hAnsi="Arial" w:cs="Arial"/>
            <w:noProof/>
            <w:sz w:val="24"/>
            <w:szCs w:val="24"/>
          </w:rPr>
          <w:t>4.6</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Declaración de Doha y acuerdos ADPIC.</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_Toc320694994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12</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5" w:history="1">
        <w:r w:rsidR="003D3C9F" w:rsidRPr="003D3C9F">
          <w:rPr>
            <w:rStyle w:val="Hipervnculo"/>
            <w:rFonts w:ascii="Arial" w:hAnsi="Arial" w:cs="Arial"/>
            <w:noProof/>
            <w:sz w:val="24"/>
            <w:szCs w:val="24"/>
          </w:rPr>
          <w:t>4.7</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Compromisos de RESSCAD (Reunión del Sector salud de Centro América y República Dominicana).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_Toc320694995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13</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6" w:history="1">
        <w:r w:rsidR="003D3C9F" w:rsidRPr="003D3C9F">
          <w:rPr>
            <w:rStyle w:val="Hipervnculo"/>
            <w:rFonts w:ascii="Arial" w:hAnsi="Arial" w:cs="Arial"/>
            <w:noProof/>
            <w:sz w:val="24"/>
            <w:szCs w:val="24"/>
          </w:rPr>
          <w:t>4.8</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Compromisos en COMISCA (Reunión del consejo de ministros de salud de centro América).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_Toc320694996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13</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7" w:history="1">
        <w:r w:rsidR="003D3C9F" w:rsidRPr="003D3C9F">
          <w:rPr>
            <w:rStyle w:val="Hipervnculo"/>
            <w:rFonts w:ascii="Arial" w:hAnsi="Arial" w:cs="Arial"/>
            <w:noProof/>
            <w:sz w:val="24"/>
            <w:szCs w:val="24"/>
          </w:rPr>
          <w:t>4.9</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Compromisos asumidos en foro mundial sobre la educación en abril de 2000 (UNESCO).</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_Toc320694997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13</w:t>
        </w:r>
        <w:r w:rsidRPr="003D3C9F">
          <w:rPr>
            <w:rFonts w:ascii="Arial" w:hAnsi="Arial" w:cs="Arial"/>
            <w:noProof/>
            <w:webHidden/>
            <w:sz w:val="24"/>
            <w:szCs w:val="24"/>
          </w:rPr>
          <w:fldChar w:fldCharType="end"/>
        </w:r>
      </w:hyperlink>
    </w:p>
    <w:p w:rsidR="003D3C9F" w:rsidRPr="003D3C9F" w:rsidRDefault="008F1B5B" w:rsidP="003D3C9F">
      <w:pPr>
        <w:pStyle w:val="TDC3"/>
        <w:tabs>
          <w:tab w:val="left" w:pos="1100"/>
          <w:tab w:val="right" w:leader="dot" w:pos="8494"/>
        </w:tabs>
        <w:rPr>
          <w:rFonts w:ascii="Arial" w:eastAsiaTheme="minorEastAsia" w:hAnsi="Arial" w:cs="Arial"/>
          <w:i w:val="0"/>
          <w:iCs w:val="0"/>
          <w:noProof/>
          <w:sz w:val="24"/>
          <w:szCs w:val="24"/>
          <w:lang w:eastAsia="es-ES"/>
        </w:rPr>
      </w:pPr>
      <w:hyperlink w:anchor="_Toc320694998" w:history="1">
        <w:r w:rsidR="003D3C9F" w:rsidRPr="003D3C9F">
          <w:rPr>
            <w:rStyle w:val="Hipervnculo"/>
            <w:rFonts w:ascii="Arial" w:hAnsi="Arial" w:cs="Arial"/>
            <w:noProof/>
            <w:sz w:val="24"/>
            <w:szCs w:val="24"/>
          </w:rPr>
          <w:t>4.10</w:t>
        </w:r>
        <w:r w:rsidR="003D3C9F" w:rsidRPr="003D3C9F">
          <w:rPr>
            <w:rFonts w:ascii="Arial" w:eastAsiaTheme="minorEastAsia" w:hAnsi="Arial" w:cs="Arial"/>
            <w:i w:val="0"/>
            <w:iCs w:val="0"/>
            <w:noProof/>
            <w:sz w:val="24"/>
            <w:szCs w:val="24"/>
            <w:lang w:eastAsia="es-ES"/>
          </w:rPr>
          <w:tab/>
        </w:r>
        <w:r w:rsidR="003D3C9F" w:rsidRPr="003D3C9F">
          <w:rPr>
            <w:rStyle w:val="Hipervnculo"/>
            <w:rFonts w:ascii="Arial" w:hAnsi="Arial" w:cs="Arial"/>
            <w:noProof/>
            <w:sz w:val="24"/>
            <w:szCs w:val="24"/>
          </w:rPr>
          <w:t>Compromisos asumidos por el proyecto fondo mundial para la lucha contra el VIH-SIDA, tuberculosis y malaria.</w:t>
        </w:r>
        <w:r w:rsidR="003D3C9F" w:rsidRPr="003D3C9F">
          <w:rPr>
            <w:rFonts w:ascii="Arial" w:hAnsi="Arial" w:cs="Arial"/>
            <w:noProof/>
            <w:webHidden/>
            <w:sz w:val="24"/>
            <w:szCs w:val="24"/>
          </w:rPr>
          <w:tab/>
        </w:r>
        <w:r w:rsidRPr="003D3C9F">
          <w:rPr>
            <w:rFonts w:ascii="Arial" w:hAnsi="Arial" w:cs="Arial"/>
            <w:noProof/>
            <w:webHidden/>
            <w:sz w:val="24"/>
            <w:szCs w:val="24"/>
          </w:rPr>
          <w:fldChar w:fldCharType="begin"/>
        </w:r>
        <w:r w:rsidR="003D3C9F" w:rsidRPr="003D3C9F">
          <w:rPr>
            <w:rFonts w:ascii="Arial" w:hAnsi="Arial" w:cs="Arial"/>
            <w:noProof/>
            <w:webHidden/>
            <w:sz w:val="24"/>
            <w:szCs w:val="24"/>
          </w:rPr>
          <w:instrText xml:space="preserve"> PAGEREF _Toc320694998 \h </w:instrText>
        </w:r>
        <w:r w:rsidRPr="003D3C9F">
          <w:rPr>
            <w:rFonts w:ascii="Arial" w:hAnsi="Arial" w:cs="Arial"/>
            <w:noProof/>
            <w:webHidden/>
            <w:sz w:val="24"/>
            <w:szCs w:val="24"/>
          </w:rPr>
        </w:r>
        <w:r w:rsidRPr="003D3C9F">
          <w:rPr>
            <w:rFonts w:ascii="Arial" w:hAnsi="Arial" w:cs="Arial"/>
            <w:noProof/>
            <w:webHidden/>
            <w:sz w:val="24"/>
            <w:szCs w:val="24"/>
          </w:rPr>
          <w:fldChar w:fldCharType="separate"/>
        </w:r>
        <w:r w:rsidR="003D3C9F" w:rsidRPr="003D3C9F">
          <w:rPr>
            <w:rFonts w:ascii="Arial" w:hAnsi="Arial" w:cs="Arial"/>
            <w:noProof/>
            <w:webHidden/>
            <w:sz w:val="24"/>
            <w:szCs w:val="24"/>
          </w:rPr>
          <w:t>14</w:t>
        </w:r>
        <w:r w:rsidRPr="003D3C9F">
          <w:rPr>
            <w:rFonts w:ascii="Arial" w:hAnsi="Arial" w:cs="Arial"/>
            <w:noProof/>
            <w:webHidden/>
            <w:sz w:val="24"/>
            <w:szCs w:val="24"/>
          </w:rPr>
          <w:fldChar w:fldCharType="end"/>
        </w:r>
      </w:hyperlink>
    </w:p>
    <w:p w:rsidR="000D60F4" w:rsidRPr="00F2311E" w:rsidRDefault="008F1B5B" w:rsidP="000D60F4">
      <w:pPr>
        <w:autoSpaceDE w:val="0"/>
        <w:autoSpaceDN w:val="0"/>
        <w:adjustRightInd w:val="0"/>
        <w:spacing w:after="0"/>
        <w:rPr>
          <w:rFonts w:cs="Arial"/>
          <w:b/>
          <w:szCs w:val="24"/>
        </w:rPr>
      </w:pPr>
      <w:r w:rsidRPr="00F2311E">
        <w:rPr>
          <w:rFonts w:ascii="Times New Roman" w:hAnsi="Times New Roman"/>
          <w:b/>
          <w:szCs w:val="24"/>
        </w:rPr>
        <w:fldChar w:fldCharType="end"/>
      </w:r>
    </w:p>
    <w:p w:rsidR="000D60F4" w:rsidRDefault="000D60F4" w:rsidP="000D60F4">
      <w:pPr>
        <w:autoSpaceDE w:val="0"/>
        <w:autoSpaceDN w:val="0"/>
        <w:adjustRightInd w:val="0"/>
        <w:spacing w:after="0"/>
        <w:rPr>
          <w:rFonts w:cs="Arial"/>
          <w:b/>
          <w:szCs w:val="24"/>
        </w:rPr>
      </w:pPr>
    </w:p>
    <w:p w:rsidR="000D60F4" w:rsidRDefault="000D60F4" w:rsidP="000D60F4">
      <w:pPr>
        <w:autoSpaceDE w:val="0"/>
        <w:autoSpaceDN w:val="0"/>
        <w:adjustRightInd w:val="0"/>
        <w:spacing w:after="0"/>
        <w:rPr>
          <w:rFonts w:cs="Arial"/>
          <w:b/>
          <w:szCs w:val="24"/>
        </w:rPr>
      </w:pPr>
    </w:p>
    <w:p w:rsidR="000D60F4" w:rsidRDefault="000D60F4" w:rsidP="000D60F4">
      <w:pPr>
        <w:autoSpaceDE w:val="0"/>
        <w:autoSpaceDN w:val="0"/>
        <w:adjustRightInd w:val="0"/>
        <w:spacing w:after="0"/>
        <w:rPr>
          <w:rFonts w:cs="Arial"/>
          <w:b/>
          <w:szCs w:val="24"/>
        </w:rPr>
      </w:pPr>
    </w:p>
    <w:p w:rsidR="000D60F4" w:rsidRDefault="000D60F4" w:rsidP="000D60F4">
      <w:pPr>
        <w:autoSpaceDE w:val="0"/>
        <w:autoSpaceDN w:val="0"/>
        <w:adjustRightInd w:val="0"/>
        <w:spacing w:after="0"/>
        <w:rPr>
          <w:rFonts w:ascii="Times New Roman" w:hAnsi="Times New Roman"/>
          <w:b/>
          <w:szCs w:val="24"/>
        </w:rPr>
        <w:sectPr w:rsidR="000D60F4" w:rsidSect="00705011">
          <w:footerReference w:type="default" r:id="rId9"/>
          <w:headerReference w:type="first" r:id="rId10"/>
          <w:pgSz w:w="11906" w:h="16838"/>
          <w:pgMar w:top="1417" w:right="1701" w:bottom="1417" w:left="1701" w:header="708" w:footer="708" w:gutter="0"/>
          <w:cols w:space="708"/>
          <w:titlePg/>
          <w:docGrid w:linePitch="360"/>
        </w:sectPr>
      </w:pPr>
    </w:p>
    <w:p w:rsidR="000D60F4" w:rsidRPr="00F2311E" w:rsidRDefault="00705011" w:rsidP="000D60F4">
      <w:pPr>
        <w:pStyle w:val="Ttulo1"/>
        <w:jc w:val="center"/>
        <w:rPr>
          <w:caps/>
          <w:u w:val="single"/>
        </w:rPr>
      </w:pPr>
      <w:bookmarkStart w:id="1" w:name="_Toc320694966"/>
      <w:r w:rsidRPr="00F2311E">
        <w:rPr>
          <w:caps/>
          <w:u w:val="single"/>
        </w:rPr>
        <w:lastRenderedPageBreak/>
        <w:t>IntroducciÓ</w:t>
      </w:r>
      <w:r w:rsidR="000D60F4" w:rsidRPr="00F2311E">
        <w:rPr>
          <w:caps/>
          <w:u w:val="single"/>
        </w:rPr>
        <w:t>n</w:t>
      </w:r>
      <w:r w:rsidR="00F2311E">
        <w:rPr>
          <w:caps/>
          <w:u w:val="single"/>
        </w:rPr>
        <w:t>.</w:t>
      </w:r>
      <w:bookmarkEnd w:id="1"/>
    </w:p>
    <w:p w:rsidR="00626C85" w:rsidRPr="00626C85" w:rsidRDefault="00626C85" w:rsidP="00626C85">
      <w:pPr>
        <w:rPr>
          <w:lang w:val="es-SV"/>
        </w:rPr>
      </w:pPr>
    </w:p>
    <w:p w:rsidR="005A6CE9" w:rsidRDefault="00705011" w:rsidP="000D60F4">
      <w:pPr>
        <w:rPr>
          <w:rFonts w:cs="Arial"/>
          <w:szCs w:val="24"/>
        </w:rPr>
      </w:pPr>
      <w:r>
        <w:rPr>
          <w:rFonts w:cs="Arial"/>
          <w:szCs w:val="24"/>
        </w:rPr>
        <w:t>El presente documento cont</w:t>
      </w:r>
      <w:r w:rsidR="0063623E">
        <w:rPr>
          <w:rFonts w:cs="Arial"/>
          <w:szCs w:val="24"/>
        </w:rPr>
        <w:t xml:space="preserve">empla el conjunto de normativas, compromisos </w:t>
      </w:r>
      <w:r w:rsidR="00362A9C">
        <w:rPr>
          <w:rFonts w:cs="Arial"/>
          <w:szCs w:val="24"/>
        </w:rPr>
        <w:t>políticos Nacionales e</w:t>
      </w:r>
      <w:r w:rsidR="0063623E">
        <w:rPr>
          <w:rFonts w:cs="Arial"/>
          <w:szCs w:val="24"/>
        </w:rPr>
        <w:t xml:space="preserve"> Internacional</w:t>
      </w:r>
      <w:r w:rsidR="00362A9C">
        <w:rPr>
          <w:rFonts w:cs="Arial"/>
          <w:szCs w:val="24"/>
        </w:rPr>
        <w:t xml:space="preserve">es </w:t>
      </w:r>
      <w:r w:rsidR="0063623E">
        <w:rPr>
          <w:rFonts w:cs="Arial"/>
          <w:szCs w:val="24"/>
        </w:rPr>
        <w:t>asumidos por</w:t>
      </w:r>
      <w:r>
        <w:rPr>
          <w:rFonts w:cs="Arial"/>
          <w:szCs w:val="24"/>
        </w:rPr>
        <w:t xml:space="preserve"> </w:t>
      </w:r>
      <w:r w:rsidR="0063623E">
        <w:rPr>
          <w:rFonts w:cs="Arial"/>
          <w:szCs w:val="24"/>
        </w:rPr>
        <w:t xml:space="preserve">el </w:t>
      </w:r>
      <w:r>
        <w:rPr>
          <w:rFonts w:cs="Arial"/>
          <w:szCs w:val="24"/>
        </w:rPr>
        <w:t>Estado de El Salvador en l</w:t>
      </w:r>
      <w:r w:rsidR="0063623E">
        <w:rPr>
          <w:rFonts w:cs="Arial"/>
          <w:szCs w:val="24"/>
        </w:rPr>
        <w:t>a temática del VIH-VIH avanzado, haciendo distinción entre el marco legal nacional, los compromisos Nacionales asumidos por el Estado Salvadoreño, los compromisos internacionales ratificados por el gobierno</w:t>
      </w:r>
      <w:r w:rsidR="005A6CE9">
        <w:rPr>
          <w:rFonts w:cs="Arial"/>
          <w:szCs w:val="24"/>
        </w:rPr>
        <w:t xml:space="preserve"> y</w:t>
      </w:r>
      <w:r w:rsidR="0063623E">
        <w:rPr>
          <w:rFonts w:cs="Arial"/>
          <w:szCs w:val="24"/>
        </w:rPr>
        <w:t xml:space="preserve"> los compromisos políticos</w:t>
      </w:r>
      <w:r w:rsidR="00626C85">
        <w:rPr>
          <w:rFonts w:cs="Arial"/>
          <w:szCs w:val="24"/>
        </w:rPr>
        <w:t xml:space="preserve"> asumidos por El Salvador</w:t>
      </w:r>
      <w:r w:rsidR="005A6CE9">
        <w:rPr>
          <w:rFonts w:cs="Arial"/>
          <w:szCs w:val="24"/>
        </w:rPr>
        <w:t>.</w:t>
      </w:r>
    </w:p>
    <w:p w:rsidR="00626C85" w:rsidRDefault="005A6CE9" w:rsidP="000D60F4">
      <w:pPr>
        <w:rPr>
          <w:rFonts w:cs="Arial"/>
          <w:szCs w:val="24"/>
        </w:rPr>
      </w:pPr>
      <w:r>
        <w:rPr>
          <w:rFonts w:cs="Arial"/>
          <w:szCs w:val="24"/>
        </w:rPr>
        <w:t xml:space="preserve">Dentro del marco legal Nacional se encuentra </w:t>
      </w:r>
      <w:r w:rsidR="00117C35">
        <w:rPr>
          <w:rFonts w:cs="Arial"/>
          <w:szCs w:val="24"/>
        </w:rPr>
        <w:t>el conjunto de leyes emanadas por el poder legislativo,</w:t>
      </w:r>
      <w:r w:rsidR="00626C85">
        <w:rPr>
          <w:rFonts w:cs="Arial"/>
          <w:szCs w:val="24"/>
        </w:rPr>
        <w:t xml:space="preserve"> </w:t>
      </w:r>
      <w:r w:rsidR="00117C35">
        <w:rPr>
          <w:rFonts w:cs="Arial"/>
          <w:szCs w:val="24"/>
        </w:rPr>
        <w:t>retomando la Constitución de la Republica como la ley primicia del Estado Salvadoreño</w:t>
      </w:r>
      <w:r w:rsidR="00626C85">
        <w:rPr>
          <w:rFonts w:cs="Arial"/>
          <w:szCs w:val="24"/>
        </w:rPr>
        <w:t xml:space="preserve"> y leyes secundarias en la que establecen </w:t>
      </w:r>
      <w:r w:rsidR="00362A9C">
        <w:rPr>
          <w:rFonts w:cs="Arial"/>
          <w:szCs w:val="24"/>
        </w:rPr>
        <w:t>articulados regulando la temática de</w:t>
      </w:r>
      <w:r w:rsidR="00626C85">
        <w:rPr>
          <w:rFonts w:cs="Arial"/>
          <w:szCs w:val="24"/>
        </w:rPr>
        <w:t xml:space="preserve"> VIH-VIH avanzado </w:t>
      </w:r>
      <w:r w:rsidR="00362A9C">
        <w:rPr>
          <w:rFonts w:cs="Arial"/>
          <w:szCs w:val="24"/>
        </w:rPr>
        <w:t xml:space="preserve">en materias del derecho especificas, </w:t>
      </w:r>
      <w:r w:rsidR="00626C85">
        <w:rPr>
          <w:rFonts w:cs="Arial"/>
          <w:szCs w:val="24"/>
        </w:rPr>
        <w:t>así como la ley y reglamento especifica a la temática, llamada l</w:t>
      </w:r>
      <w:r w:rsidR="00626C85" w:rsidRPr="00626C85">
        <w:rPr>
          <w:rFonts w:cs="Arial"/>
          <w:szCs w:val="24"/>
        </w:rPr>
        <w:t>ey de prevención y control de la infección provocada por el virus de inmunodeficiencia humana</w:t>
      </w:r>
      <w:r w:rsidR="00626C85">
        <w:rPr>
          <w:rFonts w:cs="Arial"/>
          <w:szCs w:val="24"/>
        </w:rPr>
        <w:t>.</w:t>
      </w:r>
    </w:p>
    <w:p w:rsidR="000D60F4" w:rsidRDefault="00626C85" w:rsidP="000D60F4">
      <w:pPr>
        <w:rPr>
          <w:rFonts w:cs="Arial"/>
          <w:szCs w:val="24"/>
        </w:rPr>
      </w:pPr>
      <w:r>
        <w:rPr>
          <w:rFonts w:cs="Arial"/>
          <w:szCs w:val="24"/>
        </w:rPr>
        <w:t xml:space="preserve">Los compromisos Nacionales asumidos por El Salvador son aquellos en los que el Gobierno </w:t>
      </w:r>
      <w:r w:rsidR="00362A9C">
        <w:rPr>
          <w:rFonts w:cs="Arial"/>
          <w:szCs w:val="24"/>
        </w:rPr>
        <w:t xml:space="preserve">crea </w:t>
      </w:r>
      <w:r>
        <w:rPr>
          <w:rFonts w:cs="Arial"/>
          <w:szCs w:val="24"/>
        </w:rPr>
        <w:t>una política</w:t>
      </w:r>
      <w:r w:rsidR="00F2311E">
        <w:rPr>
          <w:rFonts w:cs="Arial"/>
          <w:szCs w:val="24"/>
        </w:rPr>
        <w:t xml:space="preserve"> pública</w:t>
      </w:r>
      <w:r>
        <w:rPr>
          <w:rFonts w:cs="Arial"/>
          <w:szCs w:val="24"/>
        </w:rPr>
        <w:t xml:space="preserve"> interna </w:t>
      </w:r>
      <w:r w:rsidR="00362A9C">
        <w:rPr>
          <w:rFonts w:cs="Arial"/>
          <w:szCs w:val="24"/>
        </w:rPr>
        <w:t xml:space="preserve">para aplicarla a nivel nacional o la adhiere en la legislación pertinente. </w:t>
      </w:r>
    </w:p>
    <w:p w:rsidR="00705F3F" w:rsidRDefault="00BD08D0" w:rsidP="00786C0E">
      <w:pPr>
        <w:rPr>
          <w:rFonts w:cs="Arial"/>
          <w:szCs w:val="24"/>
        </w:rPr>
      </w:pPr>
      <w:r>
        <w:rPr>
          <w:rFonts w:cs="Arial"/>
          <w:szCs w:val="24"/>
        </w:rPr>
        <w:t xml:space="preserve">Los compromisos internacionales ratificados por el gobierno Salvadoreño son aquellos </w:t>
      </w:r>
      <w:r w:rsidR="00786C0E">
        <w:rPr>
          <w:rFonts w:cs="Arial"/>
          <w:szCs w:val="24"/>
        </w:rPr>
        <w:t xml:space="preserve">acuerdos celebrado por escrito entre estados y que se encuentran regidos por el derecho internacional, firmado por el presidente o por un delegado, llevando un proceso de firma y </w:t>
      </w:r>
      <w:r>
        <w:rPr>
          <w:rFonts w:cs="Arial"/>
          <w:szCs w:val="24"/>
        </w:rPr>
        <w:t>ratifica</w:t>
      </w:r>
      <w:r w:rsidR="00786C0E">
        <w:rPr>
          <w:rFonts w:cs="Arial"/>
          <w:szCs w:val="24"/>
        </w:rPr>
        <w:t>ción</w:t>
      </w:r>
      <w:r w:rsidR="00F2311E">
        <w:rPr>
          <w:rFonts w:cs="Arial"/>
          <w:szCs w:val="24"/>
        </w:rPr>
        <w:t>, siendo normas o tratados internacionales aplicables a El Salvador</w:t>
      </w:r>
      <w:r w:rsidR="00362A9C">
        <w:rPr>
          <w:rFonts w:cs="Arial"/>
          <w:szCs w:val="24"/>
        </w:rPr>
        <w:t>, formando parte de nuestra legislación</w:t>
      </w:r>
      <w:r w:rsidR="00705F3F">
        <w:rPr>
          <w:rFonts w:cs="Arial"/>
          <w:szCs w:val="24"/>
        </w:rPr>
        <w:t>.</w:t>
      </w:r>
    </w:p>
    <w:p w:rsidR="00F2311E" w:rsidRPr="00BD08D0" w:rsidRDefault="00F2311E" w:rsidP="00786C0E">
      <w:pPr>
        <w:rPr>
          <w:rFonts w:cs="Arial"/>
          <w:szCs w:val="24"/>
        </w:rPr>
      </w:pPr>
      <w:r>
        <w:rPr>
          <w:rFonts w:cs="Arial"/>
          <w:szCs w:val="24"/>
        </w:rPr>
        <w:t xml:space="preserve">Y los compromisos </w:t>
      </w:r>
      <w:r w:rsidR="00362A9C">
        <w:rPr>
          <w:rFonts w:cs="Arial"/>
          <w:szCs w:val="24"/>
        </w:rPr>
        <w:t xml:space="preserve">políticos asumidos por El Estado de El Salvador son aquellos en que el </w:t>
      </w:r>
      <w:r>
        <w:rPr>
          <w:rFonts w:cs="Arial"/>
          <w:szCs w:val="24"/>
        </w:rPr>
        <w:t xml:space="preserve">presidente </w:t>
      </w:r>
      <w:r w:rsidR="00362A9C">
        <w:rPr>
          <w:rFonts w:cs="Arial"/>
          <w:szCs w:val="24"/>
        </w:rPr>
        <w:t xml:space="preserve">de la republica </w:t>
      </w:r>
      <w:r>
        <w:rPr>
          <w:rFonts w:cs="Arial"/>
          <w:szCs w:val="24"/>
        </w:rPr>
        <w:t xml:space="preserve">o un delegado, </w:t>
      </w:r>
      <w:r w:rsidR="00362A9C">
        <w:rPr>
          <w:rFonts w:cs="Arial"/>
          <w:szCs w:val="24"/>
        </w:rPr>
        <w:t xml:space="preserve">asume </w:t>
      </w:r>
      <w:r>
        <w:rPr>
          <w:rFonts w:cs="Arial"/>
          <w:szCs w:val="24"/>
        </w:rPr>
        <w:t xml:space="preserve">internacionalmente </w:t>
      </w:r>
      <w:r w:rsidR="00362A9C">
        <w:rPr>
          <w:rFonts w:cs="Arial"/>
          <w:szCs w:val="24"/>
        </w:rPr>
        <w:t xml:space="preserve">a cumplirlo, manifestando que lo adhiere </w:t>
      </w:r>
      <w:r>
        <w:rPr>
          <w:rFonts w:cs="Arial"/>
          <w:szCs w:val="24"/>
        </w:rPr>
        <w:t>dentro de sus políticas públicas o dentro de normativas nacionales.</w:t>
      </w:r>
    </w:p>
    <w:p w:rsidR="000D60F4" w:rsidRDefault="000D60F4" w:rsidP="00F2311E">
      <w:pPr>
        <w:pStyle w:val="Ttulo1"/>
        <w:rPr>
          <w:caps/>
        </w:rPr>
      </w:pPr>
    </w:p>
    <w:p w:rsidR="000D60F4" w:rsidRDefault="000D60F4" w:rsidP="000D60F4">
      <w:pPr>
        <w:pStyle w:val="Ttulo1"/>
        <w:jc w:val="center"/>
        <w:rPr>
          <w:caps/>
        </w:rPr>
      </w:pPr>
    </w:p>
    <w:p w:rsidR="00705011" w:rsidRDefault="00705011" w:rsidP="000D60F4">
      <w:pPr>
        <w:rPr>
          <w:lang w:val="es-SV"/>
        </w:rPr>
        <w:sectPr w:rsidR="00705011" w:rsidSect="00705011">
          <w:headerReference w:type="default" r:id="rId11"/>
          <w:footerReference w:type="default" r:id="rId12"/>
          <w:pgSz w:w="11906" w:h="16838"/>
          <w:pgMar w:top="1417" w:right="1701" w:bottom="1417" w:left="1701" w:header="708" w:footer="708" w:gutter="0"/>
          <w:pgNumType w:fmt="lowerRoman" w:start="1"/>
          <w:cols w:space="708"/>
          <w:docGrid w:linePitch="360"/>
        </w:sectPr>
      </w:pPr>
    </w:p>
    <w:p w:rsidR="000D60F4" w:rsidRPr="00E637C3" w:rsidRDefault="000D60F4" w:rsidP="000D60F4">
      <w:pPr>
        <w:pStyle w:val="Ttulo1"/>
        <w:jc w:val="center"/>
        <w:rPr>
          <w:caps/>
        </w:rPr>
      </w:pPr>
      <w:bookmarkStart w:id="2" w:name="_Toc320694967"/>
      <w:r w:rsidRPr="00E637C3">
        <w:rPr>
          <w:caps/>
        </w:rPr>
        <w:lastRenderedPageBreak/>
        <w:t xml:space="preserve">Marco Legal </w:t>
      </w:r>
      <w:r w:rsidR="00705011">
        <w:rPr>
          <w:caps/>
        </w:rPr>
        <w:t>Nacional e Internacional de la epidemia de VIH-VIH Avanzado</w:t>
      </w:r>
      <w:r w:rsidRPr="00E637C3">
        <w:rPr>
          <w:caps/>
        </w:rPr>
        <w:t xml:space="preserve"> en El Salvador.</w:t>
      </w:r>
      <w:bookmarkEnd w:id="2"/>
    </w:p>
    <w:p w:rsidR="000D60F4" w:rsidRPr="00256006" w:rsidRDefault="000D60F4" w:rsidP="000D60F4">
      <w:pPr>
        <w:rPr>
          <w:u w:val="single"/>
        </w:rPr>
      </w:pPr>
    </w:p>
    <w:p w:rsidR="000D60F4" w:rsidRPr="00256006" w:rsidRDefault="000D60F4" w:rsidP="000D60F4">
      <w:pPr>
        <w:pStyle w:val="Ttulo2"/>
        <w:keepLines/>
        <w:numPr>
          <w:ilvl w:val="0"/>
          <w:numId w:val="39"/>
        </w:numPr>
        <w:spacing w:before="200" w:after="0"/>
        <w:rPr>
          <w:u w:val="single"/>
        </w:rPr>
      </w:pPr>
      <w:bookmarkStart w:id="3" w:name="_Toc299639247"/>
      <w:bookmarkStart w:id="4" w:name="_Toc320694968"/>
      <w:r w:rsidRPr="00256006">
        <w:rPr>
          <w:u w:val="single"/>
        </w:rPr>
        <w:t>Marco Legal Nacional.</w:t>
      </w:r>
      <w:bookmarkEnd w:id="3"/>
      <w:bookmarkEnd w:id="4"/>
      <w:r w:rsidRPr="00256006">
        <w:rPr>
          <w:u w:val="single"/>
        </w:rPr>
        <w:t xml:space="preserve"> </w:t>
      </w:r>
    </w:p>
    <w:p w:rsidR="000D60F4" w:rsidRPr="00C3437B" w:rsidRDefault="000D60F4" w:rsidP="000D60F4">
      <w:pPr>
        <w:pStyle w:val="Ttulo3"/>
        <w:keepLines/>
        <w:numPr>
          <w:ilvl w:val="1"/>
          <w:numId w:val="39"/>
        </w:numPr>
        <w:spacing w:before="200" w:after="0"/>
        <w:rPr>
          <w:szCs w:val="24"/>
        </w:rPr>
      </w:pPr>
      <w:r>
        <w:rPr>
          <w:szCs w:val="24"/>
        </w:rPr>
        <w:t xml:space="preserve"> </w:t>
      </w:r>
      <w:bookmarkStart w:id="5" w:name="_Toc299639248"/>
      <w:bookmarkStart w:id="6" w:name="_Toc320694969"/>
      <w:r w:rsidRPr="00C3437B">
        <w:rPr>
          <w:szCs w:val="24"/>
        </w:rPr>
        <w:t>Constitucion de la República.</w:t>
      </w:r>
      <w:bookmarkEnd w:id="5"/>
      <w:bookmarkEnd w:id="6"/>
    </w:p>
    <w:p w:rsidR="000D60F4" w:rsidRPr="00C3437B" w:rsidRDefault="000D60F4" w:rsidP="000D60F4">
      <w:pPr>
        <w:rPr>
          <w:rFonts w:cs="Arial"/>
          <w:szCs w:val="24"/>
        </w:rPr>
      </w:pPr>
      <w:r w:rsidRPr="00C3437B">
        <w:rPr>
          <w:rFonts w:cs="Arial"/>
          <w:szCs w:val="24"/>
        </w:rPr>
        <w:t>Como supremacía de ley la Constitucion es el principal instrumento que rige el Marco legal de los Derechos Humanos en El  Salvador, en su Art. 1, establece: El reconocimiento a la persona humana como el origen y el fin de la actividad del Estado y que además es obligación de este asegurar entre otros a los habitantes de la República, el goce de la salud.</w:t>
      </w:r>
    </w:p>
    <w:p w:rsidR="000D60F4" w:rsidRPr="00C3437B" w:rsidRDefault="000D60F4" w:rsidP="000D60F4">
      <w:pPr>
        <w:rPr>
          <w:rFonts w:cs="Arial"/>
          <w:szCs w:val="24"/>
        </w:rPr>
      </w:pPr>
      <w:r w:rsidRPr="00C3437B">
        <w:rPr>
          <w:rFonts w:cs="Arial"/>
          <w:szCs w:val="24"/>
        </w:rPr>
        <w:t>Además, considera en su Art. 65, que el Estado y las personas están obligados a velar por la conservación y restablecimiento de la salud.</w:t>
      </w:r>
    </w:p>
    <w:p w:rsidR="000D60F4" w:rsidRDefault="000D60F4" w:rsidP="000D60F4">
      <w:pPr>
        <w:rPr>
          <w:rFonts w:cs="Arial"/>
          <w:szCs w:val="24"/>
        </w:rPr>
      </w:pPr>
      <w:r w:rsidRPr="00C3437B">
        <w:rPr>
          <w:rFonts w:cs="Arial"/>
          <w:szCs w:val="24"/>
        </w:rPr>
        <w:t xml:space="preserve">En cuanto a la asistencia gratuita a los enfermos  que carezcan de recursos y a los habitantes en general, el Art. 66 expresa que el Estado </w:t>
      </w:r>
      <w:r w:rsidR="003D3C9F">
        <w:rPr>
          <w:rFonts w:cs="Arial"/>
          <w:szCs w:val="24"/>
        </w:rPr>
        <w:t xml:space="preserve">brindara el tratamiento cuando este </w:t>
      </w:r>
      <w:r w:rsidRPr="00C3437B">
        <w:rPr>
          <w:rFonts w:cs="Arial"/>
          <w:szCs w:val="24"/>
        </w:rPr>
        <w:t>constituya un medio eficaz para prevenir la diseminación de una enfermedad transmisible.</w:t>
      </w:r>
    </w:p>
    <w:p w:rsidR="000D60F4" w:rsidRPr="00C3437B" w:rsidRDefault="000D60F4" w:rsidP="000D60F4">
      <w:pPr>
        <w:pStyle w:val="Ttulo3"/>
        <w:keepLines/>
        <w:numPr>
          <w:ilvl w:val="1"/>
          <w:numId w:val="39"/>
        </w:numPr>
        <w:spacing w:before="200" w:after="0"/>
        <w:rPr>
          <w:szCs w:val="24"/>
        </w:rPr>
      </w:pPr>
      <w:r>
        <w:rPr>
          <w:szCs w:val="24"/>
        </w:rPr>
        <w:t xml:space="preserve"> </w:t>
      </w:r>
      <w:bookmarkStart w:id="7" w:name="_Toc299639249"/>
      <w:bookmarkStart w:id="8" w:name="_Toc320694970"/>
      <w:r w:rsidRPr="00C3437B">
        <w:rPr>
          <w:szCs w:val="24"/>
        </w:rPr>
        <w:t>Código de salud.</w:t>
      </w:r>
      <w:bookmarkEnd w:id="7"/>
      <w:bookmarkEnd w:id="8"/>
      <w:r w:rsidRPr="00C3437B">
        <w:rPr>
          <w:szCs w:val="24"/>
        </w:rPr>
        <w:t xml:space="preserve"> </w:t>
      </w:r>
    </w:p>
    <w:p w:rsidR="000D60F4" w:rsidRPr="00C3437B" w:rsidRDefault="000D60F4" w:rsidP="000D60F4">
      <w:pPr>
        <w:rPr>
          <w:rFonts w:cs="Arial"/>
          <w:szCs w:val="24"/>
        </w:rPr>
      </w:pPr>
      <w:r w:rsidRPr="00C3437B">
        <w:rPr>
          <w:rFonts w:cs="Arial"/>
          <w:szCs w:val="24"/>
        </w:rPr>
        <w:t xml:space="preserve">En cuanto al objeto de la normativa, lo resalta el Art. 1 que manifiesta: “El Objeto del Código de Salud es desarrollar los principios constitucionales relacionados con la salud pública y asistencia social de los habitantes de la República, así como las normas para la organización, funcionamiento y facultades de diversas instancias públicas y privadas, como también las relaciones de éstos entre sí.”  </w:t>
      </w:r>
    </w:p>
    <w:p w:rsidR="000D60F4" w:rsidRDefault="000D60F4" w:rsidP="000D60F4">
      <w:pPr>
        <w:rPr>
          <w:rFonts w:cs="Arial"/>
          <w:szCs w:val="24"/>
        </w:rPr>
      </w:pPr>
      <w:r w:rsidRPr="00C3437B">
        <w:rPr>
          <w:rFonts w:cs="Arial"/>
          <w:szCs w:val="24"/>
        </w:rPr>
        <w:t xml:space="preserve">En la Sección Uno, del Capítulo III, Art. 33, </w:t>
      </w:r>
      <w:r w:rsidR="003D3C9F">
        <w:rPr>
          <w:rFonts w:cs="Arial"/>
          <w:szCs w:val="24"/>
        </w:rPr>
        <w:t xml:space="preserve">establece </w:t>
      </w:r>
      <w:r w:rsidRPr="00C3437B">
        <w:rPr>
          <w:rFonts w:cs="Arial"/>
          <w:szCs w:val="24"/>
        </w:rPr>
        <w:t xml:space="preserve">que son obligaciones, entre otras, de los profesionales, técnicos, auxiliares, higienistas y asistentes, relacionados con la salud: atender en la mejor forma a toda persona que solicite sus servicios profesionales, ateniéndose siempre a su condición humana, sin distingos de nacionalidad, religión, raza, credo político ni clase social y además cumplir con las reglas de la ética profesional adoptadas por la Junta respectiva. </w:t>
      </w:r>
    </w:p>
    <w:p w:rsidR="00607F3E" w:rsidRDefault="00607F3E" w:rsidP="000D60F4">
      <w:pPr>
        <w:rPr>
          <w:rFonts w:cs="Arial"/>
          <w:szCs w:val="24"/>
        </w:rPr>
      </w:pPr>
      <w:r>
        <w:rPr>
          <w:rFonts w:cs="Arial"/>
          <w:szCs w:val="24"/>
        </w:rPr>
        <w:lastRenderedPageBreak/>
        <w:t xml:space="preserve">El Art. 131 establece que el Síndrome de Inmuno Deficiencia Adquirida (SIDA) es una enfermedad de declaración obligatoria, entiéndase como una enfermedad objeto de vigilancia por el MINSAL según el Art. 133 y </w:t>
      </w:r>
      <w:r w:rsidR="00262E9F">
        <w:rPr>
          <w:rFonts w:cs="Arial"/>
          <w:szCs w:val="24"/>
        </w:rPr>
        <w:t xml:space="preserve">están obligados a notificar de </w:t>
      </w:r>
      <w:r w:rsidR="00F5040B">
        <w:rPr>
          <w:rFonts w:cs="Arial"/>
          <w:szCs w:val="24"/>
        </w:rPr>
        <w:t>ella según el Art. 135</w:t>
      </w:r>
      <w:r w:rsidR="00262E9F">
        <w:rPr>
          <w:rFonts w:cs="Arial"/>
          <w:szCs w:val="24"/>
        </w:rPr>
        <w:t xml:space="preserve">: a) El médico que asista al paciente; b) El profesional </w:t>
      </w:r>
      <w:r w:rsidR="00262E9F" w:rsidRPr="00262E9F">
        <w:rPr>
          <w:rFonts w:cs="Arial"/>
          <w:szCs w:val="24"/>
        </w:rPr>
        <w:t>responsable de los establecimientos de salud públicos o privados, autónomos o</w:t>
      </w:r>
      <w:r w:rsidR="00262E9F">
        <w:rPr>
          <w:rFonts w:cs="Arial"/>
          <w:szCs w:val="24"/>
        </w:rPr>
        <w:t xml:space="preserve"> </w:t>
      </w:r>
      <w:r w:rsidR="00262E9F" w:rsidRPr="00262E9F">
        <w:rPr>
          <w:rFonts w:cs="Arial"/>
          <w:szCs w:val="24"/>
        </w:rPr>
        <w:t>semiautónomos, en donde se presente o asista un caso;</w:t>
      </w:r>
      <w:r w:rsidR="00262E9F">
        <w:rPr>
          <w:rFonts w:cs="Arial"/>
          <w:szCs w:val="24"/>
        </w:rPr>
        <w:t xml:space="preserve"> </w:t>
      </w:r>
      <w:r w:rsidR="00262E9F" w:rsidRPr="00262E9F">
        <w:rPr>
          <w:rFonts w:cs="Arial"/>
          <w:szCs w:val="24"/>
        </w:rPr>
        <w:t>c) El dueño o encargado de la casa o establecimiento en que se presente uno de estos casos;</w:t>
      </w:r>
      <w:r w:rsidR="00262E9F">
        <w:rPr>
          <w:rFonts w:cs="Arial"/>
          <w:szCs w:val="24"/>
        </w:rPr>
        <w:t xml:space="preserve"> d</w:t>
      </w:r>
      <w:r w:rsidR="00262E9F" w:rsidRPr="00262E9F">
        <w:rPr>
          <w:rFonts w:cs="Arial"/>
          <w:szCs w:val="24"/>
        </w:rPr>
        <w:t>) El representante legal, los familiares o las personas responsables del enfermo;</w:t>
      </w:r>
      <w:r w:rsidR="00262E9F">
        <w:rPr>
          <w:rFonts w:cs="Arial"/>
          <w:szCs w:val="24"/>
        </w:rPr>
        <w:t xml:space="preserve"> e</w:t>
      </w:r>
      <w:r w:rsidR="00262E9F" w:rsidRPr="00262E9F">
        <w:rPr>
          <w:rFonts w:cs="Arial"/>
          <w:szCs w:val="24"/>
        </w:rPr>
        <w:t>) El profesional responsable del laboratorio que confirme el diagnóstico de la enfermedad;</w:t>
      </w:r>
      <w:r w:rsidR="00262E9F">
        <w:rPr>
          <w:rFonts w:cs="Arial"/>
          <w:szCs w:val="24"/>
        </w:rPr>
        <w:t xml:space="preserve"> f</w:t>
      </w:r>
      <w:r w:rsidR="00262E9F" w:rsidRPr="00262E9F">
        <w:rPr>
          <w:rFonts w:cs="Arial"/>
          <w:szCs w:val="24"/>
        </w:rPr>
        <w:t xml:space="preserve">) </w:t>
      </w:r>
      <w:r w:rsidR="00262E9F" w:rsidRPr="00262E9F">
        <w:rPr>
          <w:rFonts w:cs="Arial"/>
          <w:szCs w:val="24"/>
          <w:u w:val="single"/>
        </w:rPr>
        <w:t>Toda persona que tenga conocimiento o sospecha de algún caso de tales enfermedades</w:t>
      </w:r>
      <w:r w:rsidR="00262E9F" w:rsidRPr="00262E9F">
        <w:rPr>
          <w:rFonts w:cs="Arial"/>
          <w:szCs w:val="24"/>
        </w:rPr>
        <w:t>.</w:t>
      </w:r>
    </w:p>
    <w:p w:rsidR="00262E9F" w:rsidRDefault="00262E9F" w:rsidP="00262E9F">
      <w:pPr>
        <w:rPr>
          <w:rFonts w:cs="Arial"/>
          <w:szCs w:val="24"/>
        </w:rPr>
      </w:pPr>
      <w:r>
        <w:rPr>
          <w:rFonts w:cs="Arial"/>
          <w:szCs w:val="24"/>
        </w:rPr>
        <w:t xml:space="preserve">El Art. 136 establece que las personas que padezcan de las enfermedades sujetas a declaración obligatoria </w:t>
      </w:r>
      <w:r w:rsidR="00F5040B">
        <w:rPr>
          <w:rFonts w:cs="Arial"/>
          <w:szCs w:val="24"/>
        </w:rPr>
        <w:t xml:space="preserve">(incluyendo el </w:t>
      </w:r>
      <w:r>
        <w:rPr>
          <w:rFonts w:cs="Arial"/>
          <w:szCs w:val="24"/>
        </w:rPr>
        <w:t>VIH-Sida</w:t>
      </w:r>
      <w:r w:rsidR="00F5040B">
        <w:rPr>
          <w:rFonts w:cs="Arial"/>
          <w:szCs w:val="24"/>
        </w:rPr>
        <w:t>)</w:t>
      </w:r>
      <w:r>
        <w:rPr>
          <w:rFonts w:cs="Arial"/>
          <w:szCs w:val="24"/>
        </w:rPr>
        <w:t xml:space="preserve">, aun sin presentar </w:t>
      </w:r>
      <w:r w:rsidRPr="00262E9F">
        <w:rPr>
          <w:rFonts w:cs="Arial"/>
          <w:szCs w:val="24"/>
        </w:rPr>
        <w:t>manifestaciones clínicas, alberguen o</w:t>
      </w:r>
      <w:r>
        <w:rPr>
          <w:rFonts w:cs="Arial"/>
          <w:szCs w:val="24"/>
        </w:rPr>
        <w:t xml:space="preserve"> </w:t>
      </w:r>
      <w:r w:rsidRPr="00262E9F">
        <w:rPr>
          <w:rFonts w:cs="Arial"/>
          <w:szCs w:val="24"/>
        </w:rPr>
        <w:t>diseminen sus gérmenes o hayan sido expuestas a su contagio, podrán ser sometidas a aislamiento,</w:t>
      </w:r>
      <w:r>
        <w:rPr>
          <w:rFonts w:cs="Arial"/>
          <w:szCs w:val="24"/>
        </w:rPr>
        <w:t xml:space="preserve"> </w:t>
      </w:r>
      <w:r w:rsidRPr="00262E9F">
        <w:rPr>
          <w:rFonts w:cs="Arial"/>
          <w:szCs w:val="24"/>
        </w:rPr>
        <w:t>cuarentena; observación o vigilancia, por el tiempo y en la forma que lo determine el Ministerio, de acuerdo</w:t>
      </w:r>
      <w:r>
        <w:rPr>
          <w:rFonts w:cs="Arial"/>
          <w:szCs w:val="24"/>
        </w:rPr>
        <w:t xml:space="preserve"> </w:t>
      </w:r>
      <w:r w:rsidRPr="00262E9F">
        <w:rPr>
          <w:rFonts w:cs="Arial"/>
          <w:szCs w:val="24"/>
        </w:rPr>
        <w:t>con los respectivos reglamentos.</w:t>
      </w:r>
    </w:p>
    <w:p w:rsidR="00262E9F" w:rsidRPr="00F5040B" w:rsidRDefault="00F5040B" w:rsidP="00F5040B">
      <w:pPr>
        <w:rPr>
          <w:rFonts w:cs="Arial"/>
          <w:szCs w:val="24"/>
        </w:rPr>
      </w:pPr>
      <w:r>
        <w:rPr>
          <w:rFonts w:cs="Arial"/>
          <w:szCs w:val="24"/>
        </w:rPr>
        <w:t xml:space="preserve">Se relaciona el Art. 137, sección veintiséis “Tratamientos de Locales”, en el sentido que los locales y objetos </w:t>
      </w:r>
      <w:r w:rsidR="00262E9F" w:rsidRPr="00F5040B">
        <w:rPr>
          <w:rFonts w:cs="Arial"/>
          <w:szCs w:val="24"/>
        </w:rPr>
        <w:t>con los cuales hayan tenido contacto o relación las personas expresadas</w:t>
      </w:r>
      <w:r>
        <w:rPr>
          <w:rFonts w:cs="Arial"/>
          <w:szCs w:val="24"/>
        </w:rPr>
        <w:t xml:space="preserve"> en el Art. 136</w:t>
      </w:r>
      <w:r w:rsidR="00262E9F" w:rsidRPr="00F5040B">
        <w:rPr>
          <w:rFonts w:cs="Arial"/>
          <w:szCs w:val="24"/>
        </w:rPr>
        <w:t>, deberán ser so</w:t>
      </w:r>
      <w:r>
        <w:rPr>
          <w:rFonts w:cs="Arial"/>
          <w:szCs w:val="24"/>
        </w:rPr>
        <w:t xml:space="preserve">metidos a procedimientos de </w:t>
      </w:r>
      <w:r w:rsidRPr="00F5040B">
        <w:rPr>
          <w:rFonts w:cs="Arial"/>
          <w:szCs w:val="24"/>
        </w:rPr>
        <w:t>desafectación</w:t>
      </w:r>
      <w:r w:rsidR="00262E9F" w:rsidRPr="00F5040B">
        <w:rPr>
          <w:rFonts w:cs="Arial"/>
          <w:szCs w:val="24"/>
        </w:rPr>
        <w:t xml:space="preserve"> por los medios técnicos adecuados de orden o por acción</w:t>
      </w:r>
      <w:r>
        <w:rPr>
          <w:rFonts w:cs="Arial"/>
          <w:szCs w:val="24"/>
        </w:rPr>
        <w:t xml:space="preserve"> </w:t>
      </w:r>
      <w:r w:rsidR="00262E9F" w:rsidRPr="00F5040B">
        <w:rPr>
          <w:rFonts w:cs="Arial"/>
          <w:szCs w:val="24"/>
        </w:rPr>
        <w:t>directa de la propia autoridad de salud, cuando así lo estime conveniente.</w:t>
      </w:r>
    </w:p>
    <w:p w:rsidR="00262E9F" w:rsidRPr="00C3437B" w:rsidRDefault="00F5040B" w:rsidP="00262E9F">
      <w:pPr>
        <w:rPr>
          <w:rFonts w:cs="Arial"/>
          <w:szCs w:val="24"/>
        </w:rPr>
      </w:pPr>
      <w:r>
        <w:rPr>
          <w:rFonts w:cs="Arial"/>
          <w:szCs w:val="24"/>
        </w:rPr>
        <w:t xml:space="preserve">Ya que el VIH-Sida se cataloga como una Epidemia el </w:t>
      </w:r>
      <w:r w:rsidR="00262E9F" w:rsidRPr="00F5040B">
        <w:rPr>
          <w:rFonts w:cs="Arial"/>
          <w:szCs w:val="24"/>
        </w:rPr>
        <w:t>Art. 139</w:t>
      </w:r>
      <w:r>
        <w:rPr>
          <w:rFonts w:cs="Arial"/>
          <w:szCs w:val="24"/>
        </w:rPr>
        <w:t xml:space="preserve"> establece que en caso de </w:t>
      </w:r>
      <w:r w:rsidR="00262E9F" w:rsidRPr="00F5040B">
        <w:rPr>
          <w:rFonts w:cs="Arial"/>
          <w:szCs w:val="24"/>
        </w:rPr>
        <w:t xml:space="preserve">epidemia o amenaza el </w:t>
      </w:r>
      <w:r w:rsidRPr="00F5040B">
        <w:rPr>
          <w:rFonts w:cs="Arial"/>
          <w:szCs w:val="24"/>
        </w:rPr>
        <w:t>Órgano</w:t>
      </w:r>
      <w:r w:rsidR="00262E9F" w:rsidRPr="00F5040B">
        <w:rPr>
          <w:rFonts w:cs="Arial"/>
          <w:szCs w:val="24"/>
        </w:rPr>
        <w:t xml:space="preserve"> Ejecutivo en el Ramo de la Salud Pública,</w:t>
      </w:r>
      <w:r>
        <w:rPr>
          <w:rFonts w:cs="Arial"/>
          <w:szCs w:val="24"/>
        </w:rPr>
        <w:t xml:space="preserve"> </w:t>
      </w:r>
      <w:r w:rsidR="00262E9F" w:rsidRPr="00F5040B">
        <w:rPr>
          <w:rFonts w:cs="Arial"/>
          <w:szCs w:val="24"/>
        </w:rPr>
        <w:t>podrá declarar zona epidémica sujeta a control sanitario, cualquier porción del territorio nacional que dicho</w:t>
      </w:r>
      <w:r>
        <w:rPr>
          <w:rFonts w:cs="Arial"/>
          <w:szCs w:val="24"/>
        </w:rPr>
        <w:t xml:space="preserve"> </w:t>
      </w:r>
      <w:r w:rsidRPr="00F5040B">
        <w:rPr>
          <w:rFonts w:cs="Arial"/>
          <w:szCs w:val="24"/>
        </w:rPr>
        <w:t>Órgano</w:t>
      </w:r>
      <w:r w:rsidR="00262E9F" w:rsidRPr="00F5040B">
        <w:rPr>
          <w:rFonts w:cs="Arial"/>
          <w:szCs w:val="24"/>
        </w:rPr>
        <w:t xml:space="preserve"> designe y adoptará las medidas extraordinarias que éste aconseje y por el tiempo que la misma</w:t>
      </w:r>
      <w:r>
        <w:rPr>
          <w:rFonts w:cs="Arial"/>
          <w:szCs w:val="24"/>
        </w:rPr>
        <w:t xml:space="preserve"> </w:t>
      </w:r>
      <w:r w:rsidR="00262E9F" w:rsidRPr="00F5040B">
        <w:rPr>
          <w:rFonts w:cs="Arial"/>
          <w:szCs w:val="24"/>
        </w:rPr>
        <w:t>señale, para prevenir el peligro, combatir el daño y evitar su propagación.</w:t>
      </w:r>
    </w:p>
    <w:p w:rsidR="000D60F4" w:rsidRDefault="000D60F4" w:rsidP="000D60F4">
      <w:pPr>
        <w:rPr>
          <w:rFonts w:cs="Arial"/>
          <w:szCs w:val="24"/>
        </w:rPr>
      </w:pPr>
      <w:r w:rsidRPr="00C3437B">
        <w:rPr>
          <w:rFonts w:cs="Arial"/>
          <w:szCs w:val="24"/>
        </w:rPr>
        <w:t xml:space="preserve">En Art. 154 y 155 referente a las Infecciones de Transmisión Sexual establece que será el Ministerio de Salud quien dictará las normas para su prevención, tratamiento, control y rehabilitación de quienes las padecen, y que estas </w:t>
      </w:r>
      <w:r w:rsidRPr="00C3437B">
        <w:rPr>
          <w:rFonts w:cs="Arial"/>
          <w:szCs w:val="24"/>
        </w:rPr>
        <w:lastRenderedPageBreak/>
        <w:t>normas y las acciones correspondientes deberán ser cumplidas en todos los establecimientos de salud públicos y privados y por todas aquellas entidades u organizaciones que brinden servicio de atención médica.</w:t>
      </w:r>
    </w:p>
    <w:p w:rsidR="000D60F4" w:rsidRDefault="000D60F4" w:rsidP="000D60F4">
      <w:pPr>
        <w:pStyle w:val="Ttulo3"/>
        <w:keepLines/>
        <w:numPr>
          <w:ilvl w:val="1"/>
          <w:numId w:val="39"/>
        </w:numPr>
        <w:spacing w:before="200" w:after="0"/>
        <w:rPr>
          <w:szCs w:val="24"/>
        </w:rPr>
      </w:pPr>
      <w:r>
        <w:rPr>
          <w:szCs w:val="24"/>
        </w:rPr>
        <w:t xml:space="preserve"> </w:t>
      </w:r>
      <w:bookmarkStart w:id="9" w:name="_Toc299639250"/>
      <w:bookmarkStart w:id="10" w:name="_Toc320694971"/>
      <w:r w:rsidRPr="00556141">
        <w:rPr>
          <w:szCs w:val="24"/>
        </w:rPr>
        <w:t>Ley de prevención y control de la infección provocada por el virus de inmunodeficiencia humana.</w:t>
      </w:r>
      <w:bookmarkEnd w:id="9"/>
      <w:bookmarkEnd w:id="10"/>
      <w:r w:rsidRPr="00556141">
        <w:rPr>
          <w:szCs w:val="24"/>
        </w:rPr>
        <w:t xml:space="preserve"> </w:t>
      </w:r>
    </w:p>
    <w:p w:rsidR="000D60F4" w:rsidRPr="002472DF" w:rsidRDefault="000D60F4" w:rsidP="000D60F4">
      <w:pPr>
        <w:rPr>
          <w:rFonts w:cs="Arial"/>
          <w:szCs w:val="24"/>
        </w:rPr>
      </w:pPr>
      <w:r w:rsidRPr="002472DF">
        <w:rPr>
          <w:rFonts w:cs="Arial"/>
          <w:szCs w:val="24"/>
        </w:rPr>
        <w:t xml:space="preserve">El Art. 1 </w:t>
      </w:r>
      <w:r w:rsidR="003D3C9F">
        <w:rPr>
          <w:rFonts w:cs="Arial"/>
          <w:szCs w:val="24"/>
        </w:rPr>
        <w:t xml:space="preserve">establece </w:t>
      </w:r>
      <w:r w:rsidRPr="002472DF">
        <w:rPr>
          <w:rFonts w:cs="Arial"/>
          <w:szCs w:val="24"/>
        </w:rPr>
        <w:t>el Objeto de la Ley</w:t>
      </w:r>
      <w:r w:rsidR="003D3C9F">
        <w:rPr>
          <w:rFonts w:cs="Arial"/>
          <w:szCs w:val="24"/>
        </w:rPr>
        <w:t>,</w:t>
      </w:r>
      <w:r w:rsidRPr="002472DF">
        <w:rPr>
          <w:rFonts w:cs="Arial"/>
          <w:szCs w:val="24"/>
        </w:rPr>
        <w:t xml:space="preserve"> que se refiere a prevenir, controlar y regular la atención de la infección causada por el VIH y establecer las obligaciones de las personas viviendo con VIH o con SIDA, definiendo además de manera general la Política Nacional de atención Integral ante el VIH-SIDA, garantizándose además los Derechos individuales y Sociales de las personas portadoras. </w:t>
      </w:r>
    </w:p>
    <w:p w:rsidR="000D60F4" w:rsidRPr="002472DF" w:rsidRDefault="000D60F4" w:rsidP="000D60F4">
      <w:pPr>
        <w:rPr>
          <w:rFonts w:cs="Arial"/>
          <w:szCs w:val="24"/>
        </w:rPr>
      </w:pPr>
      <w:r w:rsidRPr="002472DF">
        <w:rPr>
          <w:rFonts w:cs="Arial"/>
          <w:szCs w:val="24"/>
        </w:rPr>
        <w:t>En cuanto a los principios rectores de la Ley del VIH, el Art. 2 contempla</w:t>
      </w:r>
      <w:r w:rsidR="003D3C9F">
        <w:rPr>
          <w:rFonts w:cs="Arial"/>
          <w:szCs w:val="24"/>
        </w:rPr>
        <w:t>:</w:t>
      </w:r>
      <w:r w:rsidRPr="002472DF">
        <w:rPr>
          <w:rFonts w:cs="Arial"/>
          <w:szCs w:val="24"/>
        </w:rPr>
        <w:t xml:space="preserve"> la no discriminación, la confidencialidad, la continuidad, la integridad, la calidad, la calidez, la equidad, la información y la corresponsabilidad hacia las personas infectadas.</w:t>
      </w:r>
    </w:p>
    <w:p w:rsidR="000D60F4" w:rsidRPr="00D2609E" w:rsidRDefault="000D60F4" w:rsidP="000D60F4">
      <w:pPr>
        <w:pStyle w:val="Ttulo3"/>
        <w:keepLines/>
        <w:numPr>
          <w:ilvl w:val="1"/>
          <w:numId w:val="39"/>
        </w:numPr>
        <w:spacing w:before="200" w:after="0"/>
        <w:rPr>
          <w:szCs w:val="24"/>
        </w:rPr>
      </w:pPr>
      <w:r>
        <w:rPr>
          <w:szCs w:val="24"/>
        </w:rPr>
        <w:t xml:space="preserve"> </w:t>
      </w:r>
      <w:bookmarkStart w:id="11" w:name="_Toc299639251"/>
      <w:bookmarkStart w:id="12" w:name="_Toc320694972"/>
      <w:r w:rsidRPr="00D2609E">
        <w:rPr>
          <w:szCs w:val="24"/>
        </w:rPr>
        <w:t>Reglamento de la ley de prevención y control de la infección provocada por el virus de inmunodeficiencia humana.</w:t>
      </w:r>
      <w:bookmarkEnd w:id="11"/>
      <w:bookmarkEnd w:id="12"/>
      <w:r w:rsidRPr="00D2609E">
        <w:rPr>
          <w:szCs w:val="24"/>
        </w:rPr>
        <w:t xml:space="preserve"> </w:t>
      </w:r>
    </w:p>
    <w:p w:rsidR="000D60F4" w:rsidRPr="002472DF" w:rsidRDefault="003D3C9F" w:rsidP="000D60F4">
      <w:pPr>
        <w:rPr>
          <w:rFonts w:cs="Arial"/>
          <w:szCs w:val="24"/>
        </w:rPr>
      </w:pPr>
      <w:r>
        <w:rPr>
          <w:rFonts w:cs="Arial"/>
          <w:szCs w:val="24"/>
        </w:rPr>
        <w:t xml:space="preserve">El </w:t>
      </w:r>
      <w:r w:rsidR="000D60F4">
        <w:rPr>
          <w:rFonts w:cs="Arial"/>
          <w:szCs w:val="24"/>
        </w:rPr>
        <w:t xml:space="preserve">reglamento contiene </w:t>
      </w:r>
      <w:r>
        <w:rPr>
          <w:rFonts w:cs="Arial"/>
          <w:szCs w:val="24"/>
        </w:rPr>
        <w:t>el o</w:t>
      </w:r>
      <w:r w:rsidR="000D60F4" w:rsidRPr="002472DF">
        <w:rPr>
          <w:rFonts w:cs="Arial"/>
          <w:szCs w:val="24"/>
        </w:rPr>
        <w:t>bjeto</w:t>
      </w:r>
      <w:r w:rsidR="000D60F4">
        <w:rPr>
          <w:rFonts w:cs="Arial"/>
          <w:szCs w:val="24"/>
        </w:rPr>
        <w:t xml:space="preserve"> de la normativa</w:t>
      </w:r>
      <w:r w:rsidR="000D60F4" w:rsidRPr="002472DF">
        <w:rPr>
          <w:rFonts w:cs="Arial"/>
          <w:szCs w:val="24"/>
        </w:rPr>
        <w:t xml:space="preserve"> en su Art. 1</w:t>
      </w:r>
      <w:r>
        <w:rPr>
          <w:rFonts w:cs="Arial"/>
          <w:szCs w:val="24"/>
        </w:rPr>
        <w:t>,</w:t>
      </w:r>
      <w:r w:rsidR="000D60F4" w:rsidRPr="002472DF">
        <w:rPr>
          <w:rFonts w:cs="Arial"/>
          <w:szCs w:val="24"/>
        </w:rPr>
        <w:t xml:space="preserve"> </w:t>
      </w:r>
      <w:r>
        <w:rPr>
          <w:rFonts w:cs="Arial"/>
          <w:szCs w:val="24"/>
        </w:rPr>
        <w:t>ref</w:t>
      </w:r>
      <w:r w:rsidR="000D60F4" w:rsidRPr="002472DF">
        <w:rPr>
          <w:rFonts w:cs="Arial"/>
          <w:szCs w:val="24"/>
        </w:rPr>
        <w:t>ere</w:t>
      </w:r>
      <w:r>
        <w:rPr>
          <w:rFonts w:cs="Arial"/>
          <w:szCs w:val="24"/>
        </w:rPr>
        <w:t>nte</w:t>
      </w:r>
      <w:r w:rsidR="000D60F4" w:rsidRPr="002472DF">
        <w:rPr>
          <w:rFonts w:cs="Arial"/>
          <w:szCs w:val="24"/>
        </w:rPr>
        <w:t xml:space="preserve"> a desarrollar las disposiciones contenidas en la Ley del VIH, facilitar y </w:t>
      </w:r>
      <w:r w:rsidR="00296354">
        <w:rPr>
          <w:rFonts w:cs="Arial"/>
          <w:szCs w:val="24"/>
        </w:rPr>
        <w:t>asegurar su aplicación y</w:t>
      </w:r>
      <w:r w:rsidR="000D60F4" w:rsidRPr="002472DF">
        <w:rPr>
          <w:rFonts w:cs="Arial"/>
          <w:szCs w:val="24"/>
        </w:rPr>
        <w:t xml:space="preserve"> regula la organización y funcionamiento de la Comisión Nacional Contra el SIDA (CONASIDA). </w:t>
      </w:r>
    </w:p>
    <w:p w:rsidR="000D60F4" w:rsidRPr="002472DF" w:rsidRDefault="000D60F4" w:rsidP="000D60F4">
      <w:pPr>
        <w:rPr>
          <w:rFonts w:cs="Arial"/>
          <w:szCs w:val="24"/>
        </w:rPr>
      </w:pPr>
      <w:r w:rsidRPr="002472DF">
        <w:rPr>
          <w:rFonts w:cs="Arial"/>
          <w:szCs w:val="24"/>
        </w:rPr>
        <w:t>El campo de aplicación lo establece el Art. 2, expresando que las disposiciones del reglamento son aplicables a personas naturales ó jurídicas, públicas, autónomas o privadas relacionadas con el ámbito regulado en el reglamento.</w:t>
      </w:r>
    </w:p>
    <w:p w:rsidR="000D60F4" w:rsidRPr="00D2609E" w:rsidRDefault="000D60F4" w:rsidP="000D60F4">
      <w:pPr>
        <w:pStyle w:val="Ttulo3"/>
        <w:keepLines/>
        <w:numPr>
          <w:ilvl w:val="1"/>
          <w:numId w:val="39"/>
        </w:numPr>
        <w:spacing w:before="200" w:after="0"/>
        <w:rPr>
          <w:szCs w:val="24"/>
        </w:rPr>
      </w:pPr>
      <w:r>
        <w:rPr>
          <w:szCs w:val="24"/>
        </w:rPr>
        <w:t xml:space="preserve"> </w:t>
      </w:r>
      <w:bookmarkStart w:id="13" w:name="_Toc299639252"/>
      <w:bookmarkStart w:id="14" w:name="_Toc320694973"/>
      <w:r w:rsidRPr="00D2609E">
        <w:rPr>
          <w:szCs w:val="24"/>
        </w:rPr>
        <w:t>Código de trabajo.</w:t>
      </w:r>
      <w:bookmarkEnd w:id="13"/>
      <w:bookmarkEnd w:id="14"/>
      <w:r w:rsidRPr="00D2609E">
        <w:rPr>
          <w:szCs w:val="24"/>
        </w:rPr>
        <w:t xml:space="preserve"> </w:t>
      </w:r>
    </w:p>
    <w:p w:rsidR="000D60F4" w:rsidRPr="002472DF" w:rsidRDefault="000D60F4" w:rsidP="000D60F4">
      <w:pPr>
        <w:rPr>
          <w:rFonts w:cs="Arial"/>
          <w:szCs w:val="24"/>
        </w:rPr>
      </w:pPr>
      <w:r>
        <w:rPr>
          <w:rFonts w:cs="Arial"/>
          <w:szCs w:val="24"/>
        </w:rPr>
        <w:t>Las disposiciones generales se encuentra reguladas en el Art. 1</w:t>
      </w:r>
      <w:r w:rsidRPr="002472DF">
        <w:rPr>
          <w:rFonts w:cs="Arial"/>
          <w:szCs w:val="24"/>
        </w:rPr>
        <w:t xml:space="preserve">, expresa que el Código tiene por objeto principal armonizar las relaciones entre patronos y trabajadores, estableciendo sus derechos y obligaciones y se funda en principios que tiendan al mejoramiento de las condiciones de vida de los trabajadores, especialmente en los establecidos en la Sección Segunda Capítulo II del Título II de la Constitución. </w:t>
      </w:r>
    </w:p>
    <w:p w:rsidR="000D60F4" w:rsidRPr="002472DF" w:rsidRDefault="000D60F4" w:rsidP="000D60F4">
      <w:pPr>
        <w:rPr>
          <w:rFonts w:cs="Arial"/>
          <w:szCs w:val="24"/>
        </w:rPr>
      </w:pPr>
      <w:r w:rsidRPr="002472DF">
        <w:rPr>
          <w:rFonts w:cs="Arial"/>
          <w:szCs w:val="24"/>
        </w:rPr>
        <w:lastRenderedPageBreak/>
        <w:t xml:space="preserve">En la Sección Primera, en el apartado de Obligaciones de los Patronos, Art. 29, ordinal 10, </w:t>
      </w:r>
      <w:r>
        <w:rPr>
          <w:rFonts w:cs="Arial"/>
          <w:szCs w:val="24"/>
        </w:rPr>
        <w:t>establece</w:t>
      </w:r>
      <w:r w:rsidRPr="002472DF">
        <w:rPr>
          <w:rFonts w:cs="Arial"/>
          <w:szCs w:val="24"/>
        </w:rPr>
        <w:t xml:space="preserve"> que son obligaciones de los patronos todas las que impongan el Código de Trabajo, la Ley de Prevención y Control de  la Infección provocada por el virus de Inmunodeficiencia Humana, y demás fuentes de obligaciones laborales. </w:t>
      </w:r>
    </w:p>
    <w:p w:rsidR="000D60F4" w:rsidRPr="002472DF" w:rsidRDefault="000D60F4" w:rsidP="000D60F4">
      <w:pPr>
        <w:rPr>
          <w:rFonts w:cs="Arial"/>
          <w:szCs w:val="24"/>
        </w:rPr>
      </w:pPr>
      <w:r w:rsidRPr="002472DF">
        <w:rPr>
          <w:rFonts w:cs="Arial"/>
          <w:szCs w:val="24"/>
        </w:rPr>
        <w:t xml:space="preserve">Así mismo, en el apartado de las prohibiciones a los patronos, Sección Segunda, Art. 30, ordinales 14 y 15, manifiesta que se prohíbe exigir a las personas que solicitan empleo la prueba del VIH como requisito para su contratación, y durante la vigencia del contrato de trabajo, igualmente se prohíbe realizar por medios directos o indirectos cualquier distinción, exclusión y/o restricción entre los trabajadores, por su condición de VIH-SIDA, así como divulgar su diagnóstico. </w:t>
      </w:r>
    </w:p>
    <w:p w:rsidR="000D60F4" w:rsidRDefault="000D60F4" w:rsidP="000D60F4">
      <w:pPr>
        <w:rPr>
          <w:rFonts w:cs="Arial"/>
          <w:szCs w:val="24"/>
        </w:rPr>
      </w:pPr>
      <w:r w:rsidRPr="002472DF">
        <w:rPr>
          <w:rFonts w:cs="Arial"/>
          <w:szCs w:val="24"/>
        </w:rPr>
        <w:t>En lo referente al trabajo doméstico, Capítulo III, Art. 79 se refiere a que el patrono podrá exigir al trabajador antes de iniciar las labores, y cuando lo considere necesario, salvo lo dispuesto en el ordinal 14 del artículo 30, los co</w:t>
      </w:r>
      <w:r w:rsidR="0044640A">
        <w:rPr>
          <w:rFonts w:cs="Arial"/>
          <w:szCs w:val="24"/>
        </w:rPr>
        <w:t>mprobantes relativos a su buena</w:t>
      </w:r>
      <w:r w:rsidRPr="002472DF">
        <w:rPr>
          <w:rFonts w:cs="Arial"/>
          <w:szCs w:val="24"/>
        </w:rPr>
        <w:t xml:space="preserve"> salud y la presentación de su respectivo Documento Único de Identidad, cuando la persona esté obligada a tenerlo.</w:t>
      </w:r>
    </w:p>
    <w:p w:rsidR="00296354" w:rsidRPr="002472DF" w:rsidRDefault="00296354" w:rsidP="000D60F4">
      <w:pPr>
        <w:rPr>
          <w:rFonts w:cs="Arial"/>
          <w:szCs w:val="24"/>
        </w:rPr>
      </w:pPr>
      <w:r>
        <w:rPr>
          <w:rFonts w:cs="Arial"/>
          <w:szCs w:val="24"/>
        </w:rPr>
        <w:t xml:space="preserve">El </w:t>
      </w:r>
      <w:r w:rsidR="0044640A">
        <w:rPr>
          <w:rFonts w:cs="Arial"/>
          <w:szCs w:val="24"/>
        </w:rPr>
        <w:t>Art.</w:t>
      </w:r>
      <w:r>
        <w:rPr>
          <w:rFonts w:cs="Arial"/>
          <w:szCs w:val="24"/>
        </w:rPr>
        <w:t xml:space="preserve"> 83 establece que son causas especiales de terminación del contrato </w:t>
      </w:r>
      <w:r w:rsidR="0044640A">
        <w:rPr>
          <w:rFonts w:cs="Arial"/>
          <w:szCs w:val="24"/>
        </w:rPr>
        <w:t xml:space="preserve">individual de trabajo </w:t>
      </w:r>
      <w:r w:rsidRPr="00296354">
        <w:rPr>
          <w:rFonts w:cs="Arial"/>
          <w:szCs w:val="24"/>
        </w:rPr>
        <w:t>doméstico sin responsabilidad para el patrono</w:t>
      </w:r>
      <w:r w:rsidR="0044640A">
        <w:rPr>
          <w:rFonts w:cs="Arial"/>
          <w:szCs w:val="24"/>
        </w:rPr>
        <w:t xml:space="preserve"> que el trabajador o trabajadora adolezca </w:t>
      </w:r>
      <w:r w:rsidRPr="00296354">
        <w:rPr>
          <w:rFonts w:cs="Arial"/>
          <w:szCs w:val="24"/>
        </w:rPr>
        <w:t>de enfermedades infectocontag</w:t>
      </w:r>
      <w:r w:rsidR="0044640A">
        <w:rPr>
          <w:rFonts w:cs="Arial"/>
          <w:szCs w:val="24"/>
        </w:rPr>
        <w:t xml:space="preserve">iosas, a menos que las hubiere </w:t>
      </w:r>
      <w:r w:rsidRPr="00296354">
        <w:rPr>
          <w:rFonts w:cs="Arial"/>
          <w:szCs w:val="24"/>
        </w:rPr>
        <w:t>adquirido en el lugar donde presta sus servicios, en cuyo ca</w:t>
      </w:r>
      <w:r w:rsidR="0044640A">
        <w:rPr>
          <w:rFonts w:cs="Arial"/>
          <w:szCs w:val="24"/>
        </w:rPr>
        <w:t xml:space="preserve">so procederá la suspensión del </w:t>
      </w:r>
      <w:r w:rsidRPr="00296354">
        <w:rPr>
          <w:rFonts w:cs="Arial"/>
          <w:szCs w:val="24"/>
        </w:rPr>
        <w:t>contrato</w:t>
      </w:r>
      <w:r w:rsidR="0044640A">
        <w:rPr>
          <w:rFonts w:cs="Arial"/>
          <w:szCs w:val="24"/>
        </w:rPr>
        <w:t>, entiéndase como enfermedad infectocontagiosa el VIH-Sida.</w:t>
      </w:r>
    </w:p>
    <w:p w:rsidR="0081299E" w:rsidRDefault="000D60F4" w:rsidP="0081299E">
      <w:pPr>
        <w:pStyle w:val="Ttulo3"/>
        <w:keepLines/>
        <w:numPr>
          <w:ilvl w:val="1"/>
          <w:numId w:val="39"/>
        </w:numPr>
        <w:spacing w:before="200" w:after="0"/>
        <w:rPr>
          <w:szCs w:val="24"/>
        </w:rPr>
      </w:pPr>
      <w:r>
        <w:rPr>
          <w:szCs w:val="24"/>
        </w:rPr>
        <w:t xml:space="preserve"> </w:t>
      </w:r>
      <w:bookmarkStart w:id="15" w:name="_Toc299639253"/>
      <w:bookmarkStart w:id="16" w:name="_Toc320694974"/>
      <w:r w:rsidRPr="00BF1DA7">
        <w:rPr>
          <w:szCs w:val="24"/>
        </w:rPr>
        <w:t>Ley</w:t>
      </w:r>
      <w:bookmarkEnd w:id="15"/>
      <w:bookmarkEnd w:id="16"/>
      <w:r w:rsidR="0081299E">
        <w:rPr>
          <w:szCs w:val="24"/>
        </w:rPr>
        <w:t xml:space="preserve"> General de Prevención de Riesgos en los Lugares de Trabajo.</w:t>
      </w:r>
    </w:p>
    <w:p w:rsidR="0081299E" w:rsidRPr="00D3584F" w:rsidRDefault="006C0CF1" w:rsidP="00D3584F">
      <w:pPr>
        <w:autoSpaceDE w:val="0"/>
        <w:autoSpaceDN w:val="0"/>
        <w:adjustRightInd w:val="0"/>
        <w:spacing w:after="0"/>
        <w:jc w:val="left"/>
      </w:pPr>
      <w:r>
        <w:t xml:space="preserve">El Art. 8 numeral 7, establece que será responsabilidad del empleador formular y ejecutar </w:t>
      </w:r>
      <w:r w:rsidR="0081299E" w:rsidRPr="006C0CF1">
        <w:rPr>
          <w:rFonts w:cs="Arial"/>
          <w:szCs w:val="24"/>
        </w:rPr>
        <w:t>el Programa de Gestión de</w:t>
      </w:r>
      <w:r>
        <w:t xml:space="preserve"> </w:t>
      </w:r>
      <w:r w:rsidR="0081299E" w:rsidRPr="006C0CF1">
        <w:rPr>
          <w:rFonts w:cs="Arial"/>
          <w:szCs w:val="24"/>
        </w:rPr>
        <w:t>Prevención de Riesgos Ocupacionales de su empresa, de acuerdo a su actividad y asignar los recursos</w:t>
      </w:r>
      <w:r>
        <w:t xml:space="preserve"> </w:t>
      </w:r>
      <w:r w:rsidR="0081299E" w:rsidRPr="006C0CF1">
        <w:rPr>
          <w:rFonts w:cs="Arial"/>
          <w:szCs w:val="24"/>
        </w:rPr>
        <w:t>necesarios para su ejecución. El empleador deberá garantizar la participación</w:t>
      </w:r>
      <w:r>
        <w:rPr>
          <w:rFonts w:cs="Arial"/>
          <w:szCs w:val="24"/>
        </w:rPr>
        <w:t xml:space="preserve"> efectiva de </w:t>
      </w:r>
      <w:r w:rsidR="0081299E" w:rsidRPr="006C0CF1">
        <w:rPr>
          <w:rFonts w:cs="Arial"/>
          <w:szCs w:val="24"/>
        </w:rPr>
        <w:t>trabajadores y</w:t>
      </w:r>
      <w:r>
        <w:t xml:space="preserve"> </w:t>
      </w:r>
      <w:r w:rsidR="0081299E" w:rsidRPr="006C0CF1">
        <w:rPr>
          <w:rFonts w:cs="Arial"/>
          <w:szCs w:val="24"/>
        </w:rPr>
        <w:t xml:space="preserve">trabajadoras en la elaboración, puesta en práctica y </w:t>
      </w:r>
      <w:r>
        <w:rPr>
          <w:rFonts w:cs="Arial"/>
          <w:szCs w:val="24"/>
        </w:rPr>
        <w:t xml:space="preserve">evaluación del referido programa, incluyendo dentro de </w:t>
      </w:r>
      <w:r w:rsidR="00D3584F">
        <w:rPr>
          <w:rFonts w:cs="Arial"/>
          <w:szCs w:val="24"/>
        </w:rPr>
        <w:t xml:space="preserve">estas, </w:t>
      </w:r>
      <w:r w:rsidR="0081299E" w:rsidRPr="006C0CF1">
        <w:rPr>
          <w:rFonts w:cs="Arial"/>
          <w:szCs w:val="24"/>
        </w:rPr>
        <w:t>programas complementarios sobre prevención de infecciones de transmisión sexual, VIH/SIDA, salud mental y salud</w:t>
      </w:r>
      <w:r w:rsidR="00D3584F">
        <w:t xml:space="preserve"> </w:t>
      </w:r>
      <w:r w:rsidR="0081299E" w:rsidRPr="006C0CF1">
        <w:rPr>
          <w:rFonts w:cs="Arial"/>
          <w:szCs w:val="24"/>
        </w:rPr>
        <w:t>reproductiva.</w:t>
      </w:r>
    </w:p>
    <w:p w:rsidR="00D3584F" w:rsidRDefault="0044640A" w:rsidP="00D3584F">
      <w:pPr>
        <w:pStyle w:val="Ttulo3"/>
        <w:keepLines/>
        <w:numPr>
          <w:ilvl w:val="1"/>
          <w:numId w:val="39"/>
        </w:numPr>
        <w:spacing w:before="200" w:after="0"/>
        <w:rPr>
          <w:szCs w:val="24"/>
        </w:rPr>
      </w:pPr>
      <w:r>
        <w:rPr>
          <w:szCs w:val="24"/>
        </w:rPr>
        <w:lastRenderedPageBreak/>
        <w:t xml:space="preserve"> </w:t>
      </w:r>
      <w:r w:rsidR="00D3584F">
        <w:rPr>
          <w:szCs w:val="24"/>
        </w:rPr>
        <w:t>Ley del Servicio Civil.</w:t>
      </w:r>
    </w:p>
    <w:p w:rsidR="00D3584F" w:rsidRPr="00D3584F" w:rsidRDefault="00D3584F" w:rsidP="00D3584F">
      <w:r>
        <w:t xml:space="preserve">En su capítulo III “Ingreso al Servicio Civil”, Art. 19 denominado “No podrán Ingresar a la Carrera Administrativa”, establece en su literal E que no podrán ingresar a la carrera Administrativa los </w:t>
      </w:r>
      <w:r w:rsidRPr="00D3584F">
        <w:t>que padezcan de enfermedad infecto-contagiosa</w:t>
      </w:r>
      <w:r>
        <w:t xml:space="preserve"> entiéndase el VIH-Sida como una de ellas.  </w:t>
      </w:r>
    </w:p>
    <w:p w:rsidR="00D3584F" w:rsidRDefault="00D3584F" w:rsidP="00D3584F">
      <w:pPr>
        <w:pStyle w:val="Ttulo3"/>
        <w:keepLines/>
        <w:numPr>
          <w:ilvl w:val="1"/>
          <w:numId w:val="39"/>
        </w:numPr>
        <w:spacing w:before="200" w:after="0"/>
        <w:rPr>
          <w:szCs w:val="24"/>
        </w:rPr>
      </w:pPr>
      <w:r>
        <w:rPr>
          <w:szCs w:val="24"/>
        </w:rPr>
        <w:t xml:space="preserve"> </w:t>
      </w:r>
      <w:r w:rsidR="0044640A">
        <w:rPr>
          <w:szCs w:val="24"/>
        </w:rPr>
        <w:t>Ley Penitenciaria.</w:t>
      </w:r>
      <w:r>
        <w:rPr>
          <w:szCs w:val="24"/>
        </w:rPr>
        <w:t xml:space="preserve"> </w:t>
      </w:r>
    </w:p>
    <w:p w:rsidR="000D60F4" w:rsidRPr="002472DF" w:rsidRDefault="000D60F4" w:rsidP="000D60F4">
      <w:pPr>
        <w:rPr>
          <w:rFonts w:cs="Arial"/>
          <w:szCs w:val="24"/>
        </w:rPr>
      </w:pPr>
      <w:r w:rsidRPr="002472DF">
        <w:rPr>
          <w:rFonts w:cs="Arial"/>
          <w:szCs w:val="24"/>
        </w:rPr>
        <w:t>La Ley Penitenciaria contempla en el capítulo II</w:t>
      </w:r>
      <w:r>
        <w:rPr>
          <w:rFonts w:cs="Arial"/>
          <w:szCs w:val="24"/>
        </w:rPr>
        <w:t>,</w:t>
      </w:r>
      <w:r w:rsidRPr="002472DF">
        <w:rPr>
          <w:rFonts w:cs="Arial"/>
          <w:szCs w:val="24"/>
        </w:rPr>
        <w:t xml:space="preserve"> Legalidad y Control Judicial lo referente a humanidad e Igualdad, estableciendo que: “No se discriminará a ningún interno por razón de su nacionalidad, sexo, raza, religión, tendencia u opinión política, condición económica  o social o cualquier otra circunstancia.” </w:t>
      </w:r>
    </w:p>
    <w:p w:rsidR="000D60F4" w:rsidRDefault="000D60F4" w:rsidP="000D60F4">
      <w:pPr>
        <w:rPr>
          <w:rFonts w:cs="Arial"/>
          <w:szCs w:val="24"/>
        </w:rPr>
      </w:pPr>
      <w:r w:rsidRPr="002472DF">
        <w:rPr>
          <w:rFonts w:cs="Arial"/>
          <w:szCs w:val="24"/>
        </w:rPr>
        <w:t>En lo referente a derechos y obligaciones de los Internos (Art. 9), está regulado que todos los internos, sin perjuicio de los derechos establecidos en la</w:t>
      </w:r>
      <w:r>
        <w:rPr>
          <w:rFonts w:cs="Arial"/>
          <w:szCs w:val="24"/>
        </w:rPr>
        <w:t xml:space="preserve"> </w:t>
      </w:r>
      <w:r w:rsidRPr="002472DF">
        <w:rPr>
          <w:rFonts w:cs="Arial"/>
          <w:szCs w:val="24"/>
        </w:rPr>
        <w:t xml:space="preserve">Constitución de la República y otras disposiciones legales, dispondrán, entre otros,  de los derechos siguientes:  </w:t>
      </w:r>
    </w:p>
    <w:p w:rsidR="000D60F4" w:rsidRDefault="000D60F4" w:rsidP="000D60F4">
      <w:pPr>
        <w:pStyle w:val="Prrafodelista"/>
        <w:numPr>
          <w:ilvl w:val="0"/>
          <w:numId w:val="41"/>
        </w:numPr>
        <w:contextualSpacing/>
        <w:rPr>
          <w:rFonts w:cs="Arial"/>
          <w:szCs w:val="24"/>
        </w:rPr>
      </w:pPr>
      <w:r w:rsidRPr="002472DF">
        <w:rPr>
          <w:rFonts w:cs="Arial"/>
          <w:szCs w:val="24"/>
        </w:rPr>
        <w:t>A que el establecimiento  donde esté guardando prisión cuente con las instalaciones sanitarias y médicas mínimas para  garantizar la preservación de su vida, salud e integridad física. Estos servicios se deberán prestar en su caso, por el personal médico adecuado,</w:t>
      </w:r>
      <w:r>
        <w:rPr>
          <w:rFonts w:cs="Arial"/>
          <w:szCs w:val="24"/>
        </w:rPr>
        <w:t xml:space="preserve"> de manera gratuita y oportuna;</w:t>
      </w:r>
    </w:p>
    <w:p w:rsidR="000D60F4" w:rsidRDefault="000D60F4" w:rsidP="000D60F4">
      <w:pPr>
        <w:pStyle w:val="Prrafodelista"/>
        <w:numPr>
          <w:ilvl w:val="0"/>
          <w:numId w:val="41"/>
        </w:numPr>
        <w:contextualSpacing/>
        <w:rPr>
          <w:rFonts w:cs="Arial"/>
          <w:szCs w:val="24"/>
        </w:rPr>
      </w:pPr>
      <w:r w:rsidRPr="00264989">
        <w:rPr>
          <w:rFonts w:cs="Arial"/>
          <w:szCs w:val="24"/>
        </w:rPr>
        <w:t xml:space="preserve">Al respeto de su dignidad en cualquier situación o actividad; </w:t>
      </w:r>
    </w:p>
    <w:p w:rsidR="000D60F4" w:rsidRDefault="000D60F4" w:rsidP="000D60F4">
      <w:pPr>
        <w:pStyle w:val="Prrafodelista"/>
        <w:numPr>
          <w:ilvl w:val="0"/>
          <w:numId w:val="41"/>
        </w:numPr>
        <w:contextualSpacing/>
        <w:rPr>
          <w:rFonts w:cs="Arial"/>
          <w:szCs w:val="24"/>
        </w:rPr>
      </w:pPr>
      <w:r w:rsidRPr="00264989">
        <w:rPr>
          <w:rFonts w:cs="Arial"/>
          <w:szCs w:val="24"/>
        </w:rPr>
        <w:t xml:space="preserve">A un trabajo rentable que no sea aflictivo; </w:t>
      </w:r>
    </w:p>
    <w:p w:rsidR="000D60F4" w:rsidRDefault="000D60F4" w:rsidP="000D60F4">
      <w:pPr>
        <w:pStyle w:val="Prrafodelista"/>
        <w:numPr>
          <w:ilvl w:val="0"/>
          <w:numId w:val="41"/>
        </w:numPr>
        <w:contextualSpacing/>
        <w:rPr>
          <w:rFonts w:cs="Arial"/>
          <w:szCs w:val="24"/>
        </w:rPr>
      </w:pPr>
      <w:r w:rsidRPr="00264989">
        <w:rPr>
          <w:rFonts w:cs="Arial"/>
          <w:szCs w:val="24"/>
        </w:rPr>
        <w:t xml:space="preserve">A la libertad ambulatoria dentro del centro de detención, sin más limitaciones que las propias del régimen que se le está aplicando;  </w:t>
      </w:r>
    </w:p>
    <w:p w:rsidR="000D60F4" w:rsidRDefault="000D60F4" w:rsidP="000D60F4">
      <w:pPr>
        <w:pStyle w:val="Prrafodelista"/>
        <w:numPr>
          <w:ilvl w:val="0"/>
          <w:numId w:val="41"/>
        </w:numPr>
        <w:contextualSpacing/>
        <w:rPr>
          <w:rFonts w:cs="Arial"/>
          <w:szCs w:val="24"/>
        </w:rPr>
      </w:pPr>
      <w:r w:rsidRPr="00264989">
        <w:rPr>
          <w:rFonts w:cs="Arial"/>
          <w:szCs w:val="24"/>
        </w:rPr>
        <w:t xml:space="preserve">A obtener información ya sea escrita, televisiva o radial; </w:t>
      </w:r>
    </w:p>
    <w:p w:rsidR="000D60F4" w:rsidRDefault="000D60F4" w:rsidP="000D60F4">
      <w:pPr>
        <w:pStyle w:val="Prrafodelista"/>
        <w:numPr>
          <w:ilvl w:val="0"/>
          <w:numId w:val="41"/>
        </w:numPr>
        <w:contextualSpacing/>
        <w:rPr>
          <w:rFonts w:cs="Arial"/>
          <w:szCs w:val="24"/>
        </w:rPr>
      </w:pPr>
      <w:r w:rsidRPr="00264989">
        <w:rPr>
          <w:rFonts w:cs="Arial"/>
          <w:szCs w:val="24"/>
        </w:rPr>
        <w:t xml:space="preserve">A mantener sus relaciones de familia; </w:t>
      </w:r>
    </w:p>
    <w:p w:rsidR="000D60F4" w:rsidRDefault="000D60F4" w:rsidP="000D60F4">
      <w:pPr>
        <w:pStyle w:val="Prrafodelista"/>
        <w:numPr>
          <w:ilvl w:val="0"/>
          <w:numId w:val="41"/>
        </w:numPr>
        <w:contextualSpacing/>
        <w:rPr>
          <w:rFonts w:cs="Arial"/>
          <w:szCs w:val="24"/>
        </w:rPr>
      </w:pPr>
      <w:r w:rsidRPr="00264989">
        <w:rPr>
          <w:rFonts w:cs="Arial"/>
          <w:szCs w:val="24"/>
        </w:rPr>
        <w:t xml:space="preserve">A disponer  dentro de los establecimientos de detención, locales adecuados y dignos; </w:t>
      </w:r>
    </w:p>
    <w:p w:rsidR="000D60F4" w:rsidRPr="00264989" w:rsidRDefault="000D60F4" w:rsidP="000D60F4">
      <w:pPr>
        <w:pStyle w:val="Prrafodelista"/>
        <w:numPr>
          <w:ilvl w:val="0"/>
          <w:numId w:val="41"/>
        </w:numPr>
        <w:contextualSpacing/>
        <w:rPr>
          <w:rFonts w:cs="Arial"/>
          <w:szCs w:val="24"/>
        </w:rPr>
      </w:pPr>
      <w:r w:rsidRPr="00264989">
        <w:rPr>
          <w:rFonts w:cs="Arial"/>
          <w:szCs w:val="24"/>
        </w:rPr>
        <w:t>A que las decisiones que se le apliquen referentes al régimen, tratamiento y beneficios penitenciarios se fundamenten en criterios técnicos y científicos.</w:t>
      </w:r>
    </w:p>
    <w:p w:rsidR="000D60F4" w:rsidRPr="00BF1DA7" w:rsidRDefault="000D60F4" w:rsidP="000D60F4">
      <w:pPr>
        <w:pStyle w:val="Ttulo3"/>
        <w:ind w:left="720"/>
        <w:rPr>
          <w:szCs w:val="24"/>
        </w:rPr>
      </w:pPr>
      <w:bookmarkStart w:id="17" w:name="_Toc299639254"/>
      <w:bookmarkStart w:id="18" w:name="_Toc320694975"/>
      <w:r>
        <w:rPr>
          <w:szCs w:val="24"/>
        </w:rPr>
        <w:lastRenderedPageBreak/>
        <w:t>1.7</w:t>
      </w:r>
      <w:r w:rsidRPr="00BF1DA7">
        <w:rPr>
          <w:szCs w:val="24"/>
        </w:rPr>
        <w:t xml:space="preserve"> Código de familia.</w:t>
      </w:r>
      <w:bookmarkEnd w:id="17"/>
      <w:bookmarkEnd w:id="18"/>
      <w:r w:rsidRPr="00BF1DA7">
        <w:rPr>
          <w:szCs w:val="24"/>
        </w:rPr>
        <w:t xml:space="preserve"> </w:t>
      </w:r>
    </w:p>
    <w:p w:rsidR="000D60F4" w:rsidRPr="00264989" w:rsidRDefault="000D60F4" w:rsidP="000D60F4">
      <w:pPr>
        <w:rPr>
          <w:rFonts w:cs="Arial"/>
          <w:szCs w:val="24"/>
        </w:rPr>
      </w:pPr>
      <w:r w:rsidRPr="00264989">
        <w:rPr>
          <w:rFonts w:cs="Arial"/>
          <w:szCs w:val="24"/>
        </w:rPr>
        <w:t xml:space="preserve">El Código de Familia establece el régimen jurídico de la familia, de los menores y de las personas de la tercera edad y consecuentemente, regula las relaciones de sus miembros y de éstos con la sociedad y con las entidades estatales. </w:t>
      </w:r>
    </w:p>
    <w:p w:rsidR="000D60F4" w:rsidRPr="00264989" w:rsidRDefault="000D60F4" w:rsidP="000D60F4">
      <w:pPr>
        <w:rPr>
          <w:rFonts w:cs="Arial"/>
          <w:szCs w:val="24"/>
        </w:rPr>
      </w:pPr>
      <w:r w:rsidRPr="00264989">
        <w:rPr>
          <w:rFonts w:cs="Arial"/>
          <w:szCs w:val="24"/>
        </w:rPr>
        <w:t>La protección de la familia es responsabilidad del Estado, debiendo procurar su integración, bienestar, desarrollo social, cultural y económico. Se establece la igualdad de derechos y deberes, señalándose que los cónyuges tienen iguales derechos y deberes y por la comunidad de vida que  entre ellos se establece, deben vivir juntos, guardarse fidelidad, asistirse en toda circunstancia y tratarse con respeto, tolerancia y consideración.</w:t>
      </w:r>
    </w:p>
    <w:p w:rsidR="000D60F4" w:rsidRPr="002472DF" w:rsidRDefault="000D60F4" w:rsidP="000D60F4">
      <w:pPr>
        <w:pStyle w:val="Ttulo3"/>
        <w:keepLines/>
        <w:numPr>
          <w:ilvl w:val="1"/>
          <w:numId w:val="40"/>
        </w:numPr>
        <w:spacing w:before="200" w:after="0"/>
        <w:rPr>
          <w:szCs w:val="24"/>
        </w:rPr>
      </w:pPr>
      <w:r>
        <w:rPr>
          <w:szCs w:val="24"/>
        </w:rPr>
        <w:t xml:space="preserve"> </w:t>
      </w:r>
      <w:bookmarkStart w:id="19" w:name="_Toc299639255"/>
      <w:bookmarkStart w:id="20" w:name="_Toc320694976"/>
      <w:r w:rsidRPr="002472DF">
        <w:rPr>
          <w:szCs w:val="24"/>
        </w:rPr>
        <w:t>Ley contra la violencia intrafamiliar.</w:t>
      </w:r>
      <w:bookmarkEnd w:id="19"/>
      <w:bookmarkEnd w:id="20"/>
    </w:p>
    <w:p w:rsidR="000D60F4" w:rsidRPr="00264989" w:rsidRDefault="000D60F4" w:rsidP="000D60F4">
      <w:pPr>
        <w:rPr>
          <w:rFonts w:cs="Arial"/>
          <w:szCs w:val="24"/>
        </w:rPr>
      </w:pPr>
      <w:r w:rsidRPr="00264989">
        <w:rPr>
          <w:rFonts w:cs="Arial"/>
          <w:szCs w:val="24"/>
        </w:rPr>
        <w:t xml:space="preserve">La Ley contra la Violencia Intrafamiliar contempla en uno de sus fines la protección de forma especial a las víctimas de violencia en las relaciones de pareja, de niños y niñas, adolescentes, personas adultas mayores y personas discapacitadas. </w:t>
      </w:r>
    </w:p>
    <w:p w:rsidR="000D60F4" w:rsidRDefault="000D60F4" w:rsidP="000D60F4">
      <w:pPr>
        <w:rPr>
          <w:rFonts w:cs="Arial"/>
          <w:szCs w:val="24"/>
        </w:rPr>
      </w:pPr>
      <w:r w:rsidRPr="00264989">
        <w:rPr>
          <w:rFonts w:cs="Arial"/>
          <w:szCs w:val="24"/>
        </w:rPr>
        <w:t xml:space="preserve">Entre sus principios Rectores se encuentran el respeto a la vida, a la dignidad e integridad física, psicológica y sexual de la persona; el derecho a una vida digna libre de violencia, en el ámbito público como en el privado.  </w:t>
      </w:r>
    </w:p>
    <w:p w:rsidR="000D60F4" w:rsidRPr="000666F8" w:rsidRDefault="000D60F4" w:rsidP="000D60F4">
      <w:pPr>
        <w:rPr>
          <w:rFonts w:cs="Arial"/>
          <w:szCs w:val="24"/>
        </w:rPr>
      </w:pPr>
    </w:p>
    <w:p w:rsidR="000D60F4" w:rsidRPr="00256006" w:rsidRDefault="000D60F4" w:rsidP="000D60F4">
      <w:pPr>
        <w:pStyle w:val="Ttulo2"/>
        <w:keepLines/>
        <w:numPr>
          <w:ilvl w:val="0"/>
          <w:numId w:val="39"/>
        </w:numPr>
        <w:spacing w:before="200" w:after="0"/>
        <w:rPr>
          <w:u w:val="single"/>
        </w:rPr>
      </w:pPr>
      <w:bookmarkStart w:id="21" w:name="_Toc299639256"/>
      <w:bookmarkStart w:id="22" w:name="_Toc320694977"/>
      <w:r w:rsidRPr="00256006">
        <w:rPr>
          <w:u w:val="single"/>
        </w:rPr>
        <w:t>Compromisos Nacionales asumidos por el Estado Salvadoreño</w:t>
      </w:r>
      <w:bookmarkEnd w:id="21"/>
      <w:bookmarkEnd w:id="22"/>
    </w:p>
    <w:p w:rsidR="000D60F4" w:rsidRDefault="000D60F4" w:rsidP="000D60F4">
      <w:pPr>
        <w:pStyle w:val="Ttulo3"/>
        <w:keepLines/>
        <w:numPr>
          <w:ilvl w:val="1"/>
          <w:numId w:val="39"/>
        </w:numPr>
        <w:spacing w:before="200" w:after="0"/>
        <w:rPr>
          <w:szCs w:val="24"/>
        </w:rPr>
      </w:pPr>
      <w:r>
        <w:rPr>
          <w:szCs w:val="24"/>
        </w:rPr>
        <w:t xml:space="preserve"> </w:t>
      </w:r>
      <w:bookmarkStart w:id="23" w:name="_Toc299639257"/>
      <w:bookmarkStart w:id="24" w:name="_Toc320694978"/>
      <w:r w:rsidRPr="000666F8">
        <w:rPr>
          <w:szCs w:val="24"/>
        </w:rPr>
        <w:t>Política nacional de la mujer.</w:t>
      </w:r>
      <w:bookmarkEnd w:id="23"/>
      <w:bookmarkEnd w:id="24"/>
    </w:p>
    <w:p w:rsidR="000D60F4" w:rsidRPr="00907FD7" w:rsidRDefault="000D60F4" w:rsidP="000D60F4">
      <w:pPr>
        <w:rPr>
          <w:rFonts w:cs="Arial"/>
          <w:szCs w:val="24"/>
        </w:rPr>
      </w:pPr>
      <w:r w:rsidRPr="00907FD7">
        <w:rPr>
          <w:rFonts w:cs="Arial"/>
          <w:szCs w:val="24"/>
        </w:rPr>
        <w:t>En la Política Nacional de la Mujer se establece que uno de  sus principios es la igualdad de todas las personas en la sociedad a través de la construcción de condiciones que permitan fomentar la igualdad de oportunidades entre mujeres y hombres. En sus distintas áreas contemplan la necesidad de dar prioridad a las acciones tendientes a que las mujeres puedan disfrutar del derecho a mejores niveles de salud física y mental, así como garantizar el acceso al trabajo, educación, participación política y social en condiciones de equidad.</w:t>
      </w:r>
    </w:p>
    <w:p w:rsidR="000D60F4" w:rsidRPr="00C336AA" w:rsidRDefault="000D60F4" w:rsidP="000D60F4">
      <w:pPr>
        <w:pStyle w:val="Ttulo3"/>
        <w:rPr>
          <w:rFonts w:ascii="Arial" w:hAnsi="Arial" w:cs="Arial"/>
          <w:b w:val="0"/>
          <w:szCs w:val="24"/>
        </w:rPr>
      </w:pPr>
      <w:r w:rsidRPr="00C336AA">
        <w:rPr>
          <w:rFonts w:ascii="Arial" w:hAnsi="Arial" w:cs="Arial"/>
          <w:b w:val="0"/>
          <w:szCs w:val="24"/>
        </w:rPr>
        <w:lastRenderedPageBreak/>
        <w:t xml:space="preserve">  </w:t>
      </w:r>
    </w:p>
    <w:p w:rsidR="000D60F4" w:rsidRPr="00256006" w:rsidRDefault="000D60F4" w:rsidP="000D60F4">
      <w:pPr>
        <w:pStyle w:val="Ttulo2"/>
        <w:keepLines/>
        <w:numPr>
          <w:ilvl w:val="0"/>
          <w:numId w:val="39"/>
        </w:numPr>
        <w:spacing w:before="200" w:after="0"/>
        <w:rPr>
          <w:u w:val="single"/>
        </w:rPr>
      </w:pPr>
      <w:bookmarkStart w:id="25" w:name="_Toc299639258"/>
      <w:bookmarkStart w:id="26" w:name="_Toc320694979"/>
      <w:r w:rsidRPr="00256006">
        <w:rPr>
          <w:u w:val="single"/>
        </w:rPr>
        <w:t>Compromisos internacionales ratificados por el Estado Salvadoreño.</w:t>
      </w:r>
      <w:bookmarkEnd w:id="25"/>
      <w:bookmarkEnd w:id="26"/>
      <w:r w:rsidRPr="00256006">
        <w:rPr>
          <w:u w:val="single"/>
        </w:rPr>
        <w:t xml:space="preserve"> </w:t>
      </w:r>
    </w:p>
    <w:p w:rsidR="000D60F4" w:rsidRDefault="000D60F4" w:rsidP="000D60F4">
      <w:pPr>
        <w:pStyle w:val="Ttulo3"/>
        <w:keepLines/>
        <w:numPr>
          <w:ilvl w:val="1"/>
          <w:numId w:val="39"/>
        </w:numPr>
        <w:spacing w:before="200" w:after="0"/>
        <w:rPr>
          <w:szCs w:val="24"/>
        </w:rPr>
      </w:pPr>
      <w:r>
        <w:rPr>
          <w:szCs w:val="24"/>
        </w:rPr>
        <w:t xml:space="preserve"> </w:t>
      </w:r>
      <w:bookmarkStart w:id="27" w:name="_Toc299639259"/>
      <w:bookmarkStart w:id="28" w:name="_Toc320694980"/>
      <w:r w:rsidRPr="000666F8">
        <w:rPr>
          <w:szCs w:val="24"/>
        </w:rPr>
        <w:t>Pacto internacional de derechos civiles y políticos.</w:t>
      </w:r>
      <w:bookmarkEnd w:id="27"/>
      <w:bookmarkEnd w:id="28"/>
    </w:p>
    <w:p w:rsidR="000D60F4" w:rsidRPr="00C336AA" w:rsidRDefault="000D60F4" w:rsidP="000D60F4">
      <w:pPr>
        <w:rPr>
          <w:rFonts w:cs="Arial"/>
          <w:szCs w:val="24"/>
        </w:rPr>
      </w:pPr>
      <w:r w:rsidRPr="00C336AA">
        <w:rPr>
          <w:rFonts w:cs="Arial"/>
          <w:szCs w:val="24"/>
        </w:rPr>
        <w:t>Reconoce a toda persona sin distinción alguna el derecho a un recurso efectivo ante la violación a los derechos establecidos en el mismo, a la vida, a la libertad y seguridad personal, a la familia, a la igualdad ante la Ley. Prohíbe someter a toda persona a tratos crueles y degradantes, el trabajo forzoso. Lo que significa que aún cuando las personas vivan con VIH-SIDA, tienen el mismo derecho a interponer ante la instancia corr</w:t>
      </w:r>
      <w:r>
        <w:rPr>
          <w:rFonts w:cs="Arial"/>
          <w:szCs w:val="24"/>
        </w:rPr>
        <w:t>espondiente el debido proceso.</w:t>
      </w:r>
    </w:p>
    <w:p w:rsidR="000D60F4" w:rsidRDefault="000D60F4" w:rsidP="000D60F4">
      <w:pPr>
        <w:pStyle w:val="Ttulo3"/>
        <w:keepLines/>
        <w:numPr>
          <w:ilvl w:val="1"/>
          <w:numId w:val="39"/>
        </w:numPr>
        <w:spacing w:before="200" w:after="0"/>
        <w:rPr>
          <w:szCs w:val="24"/>
        </w:rPr>
      </w:pPr>
      <w:r>
        <w:rPr>
          <w:szCs w:val="24"/>
        </w:rPr>
        <w:t xml:space="preserve"> </w:t>
      </w:r>
      <w:bookmarkStart w:id="29" w:name="_Toc299639260"/>
      <w:bookmarkStart w:id="30" w:name="_Toc320694981"/>
      <w:r w:rsidRPr="000666F8">
        <w:rPr>
          <w:szCs w:val="24"/>
        </w:rPr>
        <w:t>Convención sobre los derechos del niño.</w:t>
      </w:r>
      <w:bookmarkEnd w:id="29"/>
      <w:bookmarkEnd w:id="30"/>
    </w:p>
    <w:p w:rsidR="000D60F4" w:rsidRPr="00C336AA" w:rsidRDefault="000D60F4" w:rsidP="000D60F4">
      <w:pPr>
        <w:rPr>
          <w:rFonts w:cs="Arial"/>
          <w:szCs w:val="24"/>
        </w:rPr>
      </w:pPr>
      <w:r w:rsidRPr="00C336AA">
        <w:rPr>
          <w:rFonts w:cs="Arial"/>
          <w:szCs w:val="24"/>
        </w:rPr>
        <w:t>En la Convención se reconoce que la familia como grupo fundamental de la sociedad y medio natural para el reconocimiento y el bienestar de todos sus miembros en particular de la niñez, debe recibir la protección y asistencia necesaria  y el estado está obligado a respetar todos sus derechos sin distinción alguna. Los derechos consagrados en los princip</w:t>
      </w:r>
      <w:r>
        <w:rPr>
          <w:rFonts w:cs="Arial"/>
          <w:szCs w:val="24"/>
        </w:rPr>
        <w:t>ios generales de la Convención (</w:t>
      </w:r>
      <w:r w:rsidRPr="00C336AA">
        <w:rPr>
          <w:rFonts w:cs="Arial"/>
          <w:szCs w:val="24"/>
        </w:rPr>
        <w:t>el derecho a ser protegido contra toda forma de discriminación (art. 2), el derecho de la niñez a que sus intereses merezcan una consideración primordial (art. 3), el derecho  a la vida, la supervivencia y el desarrollo (art. 6) y el derecho a que se tenga debidamente en cuenta su opinión (art. 12)</w:t>
      </w:r>
      <w:r>
        <w:rPr>
          <w:rFonts w:cs="Arial"/>
          <w:szCs w:val="24"/>
        </w:rPr>
        <w:t>)</w:t>
      </w:r>
      <w:r w:rsidRPr="00C336AA">
        <w:rPr>
          <w:rFonts w:cs="Arial"/>
          <w:szCs w:val="24"/>
        </w:rPr>
        <w:t xml:space="preserve"> deberían, ser los ejes que orienten el abordaje de la temática del VIH/SIDA en todos los niveles de prevención, tratamiento, atención y apoyo dirigidos a la niñez. </w:t>
      </w:r>
    </w:p>
    <w:p w:rsidR="000D60F4" w:rsidRPr="00C336AA" w:rsidRDefault="000D60F4" w:rsidP="000D60F4">
      <w:pPr>
        <w:rPr>
          <w:rFonts w:cs="Arial"/>
          <w:szCs w:val="24"/>
        </w:rPr>
      </w:pPr>
      <w:r w:rsidRPr="00C336AA">
        <w:rPr>
          <w:rFonts w:cs="Arial"/>
          <w:szCs w:val="24"/>
        </w:rPr>
        <w:t>Muchos de los derechos contemplados en la Convención cobran gran relevancia en el cuidado y apoyo a la niñez respecto al VIH-SIDA, tales como el no ser objeto de tráfico, explotación sexual y abusos sexuales, ya que  esta violencia, entre otros factores aumenta sus condiciones de vulnerabilidad al VIH-SIDA.</w:t>
      </w:r>
    </w:p>
    <w:p w:rsidR="000D60F4" w:rsidRDefault="000D60F4" w:rsidP="000D60F4">
      <w:pPr>
        <w:pStyle w:val="Ttulo3"/>
        <w:keepLines/>
        <w:numPr>
          <w:ilvl w:val="1"/>
          <w:numId w:val="39"/>
        </w:numPr>
        <w:spacing w:before="200" w:after="0"/>
        <w:rPr>
          <w:szCs w:val="24"/>
        </w:rPr>
      </w:pPr>
      <w:r>
        <w:rPr>
          <w:szCs w:val="24"/>
        </w:rPr>
        <w:lastRenderedPageBreak/>
        <w:t xml:space="preserve"> </w:t>
      </w:r>
      <w:bookmarkStart w:id="31" w:name="_Toc299639261"/>
      <w:bookmarkStart w:id="32" w:name="_Toc320694982"/>
      <w:r w:rsidRPr="000666F8">
        <w:rPr>
          <w:szCs w:val="24"/>
        </w:rPr>
        <w:t xml:space="preserve">Convención sobre la eliminación </w:t>
      </w:r>
      <w:r>
        <w:rPr>
          <w:szCs w:val="24"/>
        </w:rPr>
        <w:t xml:space="preserve">de todas las formas de </w:t>
      </w:r>
      <w:r w:rsidRPr="000666F8">
        <w:rPr>
          <w:szCs w:val="24"/>
        </w:rPr>
        <w:t>discriminación contra la mujer.</w:t>
      </w:r>
      <w:bookmarkEnd w:id="31"/>
      <w:bookmarkEnd w:id="32"/>
    </w:p>
    <w:p w:rsidR="000D60F4" w:rsidRPr="00C86ED1" w:rsidRDefault="000D60F4" w:rsidP="000D60F4">
      <w:pPr>
        <w:rPr>
          <w:rFonts w:cs="Arial"/>
          <w:szCs w:val="24"/>
        </w:rPr>
      </w:pPr>
      <w:r w:rsidRPr="00C86ED1">
        <w:rPr>
          <w:rFonts w:cs="Arial"/>
          <w:szCs w:val="24"/>
        </w:rPr>
        <w:t xml:space="preserve">La discriminación contra la mujer es incompatible con la dignidad humana y el bienestar de la familia y la sociedad, puesto que su participación es indispensable para el desarrollo del país. La Convención exige  tomas de medidas para garantizar sus derechos y a ser tratada con igualdad de condiciones libre de toda forma de discriminación. Ante una situación de VIH-SIDA  la vulnerabilidad de la mujer  se agudiza mas cuando es objeto de violencia no solo física sino emocional, sexual y todas 21 las  otras formas de violencia y discriminación  que existan,  esta convención es un asidero legal a fin de disminuir ésta problemática. </w:t>
      </w:r>
    </w:p>
    <w:p w:rsidR="000D60F4" w:rsidRPr="00C86ED1" w:rsidRDefault="000D60F4" w:rsidP="000D60F4">
      <w:pPr>
        <w:rPr>
          <w:rFonts w:cs="Arial"/>
          <w:szCs w:val="24"/>
        </w:rPr>
      </w:pPr>
      <w:r w:rsidRPr="00C86ED1">
        <w:rPr>
          <w:rFonts w:cs="Arial"/>
          <w:szCs w:val="24"/>
        </w:rPr>
        <w:t>Se ha subrayado los efectos de la discriminación por motivos de género al tratar el derecho de la mujer a la salud sexual y reproductiva: La discriminación por razones de género limita la capacidad de la mujer de protegerse contra la infección del VIH y responder a sus consecuencias. La vulnerabilidad de mujeres y jóvenes al VIH y al SIDA se complica con otros problemas de los derechos humanos como son el acceso inadecuado a la información, la educación y los servicios necesarios para garantizar la salud sexual; la violencia sexual; las prácticas tradicionales o consuetudinarias nocivas que afectan a la salud de mujeres y niños (como el matrimonio precoz y el matrimonio forzoso), y la falta de capacidad jurídica e igualdad en cuestiones tales como el matrimonio y el divorcio.</w:t>
      </w:r>
    </w:p>
    <w:p w:rsidR="000D60F4" w:rsidRDefault="000D60F4" w:rsidP="000D60F4">
      <w:pPr>
        <w:pStyle w:val="Ttulo3"/>
        <w:keepLines/>
        <w:numPr>
          <w:ilvl w:val="1"/>
          <w:numId w:val="39"/>
        </w:numPr>
        <w:spacing w:before="200" w:after="0"/>
        <w:rPr>
          <w:szCs w:val="24"/>
        </w:rPr>
      </w:pPr>
      <w:r w:rsidRPr="000666F8">
        <w:rPr>
          <w:szCs w:val="24"/>
        </w:rPr>
        <w:t xml:space="preserve"> </w:t>
      </w:r>
      <w:bookmarkStart w:id="33" w:name="_Toc299639262"/>
      <w:bookmarkStart w:id="34" w:name="_Toc320694983"/>
      <w:r w:rsidRPr="000666F8">
        <w:rPr>
          <w:szCs w:val="24"/>
        </w:rPr>
        <w:t>Convención interamericana para prevenir, sancionar y erradicar la violencia contra la mujer. (Convención de Belem Do Pará).</w:t>
      </w:r>
      <w:bookmarkEnd w:id="33"/>
      <w:bookmarkEnd w:id="34"/>
    </w:p>
    <w:p w:rsidR="000D60F4" w:rsidRPr="00740BCF" w:rsidRDefault="000D60F4" w:rsidP="000D60F4">
      <w:pPr>
        <w:rPr>
          <w:rFonts w:cs="Arial"/>
          <w:szCs w:val="24"/>
        </w:rPr>
      </w:pPr>
      <w:r w:rsidRPr="00740BCF">
        <w:rPr>
          <w:rFonts w:cs="Arial"/>
          <w:szCs w:val="24"/>
        </w:rPr>
        <w:t xml:space="preserve">Esta convención reconoce que la eliminación de la violencia contra la mujer  es condición indispensable para su desarrollo, individual y social y su plena e igualitaria participación en todas las esferas de vida”, y establece los deberes de los Estados al respecto. Estos deberes incluyen, entre otros, los siguientes:  </w:t>
      </w:r>
    </w:p>
    <w:p w:rsidR="000D60F4" w:rsidRPr="00740BCF" w:rsidRDefault="000D60F4" w:rsidP="000D60F4">
      <w:pPr>
        <w:pStyle w:val="Prrafodelista"/>
        <w:numPr>
          <w:ilvl w:val="0"/>
          <w:numId w:val="42"/>
        </w:numPr>
        <w:contextualSpacing/>
        <w:rPr>
          <w:rFonts w:cs="Arial"/>
          <w:szCs w:val="24"/>
        </w:rPr>
      </w:pPr>
      <w:r w:rsidRPr="00740BCF">
        <w:rPr>
          <w:rFonts w:cs="Arial"/>
          <w:szCs w:val="24"/>
        </w:rPr>
        <w:t xml:space="preserve">“Incluir en su legislación interna normas penales, civiles y administrativas para prevenir, sancionar y erradicar la violencia contra la mujer” (artículo 7c).  </w:t>
      </w:r>
    </w:p>
    <w:p w:rsidR="000D60F4" w:rsidRPr="00740BCF" w:rsidRDefault="000D60F4" w:rsidP="000D60F4">
      <w:pPr>
        <w:pStyle w:val="Prrafodelista"/>
        <w:numPr>
          <w:ilvl w:val="0"/>
          <w:numId w:val="42"/>
        </w:numPr>
        <w:contextualSpacing/>
        <w:rPr>
          <w:rFonts w:cs="Arial"/>
          <w:szCs w:val="24"/>
        </w:rPr>
      </w:pPr>
      <w:r w:rsidRPr="00740BCF">
        <w:rPr>
          <w:rFonts w:cs="Arial"/>
          <w:szCs w:val="24"/>
        </w:rPr>
        <w:lastRenderedPageBreak/>
        <w:t>“Establecer procedimientos legales justos y eficaces para la mujer que haya sido sometida a violencia, que incluyan, entre otros, medidas de protección, un juicio oportuno y el acceso efectivo a tales procedimientos” (artículo 7f).</w:t>
      </w:r>
    </w:p>
    <w:p w:rsidR="000D60F4" w:rsidRPr="00740BCF" w:rsidRDefault="000D60F4" w:rsidP="000D60F4">
      <w:pPr>
        <w:pStyle w:val="Prrafodelista"/>
        <w:numPr>
          <w:ilvl w:val="0"/>
          <w:numId w:val="42"/>
        </w:numPr>
        <w:contextualSpacing/>
        <w:rPr>
          <w:rFonts w:cs="Arial"/>
          <w:szCs w:val="24"/>
        </w:rPr>
      </w:pPr>
      <w:r w:rsidRPr="00740BCF">
        <w:rPr>
          <w:rFonts w:cs="Arial"/>
          <w:szCs w:val="24"/>
        </w:rPr>
        <w:t>“Los Estados Parte convienen en adoptar, en forma progresiva, medidas específicas, inclusive programas para: fomentar el conocimiento y la observancia del derecho de la mujer a una vida libre de violencia, (artículo 8a);</w:t>
      </w:r>
    </w:p>
    <w:p w:rsidR="000D60F4" w:rsidRPr="00740BCF" w:rsidRDefault="000D60F4" w:rsidP="000D60F4">
      <w:pPr>
        <w:pStyle w:val="Prrafodelista"/>
        <w:numPr>
          <w:ilvl w:val="0"/>
          <w:numId w:val="42"/>
        </w:numPr>
        <w:contextualSpacing/>
        <w:rPr>
          <w:rFonts w:cs="Arial"/>
          <w:szCs w:val="24"/>
        </w:rPr>
      </w:pPr>
      <w:r w:rsidRPr="00740BCF">
        <w:rPr>
          <w:rFonts w:cs="Arial"/>
          <w:szCs w:val="24"/>
        </w:rPr>
        <w:t xml:space="preserve"> modificar los patrones socioculturales de conducta de hombres y mujeres, para contrarrestar prejuicios y costumbres y todo otro tipo de prácticas que se basen en la premisa de la inferioridad o superioridad de cualquiera de los géneros o que legitiman  o exacerban la violencia contra la mujer (8b);</w:t>
      </w:r>
    </w:p>
    <w:p w:rsidR="000D60F4" w:rsidRPr="00740BCF" w:rsidRDefault="000D60F4" w:rsidP="000D60F4">
      <w:pPr>
        <w:pStyle w:val="Prrafodelista"/>
        <w:numPr>
          <w:ilvl w:val="0"/>
          <w:numId w:val="42"/>
        </w:numPr>
        <w:contextualSpacing/>
        <w:rPr>
          <w:rFonts w:cs="Arial"/>
          <w:szCs w:val="24"/>
        </w:rPr>
      </w:pPr>
      <w:r w:rsidRPr="00740BCF">
        <w:rPr>
          <w:rFonts w:cs="Arial"/>
          <w:szCs w:val="24"/>
        </w:rPr>
        <w:t>fomentar y apoyar programas de educación gubernamentales y del sector privado destinados a concientizar al público sobre los problemas relacionados con la violencia contra la mujer, los recursos legales y la reparación que corresponde (8e);</w:t>
      </w:r>
    </w:p>
    <w:p w:rsidR="000D60F4" w:rsidRPr="00740BCF" w:rsidRDefault="000D60F4" w:rsidP="000D60F4">
      <w:pPr>
        <w:pStyle w:val="Prrafodelista"/>
        <w:numPr>
          <w:ilvl w:val="0"/>
          <w:numId w:val="42"/>
        </w:numPr>
        <w:contextualSpacing/>
        <w:rPr>
          <w:rFonts w:cs="Arial"/>
          <w:szCs w:val="24"/>
        </w:rPr>
      </w:pPr>
      <w:r w:rsidRPr="00740BCF">
        <w:rPr>
          <w:rFonts w:cs="Arial"/>
          <w:szCs w:val="24"/>
        </w:rPr>
        <w:t>garantizar la investigación y recopilación de estadísticas y demás información pertinente sobre las causas, consecuencias y frecuencia de la violencia contra la mujer, con el fin de evaluar la eficacia de las medidas para prevenir, sancionar y eliminar la violencia contra la mujer y de formular y aplicar los cambios que sean necesarios (8h).”</w:t>
      </w:r>
    </w:p>
    <w:p w:rsidR="000D60F4" w:rsidRPr="00740BCF" w:rsidRDefault="000D60F4" w:rsidP="000D60F4">
      <w:pPr>
        <w:pStyle w:val="Prrafodelista"/>
        <w:rPr>
          <w:rFonts w:cs="Arial"/>
          <w:szCs w:val="24"/>
        </w:rPr>
      </w:pPr>
      <w:r w:rsidRPr="00740BCF">
        <w:rPr>
          <w:rFonts w:cs="Arial"/>
          <w:szCs w:val="24"/>
        </w:rPr>
        <w:t xml:space="preserve">  </w:t>
      </w:r>
    </w:p>
    <w:p w:rsidR="000D60F4" w:rsidRPr="00740BCF" w:rsidRDefault="000D60F4" w:rsidP="000D60F4">
      <w:pPr>
        <w:rPr>
          <w:rFonts w:cs="Arial"/>
          <w:szCs w:val="24"/>
        </w:rPr>
      </w:pPr>
      <w:r w:rsidRPr="00740BCF">
        <w:rPr>
          <w:rFonts w:cs="Arial"/>
          <w:szCs w:val="24"/>
        </w:rPr>
        <w:t xml:space="preserve">El impacto de la violencia sobre la salud sexual y reproductiva puede ser directo pues la relación sexual forzada, sea con la pareja o con un extraño, puede provocar un embarazo no deseado o una infección de transmisión sexual, incluido el VIH/Sida. También puede ser indirecto, pues la violencia o el temor a ella influyen en la capacidad de la mujer para negociar el sexo seguro, incluido el uso de condones y el uso de la anticoncepción. La violencia contra la mujer representa un importante factor de riesgo para la epidemia de VIH/Sida y también para el embarazo adolescente, ambos problemas muy importantes en nuestra región.  </w:t>
      </w:r>
    </w:p>
    <w:p w:rsidR="000D60F4" w:rsidRPr="00740BCF" w:rsidRDefault="000D60F4" w:rsidP="000D60F4">
      <w:pPr>
        <w:rPr>
          <w:rFonts w:cs="Arial"/>
          <w:szCs w:val="24"/>
        </w:rPr>
      </w:pPr>
      <w:r w:rsidRPr="00740BCF">
        <w:rPr>
          <w:rFonts w:cs="Arial"/>
          <w:szCs w:val="24"/>
        </w:rPr>
        <w:lastRenderedPageBreak/>
        <w:t xml:space="preserve">La violencia contra las mujeres es también una violación a los derechos humanos, reconocida como tal desde la Conferencia Mundial de Derechos Humanos, realizada 22en Viena en 1993, pues afecta la dignidad y la valía de la persona humana.  </w:t>
      </w:r>
    </w:p>
    <w:p w:rsidR="000D60F4" w:rsidRDefault="000D60F4" w:rsidP="000D60F4">
      <w:pPr>
        <w:pStyle w:val="Ttulo3"/>
        <w:keepLines/>
        <w:numPr>
          <w:ilvl w:val="1"/>
          <w:numId w:val="39"/>
        </w:numPr>
        <w:spacing w:before="200" w:after="0"/>
        <w:rPr>
          <w:szCs w:val="24"/>
        </w:rPr>
      </w:pPr>
      <w:r w:rsidRPr="000666F8">
        <w:rPr>
          <w:szCs w:val="24"/>
        </w:rPr>
        <w:t xml:space="preserve"> </w:t>
      </w:r>
      <w:bookmarkStart w:id="35" w:name="_Toc299639263"/>
      <w:bookmarkStart w:id="36" w:name="_Toc320694984"/>
      <w:r w:rsidRPr="000666F8">
        <w:rPr>
          <w:szCs w:val="24"/>
        </w:rPr>
        <w:t>Protocolo facultativo del pacto internacional de derechos civiles y políticos.</w:t>
      </w:r>
      <w:bookmarkEnd w:id="35"/>
      <w:bookmarkEnd w:id="36"/>
      <w:r>
        <w:rPr>
          <w:szCs w:val="24"/>
        </w:rPr>
        <w:t xml:space="preserve"> </w:t>
      </w:r>
    </w:p>
    <w:p w:rsidR="000D60F4" w:rsidRPr="00740BCF" w:rsidRDefault="000D60F4" w:rsidP="000D60F4">
      <w:pPr>
        <w:rPr>
          <w:rFonts w:cs="Arial"/>
          <w:szCs w:val="24"/>
        </w:rPr>
      </w:pPr>
      <w:r w:rsidRPr="00740BCF">
        <w:rPr>
          <w:rFonts w:cs="Arial"/>
          <w:szCs w:val="24"/>
        </w:rPr>
        <w:t>Ante cualquier violación  de Derechos toda persona sin distinción alguna  tiene derecho a dirigirse por escrito a que se le resuelva de acuerdo al Protocolo. El tener una condición de salud diferente como es la del VIH-SIDA no debe ser la excepción para que una persona haga valer sus derechos a través de un procedimiento.</w:t>
      </w:r>
    </w:p>
    <w:p w:rsidR="000D60F4" w:rsidRDefault="000D60F4" w:rsidP="000D60F4">
      <w:pPr>
        <w:pStyle w:val="Ttulo3"/>
        <w:keepLines/>
        <w:numPr>
          <w:ilvl w:val="1"/>
          <w:numId w:val="39"/>
        </w:numPr>
        <w:spacing w:before="200" w:after="0"/>
        <w:rPr>
          <w:szCs w:val="24"/>
        </w:rPr>
      </w:pPr>
      <w:r>
        <w:rPr>
          <w:szCs w:val="24"/>
        </w:rPr>
        <w:t xml:space="preserve"> </w:t>
      </w:r>
      <w:bookmarkStart w:id="37" w:name="_Toc299639264"/>
      <w:bookmarkStart w:id="38" w:name="_Toc320694985"/>
      <w:r w:rsidRPr="000666F8">
        <w:rPr>
          <w:szCs w:val="24"/>
        </w:rPr>
        <w:t>Pacto internacional de derechos económicos, sociales y culturales.</w:t>
      </w:r>
      <w:bookmarkEnd w:id="37"/>
      <w:bookmarkEnd w:id="38"/>
    </w:p>
    <w:p w:rsidR="000D60F4" w:rsidRPr="00AC3E75" w:rsidRDefault="000D60F4" w:rsidP="000D60F4">
      <w:pPr>
        <w:rPr>
          <w:rFonts w:cs="Arial"/>
          <w:szCs w:val="24"/>
        </w:rPr>
      </w:pPr>
      <w:r w:rsidRPr="00AC3E75">
        <w:rPr>
          <w:rFonts w:cs="Arial"/>
          <w:szCs w:val="24"/>
        </w:rPr>
        <w:t xml:space="preserve">El Estado está comprometido a garantizar el cumplimiento de estos derechos sin distinción alguna, así mismo reconoce el derecho al trabajo a toda persona, la protección de niños y adolescentes sin discriminación por razón de filiación o cualquier otra condición; lo  mismo sobre la prevención y tratamiento de enfermedades así como la lucha contra ellas. Establece la creación de condiciones que aseguren asistencia médica y servicios médicos; el derechos a la educación orientado al respeto de la dignidad humana y todos los derechos.  </w:t>
      </w:r>
    </w:p>
    <w:p w:rsidR="000D60F4" w:rsidRPr="00AC3E75" w:rsidRDefault="000D60F4" w:rsidP="000D60F4">
      <w:pPr>
        <w:rPr>
          <w:rFonts w:cs="Arial"/>
          <w:szCs w:val="24"/>
        </w:rPr>
      </w:pPr>
      <w:r w:rsidRPr="00AC3E75">
        <w:rPr>
          <w:rFonts w:cs="Arial"/>
          <w:szCs w:val="24"/>
        </w:rPr>
        <w:t>En virtud de lo dispuesto en el párrafo 2 del artículo 2 y en el artículo 3, el Pacto prohíbe toda discriminación en lo referente al acceso a la atención de la salud y los factores determinantes básicos de la salud, así como a los medios y derechos para conseguirlo, por motivos de raza, color, sexo, idioma, religión, opinión política o de otra índole, origen nacional o posición social, situación económica, lugar de nacimiento, impedimentos físicos o mentales, estado de salud (incluidos el VIH/SIDA), orientación sexual y situación política, social o de otra índole que tengan por objeto o por resultado la invalidación o el menoscabo de la igualdad de goce o el ejercicio del derecho a la salud.</w:t>
      </w:r>
    </w:p>
    <w:p w:rsidR="000D60F4" w:rsidRDefault="000D60F4" w:rsidP="000D60F4">
      <w:pPr>
        <w:pStyle w:val="Ttulo3"/>
        <w:keepLines/>
        <w:numPr>
          <w:ilvl w:val="1"/>
          <w:numId w:val="39"/>
        </w:numPr>
        <w:spacing w:before="200" w:after="0"/>
        <w:rPr>
          <w:szCs w:val="24"/>
        </w:rPr>
      </w:pPr>
      <w:r>
        <w:rPr>
          <w:szCs w:val="24"/>
        </w:rPr>
        <w:t xml:space="preserve"> </w:t>
      </w:r>
      <w:bookmarkStart w:id="39" w:name="_Toc299639265"/>
      <w:bookmarkStart w:id="40" w:name="_Toc320694986"/>
      <w:r w:rsidRPr="000666F8">
        <w:rPr>
          <w:szCs w:val="24"/>
        </w:rPr>
        <w:t>Protocolo adicional a la convención sobre derechos humanos en materia de derechos económicos, sociales y culturales.</w:t>
      </w:r>
      <w:bookmarkEnd w:id="39"/>
      <w:bookmarkEnd w:id="40"/>
    </w:p>
    <w:p w:rsidR="000D60F4" w:rsidRDefault="000D60F4" w:rsidP="000D60F4">
      <w:pPr>
        <w:rPr>
          <w:rFonts w:cs="Arial"/>
          <w:szCs w:val="24"/>
        </w:rPr>
      </w:pPr>
      <w:r w:rsidRPr="00AC3E75">
        <w:rPr>
          <w:rFonts w:cs="Arial"/>
          <w:szCs w:val="24"/>
        </w:rPr>
        <w:t xml:space="preserve">Este prohíbe la restricción  o menoscabo de los derechos reconocidos en él, reconoce el derecho al trabajo y la estabilidad así como a su respectiva </w:t>
      </w:r>
      <w:r w:rsidRPr="00AC3E75">
        <w:rPr>
          <w:rFonts w:cs="Arial"/>
          <w:szCs w:val="24"/>
        </w:rPr>
        <w:lastRenderedPageBreak/>
        <w:t xml:space="preserve">indemnización  en caso de despido injusto;  el derecho a la salud, educación; todo esto sin distinción alguna. </w:t>
      </w:r>
    </w:p>
    <w:p w:rsidR="000D60F4" w:rsidRPr="00AC3E75" w:rsidRDefault="000D60F4" w:rsidP="000D60F4">
      <w:pPr>
        <w:rPr>
          <w:rFonts w:cs="Arial"/>
          <w:szCs w:val="24"/>
        </w:rPr>
      </w:pPr>
      <w:r w:rsidRPr="00AC3E75">
        <w:rPr>
          <w:rFonts w:cs="Arial"/>
          <w:szCs w:val="24"/>
        </w:rPr>
        <w:t>Cuando se está frente a un diagnóstico de VIH-SIDA, los derechos a la salud y trabajo con frecuencia se violenta, en éste cuando se habla sin distinción alguna se deberá entender que incluye a las personas que viven con VIH-SIDA.</w:t>
      </w:r>
    </w:p>
    <w:p w:rsidR="000D60F4" w:rsidRPr="000666F8" w:rsidRDefault="000D60F4" w:rsidP="000D60F4">
      <w:pPr>
        <w:pStyle w:val="Ttulo3"/>
        <w:keepLines/>
        <w:numPr>
          <w:ilvl w:val="1"/>
          <w:numId w:val="39"/>
        </w:numPr>
        <w:spacing w:before="200" w:after="0"/>
        <w:rPr>
          <w:szCs w:val="24"/>
        </w:rPr>
      </w:pPr>
      <w:r>
        <w:rPr>
          <w:szCs w:val="24"/>
        </w:rPr>
        <w:t xml:space="preserve"> </w:t>
      </w:r>
      <w:bookmarkStart w:id="41" w:name="_Toc299639266"/>
      <w:bookmarkStart w:id="42" w:name="_Toc320694987"/>
      <w:r w:rsidRPr="000666F8">
        <w:rPr>
          <w:szCs w:val="24"/>
        </w:rPr>
        <w:t>Convenio sobre la discriminación de empleo y ocupación.</w:t>
      </w:r>
      <w:bookmarkEnd w:id="41"/>
      <w:bookmarkEnd w:id="42"/>
    </w:p>
    <w:p w:rsidR="000D60F4" w:rsidRDefault="000D60F4" w:rsidP="000D60F4">
      <w:pPr>
        <w:rPr>
          <w:rFonts w:cs="Arial"/>
          <w:szCs w:val="24"/>
        </w:rPr>
      </w:pPr>
      <w:r w:rsidRPr="00AC3E75">
        <w:rPr>
          <w:rFonts w:cs="Arial"/>
          <w:szCs w:val="24"/>
        </w:rPr>
        <w:t>Hace énfasis en la prohibición de hacer cualquier tipo de distinción, exclusión o preferencia o alterar a igualdad de oportunidades en el  empleo; se prohíbe la discriminación por cualquier condición, En este sentido deberá entenderse la condición de salud de las personas que viven con VIH-SIDA.</w:t>
      </w:r>
    </w:p>
    <w:p w:rsidR="000D60F4" w:rsidRPr="00256006" w:rsidRDefault="000D60F4" w:rsidP="000D60F4">
      <w:pPr>
        <w:rPr>
          <w:rFonts w:cs="Arial"/>
          <w:szCs w:val="24"/>
          <w:u w:val="single"/>
        </w:rPr>
      </w:pPr>
    </w:p>
    <w:p w:rsidR="000D60F4" w:rsidRPr="00256006" w:rsidRDefault="000D60F4" w:rsidP="000D60F4">
      <w:pPr>
        <w:pStyle w:val="Ttulo2"/>
        <w:keepLines/>
        <w:numPr>
          <w:ilvl w:val="0"/>
          <w:numId w:val="39"/>
        </w:numPr>
        <w:spacing w:before="200" w:after="0"/>
        <w:rPr>
          <w:u w:val="single"/>
        </w:rPr>
      </w:pPr>
      <w:bookmarkStart w:id="43" w:name="_Toc299639267"/>
      <w:bookmarkStart w:id="44" w:name="_Toc320694988"/>
      <w:r w:rsidRPr="00256006">
        <w:rPr>
          <w:u w:val="single"/>
        </w:rPr>
        <w:t>Compromisos políticos asumidos por el Estado Salvadoreño.</w:t>
      </w:r>
      <w:bookmarkEnd w:id="43"/>
      <w:bookmarkEnd w:id="44"/>
    </w:p>
    <w:p w:rsidR="000D60F4" w:rsidRDefault="000D60F4" w:rsidP="000D60F4">
      <w:pPr>
        <w:pStyle w:val="Ttulo3"/>
        <w:keepLines/>
        <w:numPr>
          <w:ilvl w:val="1"/>
          <w:numId w:val="39"/>
        </w:numPr>
        <w:spacing w:before="200" w:after="0"/>
        <w:rPr>
          <w:szCs w:val="24"/>
        </w:rPr>
      </w:pPr>
      <w:bookmarkStart w:id="45" w:name="_Toc299639268"/>
      <w:bookmarkStart w:id="46" w:name="_Toc320694989"/>
      <w:r w:rsidRPr="000666F8">
        <w:rPr>
          <w:szCs w:val="24"/>
        </w:rPr>
        <w:t>Declaración de compromiso sobre VIH/SIDA (UNGAS).</w:t>
      </w:r>
      <w:bookmarkEnd w:id="45"/>
      <w:bookmarkEnd w:id="46"/>
    </w:p>
    <w:p w:rsidR="000D60F4" w:rsidRPr="00D13415" w:rsidRDefault="000D60F4" w:rsidP="000D60F4">
      <w:pPr>
        <w:rPr>
          <w:rFonts w:cs="Arial"/>
          <w:szCs w:val="24"/>
        </w:rPr>
      </w:pPr>
      <w:r w:rsidRPr="00D13415">
        <w:rPr>
          <w:rFonts w:cs="Arial"/>
          <w:szCs w:val="24"/>
        </w:rPr>
        <w:t xml:space="preserve">La Declaración de UNGASS fue adoptada de forma unánime por los Estados miembros de las Naciones Unidas durante la Sesión Especial de la Asamblea general (UNGASS) en Nueva York </w:t>
      </w:r>
      <w:r>
        <w:rPr>
          <w:rFonts w:cs="Arial"/>
          <w:szCs w:val="24"/>
        </w:rPr>
        <w:t xml:space="preserve">en el año </w:t>
      </w:r>
      <w:r w:rsidRPr="00D13415">
        <w:rPr>
          <w:rFonts w:cs="Arial"/>
          <w:szCs w:val="24"/>
        </w:rPr>
        <w:t xml:space="preserve">2001, declarando que el VIH-SIDA es una emergencia global que requiere acción inmediata. </w:t>
      </w:r>
    </w:p>
    <w:p w:rsidR="000D60F4" w:rsidRPr="00D13415" w:rsidRDefault="000D60F4" w:rsidP="000D60F4">
      <w:pPr>
        <w:rPr>
          <w:rFonts w:cs="Arial"/>
          <w:szCs w:val="24"/>
        </w:rPr>
      </w:pPr>
      <w:r w:rsidRPr="00D13415">
        <w:rPr>
          <w:rFonts w:cs="Arial"/>
          <w:szCs w:val="24"/>
        </w:rPr>
        <w:t xml:space="preserve">La Declaración establece una variedad de resoluciones y recomendaciones programáticas y de política para ayudar a líderes locales, nacionales e internacionales en su abordaje del VIH-SIDA de manera integrada, efectiva y justa.  A su vez  puso de manifiesto que el ejercicio  de los derechos humanos constituye un elemento esencial en la respuesta global al VIH-SIDA. </w:t>
      </w:r>
    </w:p>
    <w:p w:rsidR="000D60F4" w:rsidRPr="00D13415" w:rsidRDefault="000D60F4" w:rsidP="000D60F4">
      <w:pPr>
        <w:rPr>
          <w:rFonts w:cs="Arial"/>
          <w:szCs w:val="24"/>
        </w:rPr>
      </w:pPr>
      <w:r w:rsidRPr="00D13415">
        <w:rPr>
          <w:rFonts w:cs="Arial"/>
          <w:szCs w:val="24"/>
        </w:rPr>
        <w:t xml:space="preserve">En esta Declaración, se convoca a las autoridades nacionales para desarrollar estrategias para combatir el estigma y la exclusión social, así como para construir y desarrollar los marcos legales y políticos necesarios para proteger los derechos y la dignidad de las personas que están afectadas y que viven con el VIH-SIDA.  </w:t>
      </w:r>
    </w:p>
    <w:p w:rsidR="000D60F4" w:rsidRDefault="000D60F4" w:rsidP="000D60F4">
      <w:pPr>
        <w:pStyle w:val="Ttulo3"/>
        <w:keepLines/>
        <w:numPr>
          <w:ilvl w:val="1"/>
          <w:numId w:val="39"/>
        </w:numPr>
        <w:spacing w:before="200" w:after="0"/>
        <w:rPr>
          <w:szCs w:val="24"/>
        </w:rPr>
      </w:pPr>
      <w:r>
        <w:rPr>
          <w:szCs w:val="24"/>
        </w:rPr>
        <w:lastRenderedPageBreak/>
        <w:t xml:space="preserve"> </w:t>
      </w:r>
      <w:bookmarkStart w:id="47" w:name="_Toc299639269"/>
      <w:bookmarkStart w:id="48" w:name="_Toc320694990"/>
      <w:r w:rsidRPr="000666F8">
        <w:rPr>
          <w:szCs w:val="24"/>
        </w:rPr>
        <w:t>Objetivos del desarrollo del milenio.</w:t>
      </w:r>
      <w:bookmarkEnd w:id="47"/>
      <w:bookmarkEnd w:id="48"/>
    </w:p>
    <w:p w:rsidR="000D60F4" w:rsidRPr="00D13415" w:rsidRDefault="000D60F4" w:rsidP="000D60F4">
      <w:pPr>
        <w:rPr>
          <w:rFonts w:cs="Arial"/>
          <w:szCs w:val="24"/>
        </w:rPr>
      </w:pPr>
      <w:r w:rsidRPr="00D13415">
        <w:rPr>
          <w:rFonts w:cs="Arial"/>
          <w:szCs w:val="24"/>
        </w:rPr>
        <w:t xml:space="preserve">Los Jefes de Estado y de Gobierno se reunieron en la Sede de Naciones Unidas en </w:t>
      </w:r>
      <w:r>
        <w:rPr>
          <w:rFonts w:cs="Arial"/>
          <w:szCs w:val="24"/>
        </w:rPr>
        <w:t xml:space="preserve">el </w:t>
      </w:r>
      <w:r w:rsidRPr="00D13415">
        <w:rPr>
          <w:rFonts w:cs="Arial"/>
          <w:szCs w:val="24"/>
        </w:rPr>
        <w:t xml:space="preserve">año 2000 para  dar una prueba de voluntad política comprometiendo a los países a tomar nuevas medidas y aunar esfuerzos en la lucha contra la pobreza, el analfabetismo, el hambre, la falta de educación, la desigualdad entre los géneros, la mortalidad infantil y </w:t>
      </w:r>
      <w:r>
        <w:rPr>
          <w:rFonts w:cs="Arial"/>
          <w:szCs w:val="24"/>
        </w:rPr>
        <w:t>materna, la enfermedad (</w:t>
      </w:r>
      <w:r w:rsidRPr="00D13415">
        <w:rPr>
          <w:rFonts w:cs="Arial"/>
          <w:szCs w:val="24"/>
        </w:rPr>
        <w:t xml:space="preserve">detener el VIH-SIDA y comenzado a reducir su propagación </w:t>
      </w:r>
      <w:r>
        <w:rPr>
          <w:rFonts w:cs="Arial"/>
          <w:szCs w:val="24"/>
        </w:rPr>
        <w:t>para el 2015)</w:t>
      </w:r>
      <w:r w:rsidRPr="00D13415">
        <w:rPr>
          <w:rFonts w:cs="Arial"/>
          <w:szCs w:val="24"/>
        </w:rPr>
        <w:t xml:space="preserve"> y la degradación del medio ambiente. A su vez se alienta a la industria farmacéutica a que aumente la disponibilidad de los medicamentos esenciales y los coloque al alcance de todas las personas de los países en desarrollo que los necesiten. </w:t>
      </w:r>
    </w:p>
    <w:p w:rsidR="000D60F4" w:rsidRDefault="000D60F4" w:rsidP="000D60F4">
      <w:pPr>
        <w:rPr>
          <w:rFonts w:cs="Arial"/>
          <w:szCs w:val="24"/>
        </w:rPr>
      </w:pPr>
      <w:r w:rsidRPr="00D13415">
        <w:rPr>
          <w:rFonts w:cs="Arial"/>
          <w:szCs w:val="24"/>
        </w:rPr>
        <w:t xml:space="preserve">El sexto objetivo está relacionado directamente con el VIH-SIDA y se refiere a “Combatir el VIH/SIDA, el paludismo y otras enfermedades”. Los indicadores contemplados para este objetivo, entre otros,  se refieren a: </w:t>
      </w:r>
    </w:p>
    <w:p w:rsidR="000D60F4" w:rsidRDefault="000D60F4" w:rsidP="000D60F4">
      <w:pPr>
        <w:pStyle w:val="Prrafodelista"/>
        <w:numPr>
          <w:ilvl w:val="0"/>
          <w:numId w:val="43"/>
        </w:numPr>
        <w:contextualSpacing/>
        <w:rPr>
          <w:rFonts w:cs="Arial"/>
          <w:szCs w:val="24"/>
        </w:rPr>
      </w:pPr>
      <w:r w:rsidRPr="00853987">
        <w:rPr>
          <w:rFonts w:cs="Arial"/>
          <w:szCs w:val="24"/>
        </w:rPr>
        <w:t>Tasa de morbilidad del VIH-SIDA entre mujeres embarazad</w:t>
      </w:r>
      <w:r>
        <w:rPr>
          <w:rFonts w:cs="Arial"/>
          <w:szCs w:val="24"/>
        </w:rPr>
        <w:t>as de edades entre 15 y 25 años;</w:t>
      </w:r>
    </w:p>
    <w:p w:rsidR="000D60F4" w:rsidRDefault="000D60F4" w:rsidP="000D60F4">
      <w:pPr>
        <w:pStyle w:val="Prrafodelista"/>
        <w:numPr>
          <w:ilvl w:val="0"/>
          <w:numId w:val="43"/>
        </w:numPr>
        <w:contextualSpacing/>
        <w:rPr>
          <w:rFonts w:cs="Arial"/>
          <w:szCs w:val="24"/>
        </w:rPr>
      </w:pPr>
      <w:r w:rsidRPr="00853987">
        <w:rPr>
          <w:rFonts w:cs="Arial"/>
          <w:szCs w:val="24"/>
        </w:rPr>
        <w:t>Tasa de uso de anticonceptivos</w:t>
      </w:r>
      <w:r>
        <w:rPr>
          <w:rFonts w:cs="Arial"/>
          <w:szCs w:val="24"/>
        </w:rPr>
        <w:t>;</w:t>
      </w:r>
      <w:r w:rsidRPr="00853987">
        <w:rPr>
          <w:rFonts w:cs="Arial"/>
          <w:szCs w:val="24"/>
        </w:rPr>
        <w:t xml:space="preserve"> y</w:t>
      </w:r>
    </w:p>
    <w:p w:rsidR="000D60F4" w:rsidRPr="00853987" w:rsidRDefault="000D60F4" w:rsidP="000D60F4">
      <w:pPr>
        <w:pStyle w:val="Prrafodelista"/>
        <w:numPr>
          <w:ilvl w:val="0"/>
          <w:numId w:val="43"/>
        </w:numPr>
        <w:contextualSpacing/>
        <w:rPr>
          <w:rFonts w:cs="Arial"/>
          <w:szCs w:val="24"/>
        </w:rPr>
      </w:pPr>
      <w:r w:rsidRPr="00853987">
        <w:rPr>
          <w:rFonts w:cs="Arial"/>
          <w:szCs w:val="24"/>
        </w:rPr>
        <w:t>Número de niños y niñas huérfanos a causa del VIH-SIDA.</w:t>
      </w:r>
    </w:p>
    <w:p w:rsidR="000D60F4" w:rsidRDefault="000D60F4" w:rsidP="000D60F4">
      <w:pPr>
        <w:pStyle w:val="Ttulo3"/>
        <w:keepLines/>
        <w:numPr>
          <w:ilvl w:val="1"/>
          <w:numId w:val="39"/>
        </w:numPr>
        <w:spacing w:before="200" w:after="0"/>
        <w:rPr>
          <w:szCs w:val="24"/>
        </w:rPr>
      </w:pPr>
      <w:r>
        <w:rPr>
          <w:szCs w:val="24"/>
        </w:rPr>
        <w:t xml:space="preserve"> </w:t>
      </w:r>
      <w:bookmarkStart w:id="49" w:name="_Toc299639270"/>
      <w:bookmarkStart w:id="50" w:name="_Toc320694991"/>
      <w:r w:rsidRPr="000666F8">
        <w:rPr>
          <w:szCs w:val="24"/>
        </w:rPr>
        <w:t>Declaración de Nuevo León.</w:t>
      </w:r>
      <w:bookmarkEnd w:id="49"/>
      <w:bookmarkEnd w:id="50"/>
    </w:p>
    <w:p w:rsidR="000D60F4" w:rsidRPr="00D13415" w:rsidRDefault="000D60F4" w:rsidP="000D60F4">
      <w:pPr>
        <w:rPr>
          <w:rFonts w:cs="Arial"/>
          <w:szCs w:val="24"/>
        </w:rPr>
      </w:pPr>
      <w:r w:rsidRPr="00D13415">
        <w:rPr>
          <w:rFonts w:cs="Arial"/>
          <w:szCs w:val="24"/>
        </w:rPr>
        <w:t>Elaborada en el marco de la Cumbre Extraordinaria de Jefes de Estado y Gobierno de las Américas en la Ciudad de Monterrey, Nuevo León México, con el propósito de avanzar en la instrumentación de medidas para combatir la pobreza, promover el desarrollo social y lograr un crecimiento económico con equidad y reforzar la gobernabilidad de los países democráticos. En esta Declaración se manifiesta la preocupación por el impacto del VIH/SIDA, su proliferación y la amenaza que representa para la seguridad de los pueblos del Continente. Reconocen que para combatir la epidemia  del VIH/SIDA es necesario realizar esfuerzos de prevención, atención y tratamiento. Finalmente, se comprometen a facilitar tratamiento antirretroviral a todas las personas que lo necesiten.</w:t>
      </w:r>
    </w:p>
    <w:p w:rsidR="000D60F4" w:rsidRDefault="000D60F4" w:rsidP="000D60F4">
      <w:pPr>
        <w:pStyle w:val="Ttulo3"/>
        <w:keepLines/>
        <w:numPr>
          <w:ilvl w:val="1"/>
          <w:numId w:val="39"/>
        </w:numPr>
        <w:spacing w:before="200" w:after="0"/>
        <w:rPr>
          <w:szCs w:val="24"/>
        </w:rPr>
      </w:pPr>
      <w:r>
        <w:rPr>
          <w:szCs w:val="24"/>
        </w:rPr>
        <w:t xml:space="preserve"> </w:t>
      </w:r>
      <w:bookmarkStart w:id="51" w:name="_Toc299639271"/>
      <w:bookmarkStart w:id="52" w:name="_Toc320694992"/>
      <w:r w:rsidRPr="000666F8">
        <w:rPr>
          <w:szCs w:val="24"/>
        </w:rPr>
        <w:t>Declaración de Beijing y plataforma de acción.</w:t>
      </w:r>
      <w:bookmarkEnd w:id="51"/>
      <w:bookmarkEnd w:id="52"/>
    </w:p>
    <w:p w:rsidR="000D60F4" w:rsidRPr="00D13415" w:rsidRDefault="000D60F4" w:rsidP="000D60F4">
      <w:pPr>
        <w:rPr>
          <w:rFonts w:cs="Arial"/>
          <w:szCs w:val="24"/>
        </w:rPr>
      </w:pPr>
      <w:r w:rsidRPr="00D13415">
        <w:rPr>
          <w:rFonts w:cs="Arial"/>
          <w:szCs w:val="24"/>
        </w:rPr>
        <w:t>La Declaración de Beijing fue aprobada en la IV Conferencia Mundial Sobre la Mujer (Septiembre</w:t>
      </w:r>
      <w:r>
        <w:rPr>
          <w:rFonts w:cs="Arial"/>
          <w:szCs w:val="24"/>
        </w:rPr>
        <w:t xml:space="preserve">, </w:t>
      </w:r>
      <w:r w:rsidRPr="00D13415">
        <w:rPr>
          <w:rFonts w:cs="Arial"/>
          <w:szCs w:val="24"/>
        </w:rPr>
        <w:t xml:space="preserve">1995), su Plataforma de Acción es un reflejo de los </w:t>
      </w:r>
      <w:r w:rsidRPr="00D13415">
        <w:rPr>
          <w:rFonts w:cs="Arial"/>
          <w:szCs w:val="24"/>
        </w:rPr>
        <w:lastRenderedPageBreak/>
        <w:t xml:space="preserve">compromisos internacionales por alcanzar las metas de igualdad, desarrollo y paz de las mujeres en todo el  mundo. En esta se reconoce que las mujeres se ven afectadas por la mayoría 24 de las condiciones de salud igual que los hombres, pero las mujeres las experimentan de diferente manera. La incidencia de la pobreza y la dependencia económica de las mujeres, la violencia que se ejerce contra ellas y las actitudes negativas hacia mujeres y niñas, la discriminación racial y de otra índole, el limitado poder que muchas mujeres ejercen sobre su vida sexual y reproductiva y su falta de influencia en la toma de decisiones, son realidades sociales que tiene un impacto perjudicial sobre su salud. </w:t>
      </w:r>
    </w:p>
    <w:p w:rsidR="000D60F4" w:rsidRPr="00D13415" w:rsidRDefault="000D60F4" w:rsidP="000D60F4">
      <w:pPr>
        <w:rPr>
          <w:rFonts w:cs="Arial"/>
          <w:szCs w:val="24"/>
        </w:rPr>
      </w:pPr>
      <w:r w:rsidRPr="00D13415">
        <w:rPr>
          <w:rFonts w:cs="Arial"/>
          <w:szCs w:val="24"/>
        </w:rPr>
        <w:t>Se reconoce que la transmisión del VIH en muchas ocasiones es por consecuencia de la violencia sexual ya que su vulnerabilidad social y las relaciones desiguales de poder entre mujeres y hombres constituyen obstáculos para una práctica sexual segura para reducir la propagación de la ITS y el VIH/SIDA. Para ello manifiestan que es preciso examinar desde la perspectiva de género las consecuencias sociales, en el desarrollo y en la salud de los efectos del VIH/SIDA.</w:t>
      </w:r>
    </w:p>
    <w:p w:rsidR="000D60F4" w:rsidRDefault="000D60F4" w:rsidP="000D60F4">
      <w:pPr>
        <w:pStyle w:val="Ttulo3"/>
        <w:keepLines/>
        <w:numPr>
          <w:ilvl w:val="1"/>
          <w:numId w:val="39"/>
        </w:numPr>
        <w:spacing w:before="200" w:after="0"/>
        <w:rPr>
          <w:szCs w:val="24"/>
        </w:rPr>
      </w:pPr>
      <w:r>
        <w:rPr>
          <w:szCs w:val="24"/>
        </w:rPr>
        <w:t xml:space="preserve"> </w:t>
      </w:r>
      <w:bookmarkStart w:id="53" w:name="_Toc299639272"/>
      <w:bookmarkStart w:id="54" w:name="_Toc320694993"/>
      <w:r w:rsidRPr="00C336AA">
        <w:rPr>
          <w:szCs w:val="24"/>
        </w:rPr>
        <w:t>Declaración de El Cairo.</w:t>
      </w:r>
      <w:bookmarkEnd w:id="53"/>
      <w:bookmarkEnd w:id="54"/>
      <w:r w:rsidRPr="00C336AA">
        <w:rPr>
          <w:szCs w:val="24"/>
        </w:rPr>
        <w:t xml:space="preserve"> </w:t>
      </w:r>
    </w:p>
    <w:p w:rsidR="000D60F4" w:rsidRDefault="000D60F4" w:rsidP="000D60F4">
      <w:pPr>
        <w:rPr>
          <w:rFonts w:cs="Arial"/>
          <w:szCs w:val="24"/>
        </w:rPr>
      </w:pPr>
      <w:r w:rsidRPr="00853987">
        <w:rPr>
          <w:rFonts w:cs="Arial"/>
          <w:szCs w:val="24"/>
        </w:rPr>
        <w:t xml:space="preserve">Se establece que la pandemia del SIDA es un problema de primer orden, tanto en los países desarrollados como en los países en desarrollo y se plantea 3 Objetivos: </w:t>
      </w:r>
    </w:p>
    <w:p w:rsidR="000D60F4" w:rsidRDefault="000D60F4" w:rsidP="000D60F4">
      <w:pPr>
        <w:pStyle w:val="Prrafodelista"/>
        <w:numPr>
          <w:ilvl w:val="0"/>
          <w:numId w:val="44"/>
        </w:numPr>
        <w:contextualSpacing/>
        <w:rPr>
          <w:rFonts w:cs="Arial"/>
          <w:szCs w:val="24"/>
        </w:rPr>
      </w:pPr>
      <w:r w:rsidRPr="00256006">
        <w:rPr>
          <w:rFonts w:cs="Arial"/>
          <w:szCs w:val="24"/>
        </w:rPr>
        <w:t>Impedir y reducir la difusión de la infección con el VIH y minimizar sus consecuencias; aumentar el conocimiento de las consecuencias de la infección con el VIH y el SIDA y de las enfermedades oportunistas, tanto a nivel individual como de la comunidad y nacional, y aumentar también el conocimiento de los medios para prevenirlas; corregir las injusticias sociales, económicas, por razón de sexo y raciales que aumentan la vulnerabilidad  a la enfermedad;</w:t>
      </w:r>
    </w:p>
    <w:p w:rsidR="000D60F4" w:rsidRDefault="000D60F4" w:rsidP="000D60F4">
      <w:pPr>
        <w:pStyle w:val="Prrafodelista"/>
        <w:numPr>
          <w:ilvl w:val="0"/>
          <w:numId w:val="44"/>
        </w:numPr>
        <w:contextualSpacing/>
        <w:rPr>
          <w:rFonts w:cs="Arial"/>
          <w:szCs w:val="24"/>
        </w:rPr>
      </w:pPr>
      <w:r w:rsidRPr="00256006">
        <w:rPr>
          <w:rFonts w:cs="Arial"/>
          <w:szCs w:val="24"/>
        </w:rPr>
        <w:t xml:space="preserve">Asegurar que las personas infectadas con el  VIH reciban atención médica adecuada y no sean objeto de discriminación; dar  asesoramiento y apoyo a las personas infectadas con el VIH y aliviar el sufrimiento de ellas y sus familiares, especialmente a los huérfanos; </w:t>
      </w:r>
      <w:r w:rsidRPr="00256006">
        <w:rPr>
          <w:rFonts w:cs="Arial"/>
          <w:szCs w:val="24"/>
        </w:rPr>
        <w:lastRenderedPageBreak/>
        <w:t xml:space="preserve">asegurar el respeto de los derechos individuales y la confidencialidad; asegurar que los programas de salud reproductiva y sexual se ocupen de la infección con el VIH y del SIDA; </w:t>
      </w:r>
    </w:p>
    <w:p w:rsidR="000D60F4" w:rsidRPr="00256006" w:rsidRDefault="000D60F4" w:rsidP="000D60F4">
      <w:pPr>
        <w:pStyle w:val="Prrafodelista"/>
        <w:numPr>
          <w:ilvl w:val="0"/>
          <w:numId w:val="44"/>
        </w:numPr>
        <w:contextualSpacing/>
        <w:rPr>
          <w:rFonts w:cs="Arial"/>
          <w:szCs w:val="24"/>
        </w:rPr>
      </w:pPr>
      <w:r w:rsidRPr="00256006">
        <w:rPr>
          <w:rFonts w:cs="Arial"/>
          <w:szCs w:val="24"/>
        </w:rPr>
        <w:t>Intensificar las investigaciones sobre métodos de lucha contra la pandemia del VIH y el SIDA  y sobre un tratamiento eficaz para la enfermedad.</w:t>
      </w:r>
    </w:p>
    <w:p w:rsidR="000D60F4" w:rsidRDefault="000D60F4" w:rsidP="000D60F4">
      <w:pPr>
        <w:pStyle w:val="Ttulo3"/>
        <w:keepLines/>
        <w:numPr>
          <w:ilvl w:val="1"/>
          <w:numId w:val="39"/>
        </w:numPr>
        <w:spacing w:before="200" w:after="0"/>
        <w:rPr>
          <w:szCs w:val="24"/>
        </w:rPr>
      </w:pPr>
      <w:r>
        <w:rPr>
          <w:szCs w:val="24"/>
        </w:rPr>
        <w:t xml:space="preserve"> </w:t>
      </w:r>
      <w:bookmarkStart w:id="55" w:name="_Toc299639273"/>
      <w:bookmarkStart w:id="56" w:name="_Toc320694994"/>
      <w:r w:rsidRPr="00C336AA">
        <w:rPr>
          <w:szCs w:val="24"/>
        </w:rPr>
        <w:t>Declaración de Doha y acuerdos ADPIC.</w:t>
      </w:r>
      <w:bookmarkEnd w:id="55"/>
      <w:bookmarkEnd w:id="56"/>
    </w:p>
    <w:p w:rsidR="000D60F4" w:rsidRPr="00853987" w:rsidRDefault="000D60F4" w:rsidP="000D60F4">
      <w:pPr>
        <w:rPr>
          <w:rFonts w:cs="Arial"/>
          <w:szCs w:val="24"/>
        </w:rPr>
      </w:pPr>
      <w:r w:rsidRPr="00853987">
        <w:rPr>
          <w:rFonts w:cs="Arial"/>
          <w:szCs w:val="24"/>
        </w:rPr>
        <w:t xml:space="preserve">La Declaración de DOHA proviene de la Cuarta Conferencia Ministerial celebrada en DOHA, Qatar en Noviembre </w:t>
      </w:r>
      <w:r>
        <w:rPr>
          <w:rFonts w:cs="Arial"/>
          <w:szCs w:val="24"/>
        </w:rPr>
        <w:t xml:space="preserve">del </w:t>
      </w:r>
      <w:r w:rsidRPr="00853987">
        <w:rPr>
          <w:rFonts w:cs="Arial"/>
          <w:szCs w:val="24"/>
        </w:rPr>
        <w:t xml:space="preserve">2001, donde se establece que el Acuerdo Relativo a los Aspectos de los Derechos de Propiedad Intelectual relacionados con el Comercio (ADPIC) deben interpretarse y aplicarse de manera que apoye la salud pública, promoviendo tanto el acceso a los medicamentos existentes  como la investigación y desarrollo de nuevos medicamentos. </w:t>
      </w:r>
    </w:p>
    <w:p w:rsidR="000D60F4" w:rsidRDefault="000D60F4" w:rsidP="000D60F4">
      <w:pPr>
        <w:rPr>
          <w:rFonts w:cs="Arial"/>
          <w:szCs w:val="24"/>
        </w:rPr>
      </w:pPr>
      <w:r w:rsidRPr="00853987">
        <w:rPr>
          <w:rFonts w:cs="Arial"/>
          <w:szCs w:val="24"/>
        </w:rPr>
        <w:t xml:space="preserve">Los Acuerdos ADPIC contemplan flexibilidades para los productos farmacéuticos con el objetivo de proteger la salud en los países en  desarrollo. Entre las más importantes está: </w:t>
      </w:r>
    </w:p>
    <w:p w:rsidR="000D60F4" w:rsidRDefault="000D60F4" w:rsidP="000D60F4">
      <w:pPr>
        <w:pStyle w:val="Prrafodelista"/>
        <w:numPr>
          <w:ilvl w:val="0"/>
          <w:numId w:val="45"/>
        </w:numPr>
        <w:contextualSpacing/>
        <w:rPr>
          <w:rFonts w:cs="Arial"/>
          <w:szCs w:val="24"/>
        </w:rPr>
      </w:pPr>
      <w:r w:rsidRPr="00256006">
        <w:rPr>
          <w:rFonts w:cs="Arial"/>
          <w:szCs w:val="24"/>
        </w:rPr>
        <w:t xml:space="preserve">El derecho de los países </w:t>
      </w:r>
      <w:r>
        <w:rPr>
          <w:rFonts w:cs="Arial"/>
          <w:szCs w:val="24"/>
        </w:rPr>
        <w:t>a emitir licencias obligatorias.</w:t>
      </w:r>
    </w:p>
    <w:p w:rsidR="000D60F4" w:rsidRDefault="000D60F4" w:rsidP="000D60F4">
      <w:pPr>
        <w:pStyle w:val="Prrafodelista"/>
        <w:numPr>
          <w:ilvl w:val="0"/>
          <w:numId w:val="45"/>
        </w:numPr>
        <w:contextualSpacing/>
        <w:rPr>
          <w:rFonts w:cs="Arial"/>
          <w:szCs w:val="24"/>
        </w:rPr>
      </w:pPr>
      <w:r w:rsidRPr="00256006">
        <w:rPr>
          <w:rFonts w:cs="Arial"/>
          <w:szCs w:val="24"/>
        </w:rPr>
        <w:t>El derecho de los países a decidir cuándo emitir una licencia obligatoria</w:t>
      </w:r>
      <w:r>
        <w:rPr>
          <w:rFonts w:cs="Arial"/>
          <w:szCs w:val="24"/>
        </w:rPr>
        <w:t>.</w:t>
      </w:r>
    </w:p>
    <w:p w:rsidR="000D60F4" w:rsidRDefault="000D60F4" w:rsidP="000D60F4">
      <w:pPr>
        <w:pStyle w:val="Prrafodelista"/>
        <w:numPr>
          <w:ilvl w:val="0"/>
          <w:numId w:val="45"/>
        </w:numPr>
        <w:contextualSpacing/>
        <w:rPr>
          <w:rFonts w:cs="Arial"/>
          <w:szCs w:val="24"/>
        </w:rPr>
      </w:pPr>
      <w:r w:rsidRPr="00256006">
        <w:rPr>
          <w:rFonts w:cs="Arial"/>
          <w:szCs w:val="24"/>
        </w:rPr>
        <w:t>El derecho de los países a comprar medicamentos mediante importaciones paralelas.</w:t>
      </w:r>
    </w:p>
    <w:p w:rsidR="000D60F4" w:rsidRPr="00256006" w:rsidRDefault="000D60F4" w:rsidP="000D60F4">
      <w:pPr>
        <w:pStyle w:val="Prrafodelista"/>
        <w:numPr>
          <w:ilvl w:val="0"/>
          <w:numId w:val="45"/>
        </w:numPr>
        <w:contextualSpacing/>
        <w:rPr>
          <w:rFonts w:cs="Arial"/>
          <w:szCs w:val="24"/>
        </w:rPr>
      </w:pPr>
      <w:r w:rsidRPr="00256006">
        <w:rPr>
          <w:rFonts w:cs="Arial"/>
          <w:szCs w:val="24"/>
        </w:rPr>
        <w:t>La libertad de los países de otorgar un período concreto o no a la protección de 25 Datos de Prueba farmacéuticos.</w:t>
      </w:r>
    </w:p>
    <w:p w:rsidR="000D60F4" w:rsidRDefault="000D60F4" w:rsidP="000D60F4">
      <w:pPr>
        <w:pStyle w:val="Ttulo3"/>
        <w:keepLines/>
        <w:numPr>
          <w:ilvl w:val="1"/>
          <w:numId w:val="39"/>
        </w:numPr>
        <w:spacing w:before="200" w:after="0"/>
        <w:rPr>
          <w:szCs w:val="24"/>
        </w:rPr>
      </w:pPr>
      <w:r>
        <w:rPr>
          <w:szCs w:val="24"/>
        </w:rPr>
        <w:t xml:space="preserve"> </w:t>
      </w:r>
      <w:bookmarkStart w:id="57" w:name="_Toc299639274"/>
      <w:bookmarkStart w:id="58" w:name="_Toc320694995"/>
      <w:r w:rsidRPr="00C336AA">
        <w:rPr>
          <w:szCs w:val="24"/>
        </w:rPr>
        <w:t>Compromisos de RESSCAD (Reunión del Sector salud de Centro América y República Dominicana)</w:t>
      </w:r>
      <w:r>
        <w:rPr>
          <w:szCs w:val="24"/>
        </w:rPr>
        <w:t>.</w:t>
      </w:r>
      <w:bookmarkEnd w:id="57"/>
      <w:bookmarkEnd w:id="58"/>
    </w:p>
    <w:p w:rsidR="000D60F4" w:rsidRPr="00853987" w:rsidRDefault="000D60F4" w:rsidP="000D60F4">
      <w:pPr>
        <w:rPr>
          <w:rFonts w:cs="Arial"/>
          <w:szCs w:val="24"/>
        </w:rPr>
      </w:pPr>
      <w:r w:rsidRPr="00853987">
        <w:rPr>
          <w:rFonts w:cs="Arial"/>
          <w:szCs w:val="24"/>
        </w:rPr>
        <w:t>Según acuerdo del año 2003, se  asumió el compromiso de: Desarrollar una iniciativa subregional para garantizar la disponibilidad a bajo costo de medicamentos e insumos  necesarios para resolver los problemas de compra de antirretrovirales, entre otros; para lo cual se solicitaría a OPS-OMS el apoyo técnico y la movilización de recursos para el desarrollo de esta actividad, siendo Panamá el país que daría seguimiento y coordinaría la iniciativa.</w:t>
      </w:r>
    </w:p>
    <w:p w:rsidR="000D60F4" w:rsidRDefault="000D60F4" w:rsidP="000D60F4">
      <w:pPr>
        <w:pStyle w:val="Ttulo3"/>
        <w:keepLines/>
        <w:numPr>
          <w:ilvl w:val="1"/>
          <w:numId w:val="39"/>
        </w:numPr>
        <w:spacing w:before="200" w:after="0"/>
        <w:rPr>
          <w:szCs w:val="24"/>
        </w:rPr>
      </w:pPr>
      <w:r>
        <w:rPr>
          <w:szCs w:val="24"/>
        </w:rPr>
        <w:lastRenderedPageBreak/>
        <w:t xml:space="preserve"> </w:t>
      </w:r>
      <w:bookmarkStart w:id="59" w:name="_Toc299639275"/>
      <w:bookmarkStart w:id="60" w:name="_Toc320694996"/>
      <w:r w:rsidRPr="00C336AA">
        <w:rPr>
          <w:szCs w:val="24"/>
        </w:rPr>
        <w:t>Compromisos en COMISCA (Reunión del consejo de ministros de salud de centro América).</w:t>
      </w:r>
      <w:bookmarkEnd w:id="59"/>
      <w:bookmarkEnd w:id="60"/>
    </w:p>
    <w:p w:rsidR="000D60F4" w:rsidRPr="00853987" w:rsidRDefault="000D60F4" w:rsidP="000D60F4">
      <w:pPr>
        <w:rPr>
          <w:rFonts w:cs="Arial"/>
          <w:szCs w:val="24"/>
        </w:rPr>
      </w:pPr>
      <w:r w:rsidRPr="00853987">
        <w:rPr>
          <w:rFonts w:cs="Arial"/>
          <w:szCs w:val="24"/>
        </w:rPr>
        <w:t xml:space="preserve">Según acuerdo de reunión realizada en Abril de 2004 se acordó que: Se prepararía un </w:t>
      </w:r>
      <w:r>
        <w:rPr>
          <w:rFonts w:cs="Arial"/>
          <w:szCs w:val="24"/>
        </w:rPr>
        <w:t>avance</w:t>
      </w:r>
      <w:r w:rsidRPr="00853987">
        <w:rPr>
          <w:rFonts w:cs="Arial"/>
          <w:szCs w:val="24"/>
        </w:rPr>
        <w:t xml:space="preserve"> sobre las observaciones realizadas por los ministros de salud a la propuesta del “Proyecto regional para América Central para la Prevención y Control del VIH/SIDA” , el cual tiene un fondo estimado de 8 millones de dólares donados por el Banco Mundial para un período de ejecución de cinco años</w:t>
      </w:r>
      <w:r>
        <w:rPr>
          <w:rFonts w:cs="Arial"/>
          <w:szCs w:val="24"/>
        </w:rPr>
        <w:t xml:space="preserve">; Se solicitaría a SISCA y OPS </w:t>
      </w:r>
      <w:r w:rsidRPr="00853987">
        <w:rPr>
          <w:rFonts w:cs="Arial"/>
          <w:szCs w:val="24"/>
        </w:rPr>
        <w:t>que continuaran con los esfuerzos de negociación conjunta sobre los insumos de laboratorio para pruebas diagnósticas de VIH/SIDA.</w:t>
      </w:r>
    </w:p>
    <w:p w:rsidR="000D60F4" w:rsidRDefault="000D60F4" w:rsidP="000D60F4">
      <w:pPr>
        <w:pStyle w:val="Ttulo3"/>
        <w:keepLines/>
        <w:numPr>
          <w:ilvl w:val="1"/>
          <w:numId w:val="39"/>
        </w:numPr>
        <w:spacing w:before="200" w:after="0"/>
        <w:rPr>
          <w:szCs w:val="24"/>
        </w:rPr>
      </w:pPr>
      <w:r>
        <w:rPr>
          <w:szCs w:val="24"/>
        </w:rPr>
        <w:t xml:space="preserve"> </w:t>
      </w:r>
      <w:bookmarkStart w:id="61" w:name="_Toc299639276"/>
      <w:bookmarkStart w:id="62" w:name="_Toc320694997"/>
      <w:r w:rsidRPr="00C336AA">
        <w:rPr>
          <w:szCs w:val="24"/>
        </w:rPr>
        <w:t>Compromisos asumidos en foro mundial sobre la educación en abril de 2000 (UNESCO).</w:t>
      </w:r>
      <w:bookmarkEnd w:id="61"/>
      <w:bookmarkEnd w:id="62"/>
    </w:p>
    <w:p w:rsidR="000D60F4" w:rsidRPr="00853987" w:rsidRDefault="000D60F4" w:rsidP="000D60F4">
      <w:pPr>
        <w:rPr>
          <w:rFonts w:cs="Arial"/>
          <w:szCs w:val="24"/>
        </w:rPr>
      </w:pPr>
      <w:r w:rsidRPr="00853987">
        <w:rPr>
          <w:rFonts w:cs="Arial"/>
          <w:szCs w:val="24"/>
        </w:rPr>
        <w:t xml:space="preserve">Se establece la estrategia de “Poner rápidamente en práctica programas y actividades educativas para luchar contra la pandemia del VIH/SIDA “,  lo cual implicará la atención urgente de los gobiernos, la sociedad civil y la comunidad internacional. Para ello manifiestan que es preciso conceder al VIH/SIDA el máximo grado de prioridad en los países más afectados, con un compromiso político decidido y sostenido; generalizar las perspectivas del VIH/SIDA en todos los aspectos de las políticas; reformular la formación del profesorado y los planes de estudio; y aumentar en gran medida los recursos asignados a esas actividades. A su vez expresa que es esencial una respuesta basada en los distintos derechos para mitigar el VIH/SIDA, así como una supervisión permanente de sus efectos. Dicha respuesta deberá abarcar una legislación adecuada y las actividades administrativas correspondientes para garantizar a las personas afectadas por el VIH/SIDA el derecho a la educación y combatir la discriminación en este sector.  </w:t>
      </w:r>
    </w:p>
    <w:p w:rsidR="000D60F4" w:rsidRPr="00853987" w:rsidRDefault="000D60F4" w:rsidP="000D60F4">
      <w:pPr>
        <w:rPr>
          <w:rFonts w:cs="Arial"/>
          <w:szCs w:val="24"/>
        </w:rPr>
      </w:pPr>
      <w:r w:rsidRPr="00853987">
        <w:rPr>
          <w:rFonts w:cs="Arial"/>
          <w:szCs w:val="24"/>
        </w:rPr>
        <w:t xml:space="preserve">Las instituciones y estructuras de educación deberán crear un entorno sano y favorable para los niños y jóvenes del mundo afectados con el VIH/SIDA y reforzar su protección contra el abuso sexual y otras formas de explotación. Habrá que adoptar enfoques flexibles no formales para atender a los niños y adultos infectados o afectados por el VIH/SIDA, prestando especial atención a los huérfanos como consecuencia del SIDA. </w:t>
      </w:r>
    </w:p>
    <w:p w:rsidR="000D60F4" w:rsidRPr="00853987" w:rsidRDefault="000D60F4" w:rsidP="000D60F4">
      <w:pPr>
        <w:rPr>
          <w:rFonts w:cs="Arial"/>
          <w:szCs w:val="24"/>
        </w:rPr>
      </w:pPr>
      <w:r w:rsidRPr="00853987">
        <w:rPr>
          <w:rFonts w:cs="Arial"/>
          <w:szCs w:val="24"/>
        </w:rPr>
        <w:lastRenderedPageBreak/>
        <w:t>Los planes de estudio basados en enfoques sobre conocimientos prácticos para la vida deberían incluir todos los aspectos de atención y prevención del VIH/SIDA. Asimismo se deben prever programas relacionados con el VIH/SIDA para los padres de familia y la comunidad en general. La formación inicial y complementaria del profesorado deberá tener un componente adecuado para impartir educación sobre el VIH/SIDA, y se deberá prestar apoyo en todos los niveles a los profesores afectados por esa pandemia.</w:t>
      </w:r>
    </w:p>
    <w:p w:rsidR="000D60F4" w:rsidRPr="00C336AA" w:rsidRDefault="000D60F4" w:rsidP="000D60F4">
      <w:pPr>
        <w:pStyle w:val="Ttulo3"/>
        <w:keepLines/>
        <w:numPr>
          <w:ilvl w:val="1"/>
          <w:numId w:val="39"/>
        </w:numPr>
        <w:spacing w:before="200" w:after="0"/>
        <w:rPr>
          <w:szCs w:val="24"/>
        </w:rPr>
      </w:pPr>
      <w:bookmarkStart w:id="63" w:name="_Toc299639277"/>
      <w:bookmarkStart w:id="64" w:name="_Toc320694998"/>
      <w:r w:rsidRPr="00C336AA">
        <w:rPr>
          <w:szCs w:val="24"/>
        </w:rPr>
        <w:t>Compromisos asumidos por el proyecto fondo mundial para la lucha contra el VIH-SIDA, tuberculosis y malaria.</w:t>
      </w:r>
      <w:bookmarkEnd w:id="63"/>
      <w:bookmarkEnd w:id="64"/>
      <w:r w:rsidRPr="00C336AA">
        <w:rPr>
          <w:szCs w:val="24"/>
        </w:rPr>
        <w:t xml:space="preserve"> </w:t>
      </w:r>
    </w:p>
    <w:p w:rsidR="000D60F4" w:rsidRPr="00853987" w:rsidRDefault="000D60F4" w:rsidP="000D60F4">
      <w:pPr>
        <w:rPr>
          <w:rFonts w:cs="Arial"/>
          <w:szCs w:val="24"/>
        </w:rPr>
      </w:pPr>
      <w:r w:rsidRPr="00853987">
        <w:rPr>
          <w:rFonts w:cs="Arial"/>
          <w:szCs w:val="24"/>
        </w:rPr>
        <w:t xml:space="preserve">Objetivo: Reducir la Tasa de incidencia de VIH 13.7 x 100,000 habitantes a 10 x 100,000 habitantes  y la Tasa de mortalidad por SIDA 6.6 x 100,000 habitantes  a 5 x 100,000 habitantes en la población salvadoreña para el 2008. </w:t>
      </w:r>
    </w:p>
    <w:p w:rsidR="000D60F4" w:rsidRDefault="000D60F4" w:rsidP="000D60F4">
      <w:pPr>
        <w:rPr>
          <w:rFonts w:cs="Arial"/>
          <w:szCs w:val="24"/>
        </w:rPr>
      </w:pPr>
      <w:r w:rsidRPr="00853987">
        <w:rPr>
          <w:rFonts w:cs="Arial"/>
          <w:szCs w:val="24"/>
        </w:rPr>
        <w:t xml:space="preserve">Objetivos y resultados esperados: </w:t>
      </w:r>
    </w:p>
    <w:p w:rsidR="000D60F4" w:rsidRDefault="000D60F4" w:rsidP="000D60F4">
      <w:pPr>
        <w:pStyle w:val="Prrafodelista"/>
        <w:numPr>
          <w:ilvl w:val="0"/>
          <w:numId w:val="46"/>
        </w:numPr>
        <w:contextualSpacing/>
        <w:rPr>
          <w:rFonts w:cs="Arial"/>
          <w:szCs w:val="24"/>
        </w:rPr>
      </w:pPr>
      <w:r w:rsidRPr="00256006">
        <w:rPr>
          <w:rFonts w:cs="Arial"/>
          <w:szCs w:val="24"/>
        </w:rPr>
        <w:t>Incorporar estrategias innovadoras de cambio de conducta para el abordaje preventivo del VIH/SIDA en poblaciones vulnerables de alto riesgo (HSH, TCS, Jóvenes y adolescentes (problemas delictivos y adictos a drogas), privados de libertad, poblaciones móviles) y embarazadas, que permitan modificar sus conductas de riesgo.</w:t>
      </w:r>
    </w:p>
    <w:p w:rsidR="000D60F4" w:rsidRDefault="000D60F4" w:rsidP="000D60F4">
      <w:pPr>
        <w:pStyle w:val="Prrafodelista"/>
        <w:numPr>
          <w:ilvl w:val="0"/>
          <w:numId w:val="46"/>
        </w:numPr>
        <w:contextualSpacing/>
        <w:rPr>
          <w:rFonts w:cs="Arial"/>
          <w:szCs w:val="24"/>
        </w:rPr>
      </w:pPr>
      <w:r w:rsidRPr="00256006">
        <w:rPr>
          <w:rFonts w:cs="Arial"/>
          <w:szCs w:val="24"/>
        </w:rPr>
        <w:t xml:space="preserve">Fortalecer las acciones para el abordaje preventivo, la NO discriminación y </w:t>
      </w:r>
      <w:proofErr w:type="spellStart"/>
      <w:r w:rsidRPr="00256006">
        <w:rPr>
          <w:rFonts w:cs="Arial"/>
          <w:szCs w:val="24"/>
        </w:rPr>
        <w:t>advocacy</w:t>
      </w:r>
      <w:proofErr w:type="spellEnd"/>
      <w:r w:rsidRPr="00256006">
        <w:rPr>
          <w:rFonts w:cs="Arial"/>
          <w:szCs w:val="24"/>
        </w:rPr>
        <w:t xml:space="preserve"> del VIH/SIDA. </w:t>
      </w:r>
    </w:p>
    <w:p w:rsidR="000D60F4" w:rsidRPr="00256006" w:rsidRDefault="000D60F4" w:rsidP="000D60F4">
      <w:pPr>
        <w:pStyle w:val="Prrafodelista"/>
        <w:numPr>
          <w:ilvl w:val="0"/>
          <w:numId w:val="46"/>
        </w:numPr>
        <w:contextualSpacing/>
        <w:rPr>
          <w:rFonts w:cs="Arial"/>
          <w:szCs w:val="24"/>
        </w:rPr>
      </w:pPr>
      <w:r w:rsidRPr="00256006">
        <w:rPr>
          <w:rFonts w:cs="Arial"/>
          <w:szCs w:val="24"/>
        </w:rPr>
        <w:t>Brindar una atención integral a las personas que viven con VIH/SIDA en las diferentes instituciones prestadoras de servicios.</w:t>
      </w:r>
    </w:p>
    <w:p w:rsidR="000D60F4" w:rsidRPr="00427DFF" w:rsidRDefault="000D60F4" w:rsidP="000D60F4"/>
    <w:p w:rsidR="0008176C" w:rsidRDefault="0008176C" w:rsidP="000D60F4">
      <w:pPr>
        <w:pStyle w:val="Ttulo1"/>
      </w:pPr>
    </w:p>
    <w:sectPr w:rsidR="0008176C" w:rsidSect="000D60F4">
      <w:headerReference w:type="default" r:id="rId13"/>
      <w:footerReference w:type="default" r:id="rId14"/>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5A7" w:rsidRDefault="00A465A7" w:rsidP="000D60F4">
      <w:pPr>
        <w:spacing w:after="0" w:line="240" w:lineRule="auto"/>
      </w:pPr>
      <w:r>
        <w:separator/>
      </w:r>
    </w:p>
  </w:endnote>
  <w:endnote w:type="continuationSeparator" w:id="0">
    <w:p w:rsidR="00A465A7" w:rsidRDefault="00A465A7" w:rsidP="000D6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F" w:rsidRDefault="00D3584F">
    <w:pPr>
      <w:pStyle w:val="Piedep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338"/>
      <w:docPartObj>
        <w:docPartGallery w:val="Page Numbers (Bottom of Page)"/>
        <w:docPartUnique/>
      </w:docPartObj>
    </w:sdtPr>
    <w:sdtContent>
      <w:p w:rsidR="00D3584F" w:rsidRDefault="008F1B5B" w:rsidP="00B16FF5">
        <w:pPr>
          <w:pStyle w:val="Piedepgina"/>
          <w:jc w:val="right"/>
        </w:pPr>
        <w:fldSimple w:instr=" PAGE   \* MERGEFORMAT ">
          <w:r w:rsidR="00D90CAA">
            <w:rPr>
              <w:noProof/>
            </w:rPr>
            <w:t>i</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339"/>
      <w:docPartObj>
        <w:docPartGallery w:val="Page Numbers (Bottom of Page)"/>
        <w:docPartUnique/>
      </w:docPartObj>
    </w:sdtPr>
    <w:sdtContent>
      <w:p w:rsidR="00D3584F" w:rsidRDefault="008F1B5B" w:rsidP="00B16FF5">
        <w:pPr>
          <w:pStyle w:val="Piedepgina"/>
          <w:jc w:val="right"/>
        </w:pPr>
        <w:fldSimple w:instr=" PAGE   \* MERGEFORMAT ">
          <w:r w:rsidR="00D90CAA">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5A7" w:rsidRDefault="00A465A7" w:rsidP="000D60F4">
      <w:pPr>
        <w:spacing w:after="0" w:line="240" w:lineRule="auto"/>
      </w:pPr>
      <w:r>
        <w:separator/>
      </w:r>
    </w:p>
  </w:footnote>
  <w:footnote w:type="continuationSeparator" w:id="0">
    <w:p w:rsidR="00A465A7" w:rsidRDefault="00A465A7" w:rsidP="000D60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F" w:rsidRPr="002835BF" w:rsidRDefault="00D3584F" w:rsidP="00705011">
    <w:pPr>
      <w:spacing w:after="0" w:line="240" w:lineRule="auto"/>
      <w:jc w:val="center"/>
      <w:rPr>
        <w:rFonts w:eastAsia="Times New Roman"/>
        <w:b/>
        <w:bCs/>
        <w:color w:val="000000"/>
        <w:szCs w:val="24"/>
        <w:lang w:val="es-SV" w:eastAsia="es-SV"/>
      </w:rPr>
    </w:pPr>
    <w:r w:rsidRPr="002835BF">
      <w:rPr>
        <w:rFonts w:eastAsia="Times New Roman"/>
        <w:b/>
        <w:bCs/>
        <w:color w:val="000000"/>
        <w:szCs w:val="24"/>
        <w:lang w:val="es-SV" w:eastAsia="es-SV"/>
      </w:rPr>
      <w:t>PLAN DE INCIDENCIA POLITICA</w:t>
    </w:r>
    <w:r>
      <w:rPr>
        <w:rFonts w:eastAsia="Times New Roman"/>
        <w:b/>
        <w:bCs/>
        <w:color w:val="000000"/>
        <w:szCs w:val="24"/>
        <w:lang w:val="es-SV" w:eastAsia="es-SV"/>
      </w:rPr>
      <w:t>.</w:t>
    </w:r>
    <w:r w:rsidRPr="002835BF">
      <w:rPr>
        <w:rFonts w:eastAsia="Times New Roman"/>
        <w:b/>
        <w:bCs/>
        <w:color w:val="000000"/>
        <w:szCs w:val="24"/>
        <w:lang w:val="es-SV" w:eastAsia="es-SV"/>
      </w:rPr>
      <w:t xml:space="preserve"> ESTRATEGIA DE ACCION PARA ABOGACIA</w:t>
    </w:r>
  </w:p>
  <w:p w:rsidR="00D3584F" w:rsidRPr="00F44538" w:rsidRDefault="00D3584F" w:rsidP="00705011">
    <w:pPr>
      <w:spacing w:after="0" w:line="240" w:lineRule="auto"/>
      <w:jc w:val="center"/>
      <w:rPr>
        <w:rFonts w:eastAsia="Times New Roman"/>
        <w:b/>
        <w:bCs/>
        <w:color w:val="000000"/>
        <w:szCs w:val="24"/>
        <w:lang w:val="es-SV" w:eastAsia="es-SV"/>
      </w:rPr>
    </w:pPr>
    <w:r w:rsidRPr="002835BF">
      <w:rPr>
        <w:rFonts w:eastAsia="Times New Roman"/>
        <w:b/>
        <w:bCs/>
        <w:color w:val="000000"/>
        <w:szCs w:val="24"/>
        <w:lang w:val="es-SV" w:eastAsia="es-SV"/>
      </w:rPr>
      <w:t>Asociación Atlacatl Vivo Positivo. 201</w:t>
    </w:r>
    <w:r>
      <w:rPr>
        <w:rFonts w:eastAsia="Times New Roman"/>
        <w:b/>
        <w:bCs/>
        <w:color w:val="000000"/>
        <w:szCs w:val="24"/>
        <w:lang w:val="es-SV" w:eastAsia="es-SV"/>
      </w:rPr>
      <w:t>1</w:t>
    </w:r>
    <w:r w:rsidRPr="002835BF">
      <w:rPr>
        <w:rFonts w:eastAsia="Times New Roman"/>
        <w:b/>
        <w:bCs/>
        <w:color w:val="000000"/>
        <w:szCs w:val="24"/>
        <w:lang w:val="es-SV" w:eastAsia="es-SV"/>
      </w:rPr>
      <w:t>-201</w:t>
    </w:r>
    <w:r>
      <w:rPr>
        <w:rFonts w:eastAsia="Times New Roman"/>
        <w:b/>
        <w:bCs/>
        <w:color w:val="000000"/>
        <w:szCs w:val="24"/>
        <w:lang w:val="es-SV" w:eastAsia="es-SV"/>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F" w:rsidRPr="000D60F4" w:rsidRDefault="00D3584F" w:rsidP="000D60F4">
    <w:pPr>
      <w:spacing w:after="0" w:line="240" w:lineRule="auto"/>
      <w:jc w:val="center"/>
      <w:rPr>
        <w:rFonts w:ascii="Bodoni MT" w:eastAsia="Times New Roman" w:hAnsi="Bodoni MT"/>
        <w:b/>
        <w:bCs/>
        <w:color w:val="000000"/>
        <w:szCs w:val="24"/>
        <w:lang w:val="es-SV" w:eastAsia="es-SV"/>
      </w:rPr>
    </w:pPr>
    <w:r w:rsidRPr="000D60F4">
      <w:rPr>
        <w:rFonts w:ascii="Bodoni MT" w:hAnsi="Bodoni MT"/>
        <w:b/>
        <w:szCs w:val="24"/>
      </w:rPr>
      <w:t xml:space="preserve">Marco legal </w:t>
    </w:r>
    <w:r>
      <w:rPr>
        <w:rFonts w:ascii="Bodoni MT" w:hAnsi="Bodoni MT"/>
        <w:b/>
        <w:szCs w:val="24"/>
      </w:rPr>
      <w:t xml:space="preserve">Nacional e Internacional </w:t>
    </w:r>
    <w:r w:rsidRPr="000D60F4">
      <w:rPr>
        <w:rFonts w:ascii="Bodoni MT" w:hAnsi="Bodoni MT"/>
        <w:b/>
        <w:szCs w:val="24"/>
      </w:rPr>
      <w:t>de la epidemia de VIH-</w:t>
    </w:r>
    <w:r>
      <w:rPr>
        <w:rFonts w:ascii="Bodoni MT" w:hAnsi="Bodoni MT"/>
        <w:b/>
        <w:szCs w:val="24"/>
      </w:rPr>
      <w:t>VIH Avanzado en El S</w:t>
    </w:r>
    <w:r w:rsidRPr="000D60F4">
      <w:rPr>
        <w:rFonts w:ascii="Bodoni MT" w:hAnsi="Bodoni MT"/>
        <w:b/>
        <w:szCs w:val="24"/>
      </w:rPr>
      <w:t>alvador</w:t>
    </w:r>
    <w:r w:rsidRPr="000D60F4">
      <w:rPr>
        <w:rFonts w:ascii="Bodoni MT" w:eastAsia="Times New Roman" w:hAnsi="Bodoni MT"/>
        <w:b/>
        <w:bCs/>
        <w:color w:val="000000"/>
        <w:szCs w:val="24"/>
        <w:lang w:val="es-SV" w:eastAsia="es-SV"/>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F" w:rsidRPr="000D60F4" w:rsidRDefault="00D3584F" w:rsidP="00705011">
    <w:pPr>
      <w:spacing w:after="0" w:line="240" w:lineRule="auto"/>
      <w:jc w:val="center"/>
      <w:rPr>
        <w:rFonts w:ascii="Bodoni MT" w:eastAsia="Times New Roman" w:hAnsi="Bodoni MT"/>
        <w:b/>
        <w:bCs/>
        <w:color w:val="000000"/>
        <w:szCs w:val="24"/>
        <w:lang w:val="es-SV" w:eastAsia="es-SV"/>
      </w:rPr>
    </w:pPr>
    <w:r w:rsidRPr="000D60F4">
      <w:rPr>
        <w:rFonts w:ascii="Bodoni MT" w:hAnsi="Bodoni MT"/>
        <w:b/>
        <w:szCs w:val="24"/>
      </w:rPr>
      <w:t xml:space="preserve">Marco legal </w:t>
    </w:r>
    <w:r>
      <w:rPr>
        <w:rFonts w:ascii="Bodoni MT" w:hAnsi="Bodoni MT"/>
        <w:b/>
        <w:szCs w:val="24"/>
      </w:rPr>
      <w:t xml:space="preserve">Nacional e Internacional </w:t>
    </w:r>
    <w:r w:rsidRPr="000D60F4">
      <w:rPr>
        <w:rFonts w:ascii="Bodoni MT" w:hAnsi="Bodoni MT"/>
        <w:b/>
        <w:szCs w:val="24"/>
      </w:rPr>
      <w:t>de la epidemia de VIH-</w:t>
    </w:r>
    <w:r>
      <w:rPr>
        <w:rFonts w:ascii="Bodoni MT" w:hAnsi="Bodoni MT"/>
        <w:b/>
        <w:szCs w:val="24"/>
      </w:rPr>
      <w:t>VIH Avanzado en El S</w:t>
    </w:r>
    <w:r w:rsidRPr="000D60F4">
      <w:rPr>
        <w:rFonts w:ascii="Bodoni MT" w:hAnsi="Bodoni MT"/>
        <w:b/>
        <w:szCs w:val="24"/>
      </w:rPr>
      <w:t>alvador</w:t>
    </w:r>
    <w:r w:rsidRPr="000D60F4">
      <w:rPr>
        <w:rFonts w:ascii="Bodoni MT" w:eastAsia="Times New Roman" w:hAnsi="Bodoni MT"/>
        <w:b/>
        <w:bCs/>
        <w:color w:val="000000"/>
        <w:szCs w:val="24"/>
        <w:lang w:val="es-SV" w:eastAsia="es-SV"/>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4578_"/>
      </v:shape>
    </w:pict>
  </w:numPicBullet>
  <w:numPicBullet w:numPicBulletId="1">
    <w:pict>
      <v:shape id="_x0000_i1048" type="#_x0000_t75" style="width:11.25pt;height:11.25pt" o:bullet="t">
        <v:imagedata r:id="rId2" o:title="BD14691_"/>
      </v:shape>
    </w:pict>
  </w:numPicBullet>
  <w:numPicBullet w:numPicBulletId="2">
    <w:pict>
      <v:shape id="_x0000_i1049" type="#_x0000_t75" style="width:9pt;height:9pt" o:bullet="t">
        <v:imagedata r:id="rId3" o:title="BD21519_"/>
      </v:shape>
    </w:pict>
  </w:numPicBullet>
  <w:abstractNum w:abstractNumId="0">
    <w:nsid w:val="077D6F82"/>
    <w:multiLevelType w:val="hybridMultilevel"/>
    <w:tmpl w:val="A8AC3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2804F7"/>
    <w:multiLevelType w:val="hybridMultilevel"/>
    <w:tmpl w:val="61F683A6"/>
    <w:lvl w:ilvl="0" w:tplc="03C4E614">
      <w:start w:val="4"/>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C61B8B"/>
    <w:multiLevelType w:val="hybridMultilevel"/>
    <w:tmpl w:val="CA22FE44"/>
    <w:lvl w:ilvl="0" w:tplc="07D6E558">
      <w:start w:val="1"/>
      <w:numFmt w:val="bullet"/>
      <w:lvlText w:val=""/>
      <w:lvlPicBulletId w:val="1"/>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7D6B84"/>
    <w:multiLevelType w:val="multilevel"/>
    <w:tmpl w:val="BF140A8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
    <w:nsid w:val="0B836233"/>
    <w:multiLevelType w:val="hybridMultilevel"/>
    <w:tmpl w:val="22C2B0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985E44"/>
    <w:multiLevelType w:val="hybridMultilevel"/>
    <w:tmpl w:val="3EFA6A92"/>
    <w:lvl w:ilvl="0" w:tplc="BABC70DC">
      <w:start w:val="1"/>
      <w:numFmt w:val="upperRoman"/>
      <w:lvlText w:val="%1."/>
      <w:lvlJc w:val="left"/>
      <w:pPr>
        <w:ind w:left="1080" w:hanging="720"/>
      </w:pPr>
      <w:rPr>
        <w:rFonts w:ascii="Times New Roman" w:hAnsi="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BE5210"/>
    <w:multiLevelType w:val="hybridMultilevel"/>
    <w:tmpl w:val="FDB4AD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D16445"/>
    <w:multiLevelType w:val="hybridMultilevel"/>
    <w:tmpl w:val="915E26CA"/>
    <w:lvl w:ilvl="0" w:tplc="5854FA7A">
      <w:start w:val="1"/>
      <w:numFmt w:val="lowerLetter"/>
      <w:lvlText w:val="%1)"/>
      <w:lvlJc w:val="left"/>
      <w:pPr>
        <w:ind w:left="720" w:hanging="360"/>
      </w:pPr>
      <w:rPr>
        <w:rFonts w:hint="default"/>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2D1217A"/>
    <w:multiLevelType w:val="multilevel"/>
    <w:tmpl w:val="1FCC298C"/>
    <w:lvl w:ilvl="0">
      <w:start w:val="1"/>
      <w:numFmt w:val="decimal"/>
      <w:lvlText w:val="%1"/>
      <w:lvlJc w:val="left"/>
      <w:pPr>
        <w:ind w:left="360" w:hanging="360"/>
      </w:pPr>
      <w:rPr>
        <w:rFonts w:hint="default"/>
      </w:rPr>
    </w:lvl>
    <w:lvl w:ilvl="1">
      <w:start w:val="8"/>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9">
    <w:nsid w:val="13346150"/>
    <w:multiLevelType w:val="hybridMultilevel"/>
    <w:tmpl w:val="8174D6CE"/>
    <w:lvl w:ilvl="0" w:tplc="4F50097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055CC7"/>
    <w:multiLevelType w:val="hybridMultilevel"/>
    <w:tmpl w:val="11F07D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04F269E"/>
    <w:multiLevelType w:val="hybridMultilevel"/>
    <w:tmpl w:val="768A1D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3D4F63"/>
    <w:multiLevelType w:val="hybridMultilevel"/>
    <w:tmpl w:val="82602508"/>
    <w:lvl w:ilvl="0" w:tplc="C9D0CBD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7634D94"/>
    <w:multiLevelType w:val="hybridMultilevel"/>
    <w:tmpl w:val="E6CCBB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7A5117C"/>
    <w:multiLevelType w:val="hybridMultilevel"/>
    <w:tmpl w:val="F4725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B32635"/>
    <w:multiLevelType w:val="hybridMultilevel"/>
    <w:tmpl w:val="D10680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B761236"/>
    <w:multiLevelType w:val="hybridMultilevel"/>
    <w:tmpl w:val="AA4A8336"/>
    <w:lvl w:ilvl="0" w:tplc="190647AA">
      <w:start w:val="1"/>
      <w:numFmt w:val="bullet"/>
      <w:lvlText w:val=""/>
      <w:lvlPicBulletId w:val="2"/>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CEF1628"/>
    <w:multiLevelType w:val="hybridMultilevel"/>
    <w:tmpl w:val="5A34E6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FC12D90"/>
    <w:multiLevelType w:val="hybridMultilevel"/>
    <w:tmpl w:val="030C4FE8"/>
    <w:lvl w:ilvl="0" w:tplc="03C4E614">
      <w:start w:val="4"/>
      <w:numFmt w:val="upperRoman"/>
      <w:lvlText w:val="%1."/>
      <w:lvlJc w:val="left"/>
      <w:pPr>
        <w:ind w:left="1080" w:hanging="720"/>
      </w:pPr>
      <w:rPr>
        <w:rFonts w:hint="default"/>
        <w:b/>
      </w:rPr>
    </w:lvl>
    <w:lvl w:ilvl="1" w:tplc="0C0A0019">
      <w:start w:val="1"/>
      <w:numFmt w:val="lowerLetter"/>
      <w:lvlText w:val="%2."/>
      <w:lvlJc w:val="left"/>
      <w:pPr>
        <w:ind w:left="1636"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911BBB"/>
    <w:multiLevelType w:val="hybridMultilevel"/>
    <w:tmpl w:val="038EB3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85558EE"/>
    <w:multiLevelType w:val="hybridMultilevel"/>
    <w:tmpl w:val="B574D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98B3DB5"/>
    <w:multiLevelType w:val="hybridMultilevel"/>
    <w:tmpl w:val="30E669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4006ED"/>
    <w:multiLevelType w:val="hybridMultilevel"/>
    <w:tmpl w:val="AEE0501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3">
    <w:nsid w:val="45BC7CF7"/>
    <w:multiLevelType w:val="hybridMultilevel"/>
    <w:tmpl w:val="A1805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75A0313"/>
    <w:multiLevelType w:val="hybridMultilevel"/>
    <w:tmpl w:val="92C61CE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F7C133F"/>
    <w:multiLevelType w:val="hybridMultilevel"/>
    <w:tmpl w:val="F6A833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FB04F90"/>
    <w:multiLevelType w:val="hybridMultilevel"/>
    <w:tmpl w:val="423089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770A8D"/>
    <w:multiLevelType w:val="hybridMultilevel"/>
    <w:tmpl w:val="D0421B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52776F1"/>
    <w:multiLevelType w:val="hybridMultilevel"/>
    <w:tmpl w:val="DC402C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56E1F81"/>
    <w:multiLevelType w:val="hybridMultilevel"/>
    <w:tmpl w:val="52501AE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nsid w:val="566F36D8"/>
    <w:multiLevelType w:val="hybridMultilevel"/>
    <w:tmpl w:val="76D89E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8AA46D6"/>
    <w:multiLevelType w:val="hybridMultilevel"/>
    <w:tmpl w:val="9BAEDDCA"/>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2">
    <w:nsid w:val="59E904F4"/>
    <w:multiLevelType w:val="hybridMultilevel"/>
    <w:tmpl w:val="46E67BA8"/>
    <w:lvl w:ilvl="0" w:tplc="03C4E614">
      <w:start w:val="4"/>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B8960B4"/>
    <w:multiLevelType w:val="hybridMultilevel"/>
    <w:tmpl w:val="61A8E344"/>
    <w:lvl w:ilvl="0" w:tplc="03C4E614">
      <w:start w:val="4"/>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3B3646"/>
    <w:multiLevelType w:val="hybridMultilevel"/>
    <w:tmpl w:val="A4B4F6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2010C6F"/>
    <w:multiLevelType w:val="hybridMultilevel"/>
    <w:tmpl w:val="FDB4AD38"/>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nsid w:val="62911A8E"/>
    <w:multiLevelType w:val="hybridMultilevel"/>
    <w:tmpl w:val="B0900B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A396CA0"/>
    <w:multiLevelType w:val="hybridMultilevel"/>
    <w:tmpl w:val="E626F5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AEA599F"/>
    <w:multiLevelType w:val="hybridMultilevel"/>
    <w:tmpl w:val="CDF02B20"/>
    <w:lvl w:ilvl="0" w:tplc="1C46F034">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B806F10"/>
    <w:multiLevelType w:val="hybridMultilevel"/>
    <w:tmpl w:val="318AC0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5A62514"/>
    <w:multiLevelType w:val="hybridMultilevel"/>
    <w:tmpl w:val="1B6EC5E4"/>
    <w:lvl w:ilvl="0" w:tplc="0C0A0015">
      <w:start w:val="1"/>
      <w:numFmt w:val="upp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nsid w:val="76877512"/>
    <w:multiLevelType w:val="hybridMultilevel"/>
    <w:tmpl w:val="5494141E"/>
    <w:lvl w:ilvl="0" w:tplc="368E5A42">
      <w:start w:val="1"/>
      <w:numFmt w:val="upperRoman"/>
      <w:lvlText w:val="%1."/>
      <w:lvlJc w:val="left"/>
      <w:pPr>
        <w:ind w:left="1080" w:hanging="720"/>
      </w:pPr>
      <w:rPr>
        <w:rFonts w:ascii="Copperplate Gothic Bold" w:hAnsi="Copperplate Gothic Bold"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9310F8B"/>
    <w:multiLevelType w:val="hybridMultilevel"/>
    <w:tmpl w:val="EB8AC2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7AE32EDA"/>
    <w:multiLevelType w:val="hybridMultilevel"/>
    <w:tmpl w:val="33E8CA1C"/>
    <w:lvl w:ilvl="0" w:tplc="03C4E614">
      <w:start w:val="4"/>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C897876"/>
    <w:multiLevelType w:val="hybridMultilevel"/>
    <w:tmpl w:val="37C03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E8D45E7"/>
    <w:multiLevelType w:val="hybridMultilevel"/>
    <w:tmpl w:val="CB145B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0"/>
  </w:num>
  <w:num w:numId="4">
    <w:abstractNumId w:val="29"/>
  </w:num>
  <w:num w:numId="5">
    <w:abstractNumId w:val="24"/>
  </w:num>
  <w:num w:numId="6">
    <w:abstractNumId w:val="12"/>
  </w:num>
  <w:num w:numId="7">
    <w:abstractNumId w:val="38"/>
  </w:num>
  <w:num w:numId="8">
    <w:abstractNumId w:val="2"/>
  </w:num>
  <w:num w:numId="9">
    <w:abstractNumId w:val="44"/>
  </w:num>
  <w:num w:numId="10">
    <w:abstractNumId w:val="42"/>
  </w:num>
  <w:num w:numId="11">
    <w:abstractNumId w:val="0"/>
  </w:num>
  <w:num w:numId="12">
    <w:abstractNumId w:val="18"/>
  </w:num>
  <w:num w:numId="13">
    <w:abstractNumId w:val="16"/>
  </w:num>
  <w:num w:numId="14">
    <w:abstractNumId w:val="26"/>
  </w:num>
  <w:num w:numId="15">
    <w:abstractNumId w:val="14"/>
  </w:num>
  <w:num w:numId="16">
    <w:abstractNumId w:val="23"/>
  </w:num>
  <w:num w:numId="17">
    <w:abstractNumId w:val="30"/>
  </w:num>
  <w:num w:numId="18">
    <w:abstractNumId w:val="35"/>
  </w:num>
  <w:num w:numId="19">
    <w:abstractNumId w:val="7"/>
  </w:num>
  <w:num w:numId="20">
    <w:abstractNumId w:val="3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1"/>
  </w:num>
  <w:num w:numId="24">
    <w:abstractNumId w:val="37"/>
  </w:num>
  <w:num w:numId="25">
    <w:abstractNumId w:val="27"/>
  </w:num>
  <w:num w:numId="26">
    <w:abstractNumId w:val="19"/>
  </w:num>
  <w:num w:numId="27">
    <w:abstractNumId w:val="13"/>
  </w:num>
  <w:num w:numId="28">
    <w:abstractNumId w:val="10"/>
  </w:num>
  <w:num w:numId="29">
    <w:abstractNumId w:val="6"/>
  </w:num>
  <w:num w:numId="30">
    <w:abstractNumId w:val="15"/>
  </w:num>
  <w:num w:numId="31">
    <w:abstractNumId w:val="5"/>
  </w:num>
  <w:num w:numId="32">
    <w:abstractNumId w:val="41"/>
  </w:num>
  <w:num w:numId="33">
    <w:abstractNumId w:val="40"/>
  </w:num>
  <w:num w:numId="34">
    <w:abstractNumId w:val="43"/>
  </w:num>
  <w:num w:numId="35">
    <w:abstractNumId w:val="33"/>
  </w:num>
  <w:num w:numId="36">
    <w:abstractNumId w:val="32"/>
  </w:num>
  <w:num w:numId="37">
    <w:abstractNumId w:val="1"/>
  </w:num>
  <w:num w:numId="38">
    <w:abstractNumId w:val="28"/>
  </w:num>
  <w:num w:numId="39">
    <w:abstractNumId w:val="3"/>
  </w:num>
  <w:num w:numId="40">
    <w:abstractNumId w:val="8"/>
  </w:num>
  <w:num w:numId="41">
    <w:abstractNumId w:val="34"/>
  </w:num>
  <w:num w:numId="42">
    <w:abstractNumId w:val="45"/>
  </w:num>
  <w:num w:numId="43">
    <w:abstractNumId w:val="36"/>
  </w:num>
  <w:num w:numId="44">
    <w:abstractNumId w:val="4"/>
  </w:num>
  <w:num w:numId="45">
    <w:abstractNumId w:val="25"/>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60F4"/>
    <w:rsid w:val="0008176C"/>
    <w:rsid w:val="000D60F4"/>
    <w:rsid w:val="00117C35"/>
    <w:rsid w:val="00262E9F"/>
    <w:rsid w:val="00296354"/>
    <w:rsid w:val="00362A9C"/>
    <w:rsid w:val="003D3C9F"/>
    <w:rsid w:val="0044640A"/>
    <w:rsid w:val="005A6CE9"/>
    <w:rsid w:val="00607F3E"/>
    <w:rsid w:val="00626C85"/>
    <w:rsid w:val="0063623E"/>
    <w:rsid w:val="006960A7"/>
    <w:rsid w:val="006C0CF1"/>
    <w:rsid w:val="00705011"/>
    <w:rsid w:val="00705F3F"/>
    <w:rsid w:val="00732D53"/>
    <w:rsid w:val="00786C0E"/>
    <w:rsid w:val="0081299E"/>
    <w:rsid w:val="008F1B5B"/>
    <w:rsid w:val="00A465A7"/>
    <w:rsid w:val="00A84D37"/>
    <w:rsid w:val="00B16FF5"/>
    <w:rsid w:val="00BD08D0"/>
    <w:rsid w:val="00D3584F"/>
    <w:rsid w:val="00D660A7"/>
    <w:rsid w:val="00D90CAA"/>
    <w:rsid w:val="00DC0083"/>
    <w:rsid w:val="00E45F4B"/>
    <w:rsid w:val="00F2311E"/>
    <w:rsid w:val="00F44796"/>
    <w:rsid w:val="00F5040B"/>
    <w:rsid w:val="00FE50E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9E"/>
    <w:pPr>
      <w:spacing w:line="360" w:lineRule="auto"/>
      <w:jc w:val="both"/>
    </w:pPr>
    <w:rPr>
      <w:rFonts w:ascii="Arial" w:eastAsia="Calibri" w:hAnsi="Arial" w:cs="Times New Roman"/>
      <w:sz w:val="24"/>
    </w:rPr>
  </w:style>
  <w:style w:type="paragraph" w:styleId="Ttulo1">
    <w:name w:val="heading 1"/>
    <w:basedOn w:val="Normal"/>
    <w:next w:val="Normal"/>
    <w:link w:val="Ttulo1Car"/>
    <w:uiPriority w:val="9"/>
    <w:qFormat/>
    <w:rsid w:val="000D60F4"/>
    <w:pPr>
      <w:keepNext/>
      <w:spacing w:before="240" w:after="60"/>
      <w:outlineLvl w:val="0"/>
    </w:pPr>
    <w:rPr>
      <w:rFonts w:ascii="Copperplate Gothic Bold" w:eastAsia="Times New Roman" w:hAnsi="Copperplate Gothic Bold"/>
      <w:bCs/>
      <w:kern w:val="32"/>
      <w:szCs w:val="32"/>
      <w:lang w:val="es-SV"/>
    </w:rPr>
  </w:style>
  <w:style w:type="paragraph" w:styleId="Ttulo2">
    <w:name w:val="heading 2"/>
    <w:basedOn w:val="Normal"/>
    <w:next w:val="Normal"/>
    <w:link w:val="Ttulo2Car"/>
    <w:uiPriority w:val="9"/>
    <w:unhideWhenUsed/>
    <w:qFormat/>
    <w:rsid w:val="000D60F4"/>
    <w:pPr>
      <w:keepNext/>
      <w:spacing w:before="240" w:after="60"/>
      <w:ind w:left="708"/>
      <w:outlineLvl w:val="1"/>
    </w:pPr>
    <w:rPr>
      <w:rFonts w:ascii="Copperplate Gothic Bold" w:eastAsiaTheme="majorEastAsia" w:hAnsi="Copperplate Gothic Bold" w:cstheme="majorBidi"/>
      <w:bCs/>
      <w:iCs/>
      <w:szCs w:val="28"/>
    </w:rPr>
  </w:style>
  <w:style w:type="paragraph" w:styleId="Ttulo3">
    <w:name w:val="heading 3"/>
    <w:basedOn w:val="Normal"/>
    <w:next w:val="Normal"/>
    <w:link w:val="Ttulo3Car"/>
    <w:uiPriority w:val="9"/>
    <w:unhideWhenUsed/>
    <w:qFormat/>
    <w:rsid w:val="000D60F4"/>
    <w:pPr>
      <w:keepNext/>
      <w:spacing w:before="240" w:after="60"/>
      <w:outlineLvl w:val="2"/>
    </w:pPr>
    <w:rPr>
      <w:rFonts w:ascii="Times New Roman" w:eastAsiaTheme="majorEastAsia" w:hAnsi="Times New Roman" w:cstheme="majorBidi"/>
      <w:b/>
      <w:bCs/>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0F4"/>
    <w:rPr>
      <w:rFonts w:ascii="Copperplate Gothic Bold" w:eastAsia="Times New Roman" w:hAnsi="Copperplate Gothic Bold" w:cs="Times New Roman"/>
      <w:bCs/>
      <w:kern w:val="32"/>
      <w:sz w:val="24"/>
      <w:szCs w:val="32"/>
      <w:lang w:val="es-SV"/>
    </w:rPr>
  </w:style>
  <w:style w:type="character" w:customStyle="1" w:styleId="Ttulo2Car">
    <w:name w:val="Título 2 Car"/>
    <w:basedOn w:val="Fuentedeprrafopredeter"/>
    <w:link w:val="Ttulo2"/>
    <w:uiPriority w:val="9"/>
    <w:rsid w:val="000D60F4"/>
    <w:rPr>
      <w:rFonts w:ascii="Copperplate Gothic Bold" w:eastAsiaTheme="majorEastAsia" w:hAnsi="Copperplate Gothic Bold" w:cstheme="majorBidi"/>
      <w:bCs/>
      <w:iCs/>
      <w:sz w:val="24"/>
      <w:szCs w:val="28"/>
    </w:rPr>
  </w:style>
  <w:style w:type="character" w:customStyle="1" w:styleId="Ttulo3Car">
    <w:name w:val="Título 3 Car"/>
    <w:basedOn w:val="Fuentedeprrafopredeter"/>
    <w:link w:val="Ttulo3"/>
    <w:uiPriority w:val="9"/>
    <w:rsid w:val="000D60F4"/>
    <w:rPr>
      <w:rFonts w:ascii="Times New Roman" w:eastAsiaTheme="majorEastAsia" w:hAnsi="Times New Roman" w:cstheme="majorBidi"/>
      <w:b/>
      <w:bCs/>
      <w:i/>
      <w:sz w:val="24"/>
      <w:szCs w:val="26"/>
    </w:rPr>
  </w:style>
  <w:style w:type="paragraph" w:styleId="Sinespaciado">
    <w:name w:val="No Spacing"/>
    <w:link w:val="SinespaciadoCar"/>
    <w:uiPriority w:val="1"/>
    <w:qFormat/>
    <w:rsid w:val="000D60F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0D60F4"/>
    <w:pPr>
      <w:tabs>
        <w:tab w:val="center" w:pos="4252"/>
        <w:tab w:val="right" w:pos="8504"/>
      </w:tabs>
    </w:pPr>
  </w:style>
  <w:style w:type="character" w:customStyle="1" w:styleId="EncabezadoCar">
    <w:name w:val="Encabezado Car"/>
    <w:basedOn w:val="Fuentedeprrafopredeter"/>
    <w:link w:val="Encabezado"/>
    <w:uiPriority w:val="99"/>
    <w:rsid w:val="000D60F4"/>
    <w:rPr>
      <w:rFonts w:ascii="Calibri" w:eastAsia="Calibri" w:hAnsi="Calibri" w:cs="Times New Roman"/>
    </w:rPr>
  </w:style>
  <w:style w:type="paragraph" w:styleId="Piedepgina">
    <w:name w:val="footer"/>
    <w:basedOn w:val="Normal"/>
    <w:link w:val="PiedepginaCar"/>
    <w:uiPriority w:val="99"/>
    <w:unhideWhenUsed/>
    <w:rsid w:val="000D60F4"/>
    <w:pPr>
      <w:tabs>
        <w:tab w:val="center" w:pos="4252"/>
        <w:tab w:val="right" w:pos="8504"/>
      </w:tabs>
    </w:pPr>
  </w:style>
  <w:style w:type="character" w:customStyle="1" w:styleId="PiedepginaCar">
    <w:name w:val="Pie de página Car"/>
    <w:basedOn w:val="Fuentedeprrafopredeter"/>
    <w:link w:val="Piedepgina"/>
    <w:uiPriority w:val="99"/>
    <w:rsid w:val="000D60F4"/>
    <w:rPr>
      <w:rFonts w:ascii="Calibri" w:eastAsia="Calibri" w:hAnsi="Calibri" w:cs="Times New Roman"/>
    </w:rPr>
  </w:style>
  <w:style w:type="paragraph" w:styleId="Textodeglobo">
    <w:name w:val="Balloon Text"/>
    <w:basedOn w:val="Normal"/>
    <w:link w:val="TextodegloboCar"/>
    <w:uiPriority w:val="99"/>
    <w:semiHidden/>
    <w:unhideWhenUsed/>
    <w:rsid w:val="000D60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0F4"/>
    <w:rPr>
      <w:rFonts w:ascii="Tahoma" w:eastAsia="Calibri" w:hAnsi="Tahoma" w:cs="Tahoma"/>
      <w:sz w:val="16"/>
      <w:szCs w:val="16"/>
    </w:rPr>
  </w:style>
  <w:style w:type="character" w:styleId="Referenciaintensa">
    <w:name w:val="Intense Reference"/>
    <w:basedOn w:val="Fuentedeprrafopredeter"/>
    <w:uiPriority w:val="32"/>
    <w:qFormat/>
    <w:rsid w:val="000D60F4"/>
    <w:rPr>
      <w:b/>
      <w:bCs/>
      <w:smallCaps/>
      <w:color w:val="C0504D"/>
      <w:spacing w:val="5"/>
      <w:u w:val="single"/>
    </w:rPr>
  </w:style>
  <w:style w:type="paragraph" w:styleId="Prrafodelista">
    <w:name w:val="List Paragraph"/>
    <w:basedOn w:val="Normal"/>
    <w:uiPriority w:val="34"/>
    <w:qFormat/>
    <w:rsid w:val="000D60F4"/>
    <w:pPr>
      <w:ind w:left="708"/>
    </w:pPr>
  </w:style>
  <w:style w:type="paragraph" w:styleId="Textonotapie">
    <w:name w:val="footnote text"/>
    <w:aliases w:val="Footnote,Footnote Text Char"/>
    <w:basedOn w:val="Normal"/>
    <w:link w:val="TextonotapieCar"/>
    <w:uiPriority w:val="99"/>
    <w:semiHidden/>
    <w:unhideWhenUsed/>
    <w:rsid w:val="000D60F4"/>
    <w:rPr>
      <w:sz w:val="20"/>
      <w:szCs w:val="20"/>
    </w:rPr>
  </w:style>
  <w:style w:type="character" w:customStyle="1" w:styleId="TextonotapieCar">
    <w:name w:val="Texto nota pie Car"/>
    <w:aliases w:val="Footnote Car,Footnote Text Char Car"/>
    <w:basedOn w:val="Fuentedeprrafopredeter"/>
    <w:link w:val="Textonotapie"/>
    <w:uiPriority w:val="99"/>
    <w:semiHidden/>
    <w:rsid w:val="000D60F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D60F4"/>
    <w:rPr>
      <w:vertAlign w:val="superscript"/>
    </w:rPr>
  </w:style>
  <w:style w:type="table" w:styleId="Tablaconcuadrcula">
    <w:name w:val="Table Grid"/>
    <w:basedOn w:val="Tablanormal"/>
    <w:uiPriority w:val="59"/>
    <w:rsid w:val="000D60F4"/>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0D60F4"/>
    <w:rPr>
      <w:rFonts w:ascii="Calibri" w:eastAsia="Calibri" w:hAnsi="Calibri" w:cs="Times New Roman"/>
    </w:rPr>
  </w:style>
  <w:style w:type="paragraph" w:customStyle="1" w:styleId="Default">
    <w:name w:val="Default"/>
    <w:rsid w:val="000D60F4"/>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notaalfinal">
    <w:name w:val="endnote text"/>
    <w:basedOn w:val="Normal"/>
    <w:link w:val="TextonotaalfinalCar"/>
    <w:semiHidden/>
    <w:rsid w:val="000D60F4"/>
    <w:pPr>
      <w:tabs>
        <w:tab w:val="left" w:pos="-720"/>
      </w:tabs>
      <w:suppressAutoHyphens/>
      <w:spacing w:after="0" w:line="240" w:lineRule="auto"/>
    </w:pPr>
    <w:rPr>
      <w:rFonts w:ascii="Courier New" w:eastAsia="Times New Roman" w:hAnsi="Courier New"/>
      <w:szCs w:val="20"/>
      <w:lang w:val="en-US"/>
    </w:rPr>
  </w:style>
  <w:style w:type="character" w:customStyle="1" w:styleId="TextonotaalfinalCar">
    <w:name w:val="Texto nota al final Car"/>
    <w:basedOn w:val="Fuentedeprrafopredeter"/>
    <w:link w:val="Textonotaalfinal"/>
    <w:semiHidden/>
    <w:rsid w:val="000D60F4"/>
    <w:rPr>
      <w:rFonts w:ascii="Courier New" w:eastAsia="Times New Roman" w:hAnsi="Courier New" w:cs="Times New Roman"/>
      <w:sz w:val="24"/>
      <w:szCs w:val="20"/>
      <w:lang w:val="en-US"/>
    </w:rPr>
  </w:style>
  <w:style w:type="paragraph" w:styleId="Textoindependiente2">
    <w:name w:val="Body Text 2"/>
    <w:basedOn w:val="Normal"/>
    <w:link w:val="Textoindependiente2Car"/>
    <w:rsid w:val="000D60F4"/>
    <w:pPr>
      <w:spacing w:after="120" w:line="480" w:lineRule="auto"/>
    </w:pPr>
    <w:rPr>
      <w:rFonts w:ascii="Times New Roman" w:eastAsia="Times New Roman" w:hAnsi="Times New Roman"/>
      <w:sz w:val="20"/>
      <w:szCs w:val="20"/>
      <w:lang w:val="en-GB" w:eastAsia="es-ES"/>
    </w:rPr>
  </w:style>
  <w:style w:type="character" w:customStyle="1" w:styleId="Textoindependiente2Car">
    <w:name w:val="Texto independiente 2 Car"/>
    <w:basedOn w:val="Fuentedeprrafopredeter"/>
    <w:link w:val="Textoindependiente2"/>
    <w:rsid w:val="000D60F4"/>
    <w:rPr>
      <w:rFonts w:ascii="Times New Roman" w:eastAsia="Times New Roman" w:hAnsi="Times New Roman" w:cs="Times New Roman"/>
      <w:sz w:val="20"/>
      <w:szCs w:val="20"/>
      <w:lang w:val="en-GB" w:eastAsia="es-ES"/>
    </w:rPr>
  </w:style>
  <w:style w:type="character" w:styleId="Hipervnculo">
    <w:name w:val="Hyperlink"/>
    <w:basedOn w:val="Fuentedeprrafopredeter"/>
    <w:uiPriority w:val="99"/>
    <w:unhideWhenUsed/>
    <w:rsid w:val="000D60F4"/>
    <w:rPr>
      <w:strike w:val="0"/>
      <w:dstrike w:val="0"/>
      <w:color w:val="0000FF"/>
      <w:u w:val="none"/>
      <w:effect w:val="none"/>
    </w:rPr>
  </w:style>
  <w:style w:type="paragraph" w:styleId="TDC1">
    <w:name w:val="toc 1"/>
    <w:basedOn w:val="Normal"/>
    <w:next w:val="Normal"/>
    <w:autoRedefine/>
    <w:uiPriority w:val="39"/>
    <w:unhideWhenUsed/>
    <w:rsid w:val="000D60F4"/>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0D60F4"/>
    <w:pPr>
      <w:spacing w:after="0"/>
      <w:ind w:left="220"/>
    </w:pPr>
    <w:rPr>
      <w:rFonts w:asciiTheme="minorHAnsi" w:hAnsiTheme="minorHAnsi"/>
      <w:smallCaps/>
      <w:sz w:val="20"/>
      <w:szCs w:val="20"/>
    </w:rPr>
  </w:style>
  <w:style w:type="paragraph" w:styleId="TDC3">
    <w:name w:val="toc 3"/>
    <w:basedOn w:val="Normal"/>
    <w:next w:val="Normal"/>
    <w:autoRedefine/>
    <w:uiPriority w:val="39"/>
    <w:unhideWhenUsed/>
    <w:rsid w:val="000D60F4"/>
    <w:pPr>
      <w:spacing w:after="0"/>
      <w:ind w:left="440"/>
    </w:pPr>
    <w:rPr>
      <w:rFonts w:asciiTheme="minorHAnsi" w:hAnsiTheme="minorHAnsi"/>
      <w:i/>
      <w:iCs/>
      <w:sz w:val="20"/>
      <w:szCs w:val="20"/>
    </w:rPr>
  </w:style>
  <w:style w:type="paragraph" w:styleId="TDC4">
    <w:name w:val="toc 4"/>
    <w:basedOn w:val="Normal"/>
    <w:next w:val="Normal"/>
    <w:autoRedefine/>
    <w:uiPriority w:val="39"/>
    <w:unhideWhenUsed/>
    <w:rsid w:val="000D60F4"/>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D60F4"/>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D60F4"/>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D60F4"/>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D60F4"/>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D60F4"/>
    <w:pPr>
      <w:spacing w:after="0"/>
      <w:ind w:left="1760"/>
    </w:pPr>
    <w:rPr>
      <w:rFonts w:asciiTheme="minorHAnsi" w:hAnsiTheme="minorHAnsi"/>
      <w:sz w:val="18"/>
      <w:szCs w:val="18"/>
    </w:rPr>
  </w:style>
  <w:style w:type="paragraph" w:styleId="TtulodeTDC">
    <w:name w:val="TOC Heading"/>
    <w:basedOn w:val="Ttulo1"/>
    <w:next w:val="Normal"/>
    <w:uiPriority w:val="39"/>
    <w:semiHidden/>
    <w:unhideWhenUsed/>
    <w:qFormat/>
    <w:rsid w:val="00705011"/>
    <w:pPr>
      <w:keepLines/>
      <w:spacing w:before="480" w:after="0"/>
      <w:outlineLvl w:val="9"/>
    </w:pPr>
    <w:rPr>
      <w:rFonts w:asciiTheme="majorHAnsi" w:eastAsiaTheme="majorEastAsia" w:hAnsiTheme="majorHAnsi" w:cstheme="majorBidi"/>
      <w:b/>
      <w:color w:val="365F91" w:themeColor="accent1" w:themeShade="BF"/>
      <w:kern w:val="0"/>
      <w:sz w:val="28"/>
      <w:szCs w:val="28"/>
      <w:lang w:val="es-ES"/>
    </w:rPr>
  </w:style>
  <w:style w:type="character" w:customStyle="1" w:styleId="apple-converted-space">
    <w:name w:val="apple-converted-space"/>
    <w:basedOn w:val="Fuentedeprrafopredeter"/>
    <w:rsid w:val="00705F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7FDD"/>
    <w:rsid w:val="00E04858"/>
    <w:rsid w:val="00F17FD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91E762B846B4B50AFF8DF1A6FDD5C4A">
    <w:name w:val="891E762B846B4B50AFF8DF1A6FDD5C4A"/>
    <w:rsid w:val="00F17FDD"/>
  </w:style>
  <w:style w:type="paragraph" w:customStyle="1" w:styleId="08A87177A7D04A1E93E24E52ACC1538A">
    <w:name w:val="08A87177A7D04A1E93E24E52ACC1538A"/>
    <w:rsid w:val="00F17F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8BE8E-212A-4E85-9FD1-2A2EF854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20</Pages>
  <Words>5754</Words>
  <Characters>31653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Crescencio Arosemena</dc:creator>
  <cp:keywords/>
  <dc:description/>
  <cp:lastModifiedBy>Crescencio Arosemena</cp:lastModifiedBy>
  <cp:revision>4</cp:revision>
  <dcterms:created xsi:type="dcterms:W3CDTF">2012-03-28T00:04:00Z</dcterms:created>
  <dcterms:modified xsi:type="dcterms:W3CDTF">2012-10-05T20:13:00Z</dcterms:modified>
</cp:coreProperties>
</file>