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50544" w:rsidRPr="00122356" w:rsidRDefault="00B50544" w:rsidP="003109A1">
      <w:pPr>
        <w:pStyle w:val="Ttulo2"/>
        <w:spacing w:line="276" w:lineRule="auto"/>
        <w:jc w:val="center"/>
        <w:rPr>
          <w:rFonts w:ascii="Century Gothic" w:hAnsi="Century Gothic"/>
          <w:color w:val="000000" w:themeColor="text1"/>
          <w:u w:val="single"/>
        </w:rPr>
      </w:pPr>
      <w:bookmarkStart w:id="0" w:name="_Toc325745083"/>
      <w:r w:rsidRPr="00122356">
        <w:rPr>
          <w:rFonts w:ascii="Century Gothic" w:hAnsi="Century Gothic"/>
          <w:color w:val="000000" w:themeColor="text1"/>
          <w:u w:val="single"/>
        </w:rPr>
        <w:t>Formas de Terminación de Proceso de Inconstitucionalidad.</w:t>
      </w:r>
      <w:bookmarkEnd w:id="0"/>
    </w:p>
    <w:p w:rsidR="00B50544" w:rsidRPr="00122356" w:rsidRDefault="00B50544" w:rsidP="003109A1">
      <w:pPr>
        <w:tabs>
          <w:tab w:val="left" w:pos="8640"/>
        </w:tabs>
        <w:spacing w:line="276" w:lineRule="auto"/>
        <w:jc w:val="center"/>
        <w:rPr>
          <w:rFonts w:ascii="Century Gothic" w:hAnsi="Century Gothic"/>
          <w:b/>
          <w:color w:val="000000" w:themeColor="text1"/>
        </w:rPr>
      </w:pPr>
    </w:p>
    <w:p w:rsidR="00B50544" w:rsidRPr="00122356" w:rsidRDefault="00B50544" w:rsidP="003109A1">
      <w:pPr>
        <w:pStyle w:val="Ttulo3"/>
        <w:spacing w:line="276" w:lineRule="auto"/>
        <w:rPr>
          <w:rFonts w:ascii="Century Gothic" w:hAnsi="Century Gothic"/>
          <w:b w:val="0"/>
          <w:color w:val="000000" w:themeColor="text1"/>
          <w:u w:val="single"/>
        </w:rPr>
      </w:pPr>
      <w:bookmarkStart w:id="1" w:name="_Toc325745084"/>
      <w:r w:rsidRPr="00122356">
        <w:rPr>
          <w:rFonts w:ascii="Century Gothic" w:hAnsi="Century Gothic"/>
          <w:color w:val="000000" w:themeColor="text1"/>
          <w:u w:val="single"/>
        </w:rPr>
        <w:t>Generalidades:</w:t>
      </w:r>
      <w:bookmarkEnd w:id="1"/>
    </w:p>
    <w:p w:rsidR="00F06AEB" w:rsidRDefault="00F06AEB" w:rsidP="003109A1">
      <w:pPr>
        <w:tabs>
          <w:tab w:val="left" w:pos="8640"/>
        </w:tabs>
        <w:spacing w:line="276" w:lineRule="auto"/>
        <w:jc w:val="both"/>
        <w:rPr>
          <w:rFonts w:ascii="Century Gothic" w:hAnsi="Century Gothic"/>
        </w:rPr>
      </w:pPr>
    </w:p>
    <w:p w:rsidR="00B50544" w:rsidRPr="00B50E6F" w:rsidRDefault="00B50544" w:rsidP="003109A1">
      <w:pPr>
        <w:tabs>
          <w:tab w:val="left" w:pos="8640"/>
        </w:tabs>
        <w:spacing w:line="276" w:lineRule="auto"/>
        <w:jc w:val="both"/>
        <w:rPr>
          <w:rFonts w:ascii="Century Gothic" w:hAnsi="Century Gothic"/>
        </w:rPr>
      </w:pPr>
      <w:r w:rsidRPr="00B50E6F">
        <w:rPr>
          <w:rFonts w:ascii="Century Gothic" w:hAnsi="Century Gothic"/>
        </w:rPr>
        <w:t xml:space="preserve">La Inconstitucionalidad en El Salvador es  tratada como un proceso autónomo como tal pues no se considera este una tercera instancia sino más bien un proceso autónomo,  por el cual un órgano </w:t>
      </w:r>
      <w:r w:rsidR="002E0FAD" w:rsidRPr="00B50E6F">
        <w:rPr>
          <w:rFonts w:ascii="Century Gothic" w:hAnsi="Century Gothic"/>
        </w:rPr>
        <w:t xml:space="preserve">de control </w:t>
      </w:r>
      <w:r w:rsidRPr="00B50E6F">
        <w:rPr>
          <w:rFonts w:ascii="Century Gothic" w:hAnsi="Century Gothic"/>
        </w:rPr>
        <w:t xml:space="preserve">como lo </w:t>
      </w:r>
      <w:r w:rsidR="002E0FAD" w:rsidRPr="00B50E6F">
        <w:rPr>
          <w:rFonts w:ascii="Century Gothic" w:hAnsi="Century Gothic"/>
        </w:rPr>
        <w:t>es la Sala de lo Constitucional</w:t>
      </w:r>
      <w:r w:rsidRPr="00B50E6F">
        <w:rPr>
          <w:rFonts w:ascii="Century Gothic" w:hAnsi="Century Gothic"/>
        </w:rPr>
        <w:t xml:space="preserve"> ejerce sus potestades de poder concentrado de control constitucional</w:t>
      </w:r>
      <w:r w:rsidR="002E0FAD" w:rsidRPr="00B50E6F">
        <w:rPr>
          <w:rFonts w:ascii="Century Gothic" w:hAnsi="Century Gothic"/>
        </w:rPr>
        <w:t xml:space="preserve">, el cual genera en el ordenamiento jurídico salvadoreño un efecto “erga omnes”, </w:t>
      </w:r>
      <w:r w:rsidR="00084227">
        <w:rPr>
          <w:rFonts w:ascii="Century Gothic" w:hAnsi="Century Gothic"/>
        </w:rPr>
        <w:t xml:space="preserve">es </w:t>
      </w:r>
      <w:r w:rsidR="002E0FAD" w:rsidRPr="00B50E6F">
        <w:rPr>
          <w:rFonts w:ascii="Century Gothic" w:hAnsi="Century Gothic"/>
        </w:rPr>
        <w:t>decir para todos, que expulsa de nuestro ordenamiento jurídico la norma en cuestión.</w:t>
      </w:r>
    </w:p>
    <w:p w:rsidR="00214D7E" w:rsidRPr="00B50E6F" w:rsidRDefault="00631C83" w:rsidP="003109A1">
      <w:pPr>
        <w:tabs>
          <w:tab w:val="left" w:pos="8640"/>
        </w:tabs>
        <w:spacing w:line="276" w:lineRule="auto"/>
        <w:jc w:val="both"/>
        <w:rPr>
          <w:rFonts w:ascii="Century Gothic" w:hAnsi="Century Gothic"/>
        </w:rPr>
      </w:pPr>
      <w:r w:rsidRPr="00B50E6F">
        <w:rPr>
          <w:rFonts w:ascii="Century Gothic" w:hAnsi="Century Gothic"/>
        </w:rPr>
        <w:t>Ahora bien es preciso señalar en primer lugar que no siempre los proceso</w:t>
      </w:r>
      <w:r w:rsidR="00084227">
        <w:rPr>
          <w:rFonts w:ascii="Century Gothic" w:hAnsi="Century Gothic"/>
        </w:rPr>
        <w:t>s</w:t>
      </w:r>
      <w:r w:rsidRPr="00B50E6F">
        <w:rPr>
          <w:rFonts w:ascii="Century Gothic" w:hAnsi="Century Gothic"/>
        </w:rPr>
        <w:t xml:space="preserve"> de inconstitucionalidad de las leyes se establecerá como resultado un sentencia estimatoria que expulse del ordenamiento jurídico una determinada norma</w:t>
      </w:r>
      <w:r w:rsidR="00214D7E" w:rsidRPr="00B50E6F">
        <w:rPr>
          <w:rFonts w:ascii="Century Gothic" w:hAnsi="Century Gothic"/>
        </w:rPr>
        <w:t xml:space="preserve"> o disposición, y es pues que ocurre que a veces el proceso de constitucionalidad incoado por un ciudadano adolece de deficiencias o pretensiones que no pueden ser procedentes en un proceso de inconstitucionalidad pues adolecen de defectos de forma o fondo que imposibilitan seguirlo conociendo a nivel de Sala de lo Constitucional.</w:t>
      </w:r>
    </w:p>
    <w:p w:rsidR="0004310D" w:rsidRDefault="00214D7E" w:rsidP="003109A1">
      <w:pPr>
        <w:tabs>
          <w:tab w:val="left" w:pos="8640"/>
        </w:tabs>
        <w:spacing w:line="276" w:lineRule="auto"/>
        <w:jc w:val="both"/>
        <w:rPr>
          <w:rFonts w:ascii="Century Gothic" w:hAnsi="Century Gothic"/>
        </w:rPr>
      </w:pPr>
      <w:r w:rsidRPr="00B50E6F">
        <w:rPr>
          <w:rFonts w:ascii="Century Gothic" w:hAnsi="Century Gothic"/>
        </w:rPr>
        <w:t xml:space="preserve">Y en segundo lugar es preciso afirmar que la Sala ejerce un papel de director y controlador de la legalidad y procedencia del proceso y es pues que por la naturaleza que posee esta materia de inconstitucionalidad y el gran alcance que este tiene en la legislación secundaria es que se hace necesario que la sala establezca estos medios procesales de control para cortar de manera anormal un proceso de inconstitucionalidad antes de la emisión de una sentencia de fondo. </w:t>
      </w:r>
    </w:p>
    <w:p w:rsidR="0004310D" w:rsidRPr="00B50E6F" w:rsidRDefault="0004310D" w:rsidP="003109A1">
      <w:pPr>
        <w:tabs>
          <w:tab w:val="left" w:pos="8640"/>
        </w:tabs>
        <w:spacing w:line="276" w:lineRule="auto"/>
        <w:jc w:val="both"/>
        <w:rPr>
          <w:rFonts w:ascii="Century Gothic" w:hAnsi="Century Gothic"/>
        </w:rPr>
      </w:pPr>
    </w:p>
    <w:p w:rsidR="003E5333" w:rsidRPr="00122356" w:rsidRDefault="003E5333" w:rsidP="003109A1">
      <w:pPr>
        <w:pStyle w:val="Ttulo2"/>
        <w:spacing w:line="276" w:lineRule="auto"/>
        <w:rPr>
          <w:rFonts w:ascii="Century Gothic" w:hAnsi="Century Gothic"/>
          <w:b w:val="0"/>
          <w:color w:val="000000" w:themeColor="text1"/>
          <w:u w:val="single"/>
        </w:rPr>
      </w:pPr>
      <w:bookmarkStart w:id="2" w:name="_Toc325745085"/>
      <w:r w:rsidRPr="00122356">
        <w:rPr>
          <w:rFonts w:ascii="Century Gothic" w:hAnsi="Century Gothic"/>
          <w:color w:val="000000" w:themeColor="text1"/>
          <w:u w:val="single"/>
        </w:rPr>
        <w:t>CONCEPTO DE INCONSTITUCIONALIDAD.</w:t>
      </w:r>
      <w:bookmarkEnd w:id="2"/>
    </w:p>
    <w:p w:rsidR="00F06AEB" w:rsidRPr="00122356" w:rsidRDefault="003E5333" w:rsidP="003109A1">
      <w:pPr>
        <w:spacing w:line="276" w:lineRule="auto"/>
        <w:jc w:val="both"/>
        <w:rPr>
          <w:rFonts w:ascii="Century Gothic" w:hAnsi="Century Gothic"/>
        </w:rPr>
      </w:pPr>
      <w:r w:rsidRPr="00D100BA">
        <w:rPr>
          <w:rFonts w:ascii="Century Gothic" w:hAnsi="Century Gothic"/>
        </w:rPr>
        <w:t xml:space="preserve">Al respecto se puede decir que es un instrumento jurídico destinado a mantener la supremacía de la </w:t>
      </w:r>
      <w:r w:rsidR="00D100BA" w:rsidRPr="00D100BA">
        <w:rPr>
          <w:rFonts w:ascii="Century Gothic" w:hAnsi="Century Gothic"/>
        </w:rPr>
        <w:t>Constitución</w:t>
      </w:r>
      <w:r w:rsidRPr="00D100BA">
        <w:rPr>
          <w:rFonts w:ascii="Century Gothic" w:hAnsi="Century Gothic"/>
        </w:rPr>
        <w:t>, mediante la anulación o declaratoria a</w:t>
      </w:r>
      <w:r w:rsidR="00D100BA" w:rsidRPr="00D100BA">
        <w:rPr>
          <w:rFonts w:ascii="Century Gothic" w:hAnsi="Century Gothic"/>
        </w:rPr>
        <w:t xml:space="preserve"> </w:t>
      </w:r>
      <w:r w:rsidRPr="00D100BA">
        <w:rPr>
          <w:rFonts w:ascii="Century Gothic" w:hAnsi="Century Gothic"/>
        </w:rPr>
        <w:t>posteriori de la inconstitucionalidad de las leyes, tratados, decretos, reglamentos y demás normas de carácter general que a ella se oponen</w:t>
      </w:r>
      <w:r w:rsidR="00813EB3">
        <w:rPr>
          <w:rFonts w:ascii="Century Gothic" w:hAnsi="Century Gothic"/>
        </w:rPr>
        <w:t>. Esta acción le corresponde a cualquier ciudadano ante la Sala de lo Constitucional de la Corte Suprema de Justicia, cuyo fallo tiene efectos generales y obligatorios</w:t>
      </w:r>
    </w:p>
    <w:p w:rsidR="003E5333" w:rsidRPr="00122356" w:rsidRDefault="003E5333" w:rsidP="003109A1">
      <w:pPr>
        <w:pStyle w:val="Ttulo2"/>
        <w:spacing w:line="276" w:lineRule="auto"/>
        <w:rPr>
          <w:rFonts w:ascii="Century Gothic" w:hAnsi="Century Gothic"/>
          <w:b w:val="0"/>
          <w:color w:val="000000" w:themeColor="text1"/>
          <w:u w:val="single"/>
        </w:rPr>
      </w:pPr>
      <w:bookmarkStart w:id="3" w:name="_Toc325745086"/>
      <w:r w:rsidRPr="00122356">
        <w:rPr>
          <w:rFonts w:ascii="Century Gothic" w:hAnsi="Century Gothic"/>
          <w:color w:val="000000" w:themeColor="text1"/>
          <w:u w:val="single"/>
        </w:rPr>
        <w:lastRenderedPageBreak/>
        <w:t>FINALIDAD DEL PROCESO DE INCONSTITUCIONALIDAD.</w:t>
      </w:r>
      <w:bookmarkEnd w:id="3"/>
    </w:p>
    <w:p w:rsidR="00175B4F" w:rsidRPr="00175B4F" w:rsidRDefault="00175B4F" w:rsidP="003109A1">
      <w:pPr>
        <w:tabs>
          <w:tab w:val="left" w:pos="8640"/>
        </w:tabs>
        <w:spacing w:line="276" w:lineRule="auto"/>
        <w:jc w:val="both"/>
        <w:rPr>
          <w:rFonts w:ascii="Century Gothic" w:hAnsi="Century Gothic"/>
        </w:rPr>
      </w:pPr>
      <w:r w:rsidRPr="00175B4F">
        <w:rPr>
          <w:rFonts w:ascii="Century Gothic" w:hAnsi="Century Gothic"/>
        </w:rPr>
        <w:t xml:space="preserve">La finalidad rectora y fundamental del proceso de inconstitucionalidad es establecer un contraste entre normas a partir del cual se pueda verificar la confrontación de una normativa impugnada con el texto constitucional, a efecto de invalidar la disposición que se estima  incompatible con la Constitución. Así, el art. 6 L. Pr. Cn. prescribe como </w:t>
      </w:r>
    </w:p>
    <w:p w:rsidR="003E5333" w:rsidRDefault="00175B4F" w:rsidP="003109A1">
      <w:pPr>
        <w:tabs>
          <w:tab w:val="left" w:pos="8640"/>
        </w:tabs>
        <w:spacing w:line="276" w:lineRule="auto"/>
        <w:jc w:val="both"/>
        <w:rPr>
          <w:rFonts w:ascii="Century Gothic" w:hAnsi="Century Gothic"/>
        </w:rPr>
      </w:pPr>
      <w:r w:rsidRPr="00175B4F">
        <w:rPr>
          <w:rFonts w:ascii="Century Gothic" w:hAnsi="Century Gothic"/>
        </w:rPr>
        <w:t xml:space="preserve">requisitos de la demanda, en el ord. 2°: la identificación de "la ley, el decreto o reglamento que se estime inconstitucional" –lo que, doctrinariamente, se denomina objeto de control </w:t>
      </w:r>
      <w:r w:rsidR="003E5333">
        <w:rPr>
          <w:rFonts w:ascii="Century Gothic" w:hAnsi="Century Gothic"/>
        </w:rPr>
        <w:t xml:space="preserve"> </w:t>
      </w:r>
      <w:r w:rsidRPr="00175B4F">
        <w:rPr>
          <w:rFonts w:ascii="Century Gothic" w:hAnsi="Century Gothic"/>
        </w:rPr>
        <w:t>de constitucionalidad–; y, en el ord. 3°, que se cite "los artículos pertinentes de la Constitución" que se estimen vulnerados por la disposición o cuerpo normativo impugnado –lo que, también doctrinariamente, se denomina parámetro de control–.</w:t>
      </w:r>
    </w:p>
    <w:p w:rsidR="0002738F" w:rsidRPr="003E5333" w:rsidRDefault="0002738F" w:rsidP="003109A1">
      <w:pPr>
        <w:tabs>
          <w:tab w:val="left" w:pos="8640"/>
        </w:tabs>
        <w:spacing w:line="276" w:lineRule="auto"/>
        <w:jc w:val="both"/>
        <w:rPr>
          <w:rFonts w:ascii="Century Gothic" w:hAnsi="Century Gothic"/>
        </w:rPr>
      </w:pPr>
    </w:p>
    <w:p w:rsidR="004E1B53" w:rsidRPr="00122356" w:rsidRDefault="004E1B53" w:rsidP="003109A1">
      <w:pPr>
        <w:pStyle w:val="Ttulo2"/>
        <w:spacing w:line="276" w:lineRule="auto"/>
        <w:rPr>
          <w:rFonts w:ascii="Century Gothic" w:hAnsi="Century Gothic"/>
          <w:b w:val="0"/>
          <w:color w:val="000000" w:themeColor="text1"/>
          <w:u w:val="single"/>
        </w:rPr>
      </w:pPr>
      <w:bookmarkStart w:id="4" w:name="_Toc325745087"/>
      <w:r w:rsidRPr="00122356">
        <w:rPr>
          <w:rFonts w:ascii="Century Gothic" w:hAnsi="Century Gothic"/>
          <w:color w:val="000000" w:themeColor="text1"/>
          <w:u w:val="single"/>
        </w:rPr>
        <w:t>FUNDAMENTO JURÍDICO DE LA PRETENSIÓN EN EL PROCESO DE</w:t>
      </w:r>
      <w:bookmarkEnd w:id="4"/>
      <w:r w:rsidRPr="00122356">
        <w:rPr>
          <w:rFonts w:ascii="Century Gothic" w:hAnsi="Century Gothic"/>
          <w:color w:val="000000" w:themeColor="text1"/>
          <w:u w:val="single"/>
        </w:rPr>
        <w:t xml:space="preserve"> </w:t>
      </w:r>
    </w:p>
    <w:p w:rsidR="004E1B53" w:rsidRPr="00122356" w:rsidRDefault="004E1B53" w:rsidP="003109A1">
      <w:pPr>
        <w:pStyle w:val="Ttulo2"/>
        <w:spacing w:line="276" w:lineRule="auto"/>
        <w:rPr>
          <w:rFonts w:ascii="Century Gothic" w:hAnsi="Century Gothic"/>
          <w:b w:val="0"/>
          <w:color w:val="000000" w:themeColor="text1"/>
          <w:u w:val="single"/>
        </w:rPr>
      </w:pPr>
      <w:bookmarkStart w:id="5" w:name="_Toc325745088"/>
      <w:r w:rsidRPr="00122356">
        <w:rPr>
          <w:rFonts w:ascii="Century Gothic" w:hAnsi="Century Gothic"/>
          <w:color w:val="000000" w:themeColor="text1"/>
          <w:u w:val="single"/>
        </w:rPr>
        <w:t>INCONSTITUCIONALIDAD</w:t>
      </w:r>
      <w:bookmarkEnd w:id="5"/>
    </w:p>
    <w:p w:rsidR="004E1B53" w:rsidRPr="00E106F4" w:rsidRDefault="004E1B53" w:rsidP="003109A1">
      <w:pPr>
        <w:tabs>
          <w:tab w:val="left" w:pos="8640"/>
        </w:tabs>
        <w:spacing w:line="276" w:lineRule="auto"/>
        <w:jc w:val="both"/>
        <w:rPr>
          <w:rFonts w:ascii="Century Gothic" w:hAnsi="Century Gothic"/>
        </w:rPr>
      </w:pPr>
      <w:r w:rsidRPr="00B50E6F">
        <w:rPr>
          <w:rFonts w:ascii="Century Gothic" w:hAnsi="Century Gothic"/>
        </w:rPr>
        <w:t>La jurisprudencia emitida por la Sala de lo Constitucional –v. gr., la Sentencia pronunciada en el proceso de Inc. 17-95; la pronunciada en el proceso de Inc. 15-96; la pronunciada en el proceso de Inc. 4-97; la pronunciada en el proceso de Inc. 3-93; y la Resolución pronunciada en el proceso de Inc. 20-2003–, ha sostenido que en el proceso de inconstitucionalidad, el fundamento jurídico de la pretensión está configurado por  el señalamiento preciso de las disposiciones impugnadas y las disposiciones constitucionales propuestas como parámetro de control, por su lado; mientras que el fundamento material está constituido, en primer lugar, por el establecimiento del contenido normativo del objeto y del parámetro de constitucionalidad y, en segundo lugar, por las argumentaciones expuestas tendentes a evidenciar las confrontaciones internormativas, percibidas por el actor, entre el contenido de uno y otro; de manera que, para que la pretensión se tenga por configurada, la parte actora debe exponer con claridad los argumentos lógico-jurídicos que dejen claro en qué sentido el primer elemento contiene mandatos opuestos al segundo.</w:t>
      </w:r>
    </w:p>
    <w:p w:rsidR="007D7A9B" w:rsidRPr="00122356" w:rsidRDefault="007D7A9B" w:rsidP="003109A1">
      <w:pPr>
        <w:pStyle w:val="Ttulo2"/>
        <w:spacing w:line="276" w:lineRule="auto"/>
        <w:rPr>
          <w:rFonts w:ascii="Century Gothic" w:hAnsi="Century Gothic"/>
          <w:b w:val="0"/>
          <w:color w:val="000000" w:themeColor="text1"/>
        </w:rPr>
      </w:pPr>
      <w:bookmarkStart w:id="6" w:name="_Toc325745089"/>
      <w:r w:rsidRPr="00122356">
        <w:rPr>
          <w:rFonts w:ascii="Century Gothic" w:hAnsi="Century Gothic"/>
          <w:color w:val="000000" w:themeColor="text1"/>
        </w:rPr>
        <w:t>OBJETO DE CONTROL.</w:t>
      </w:r>
      <w:bookmarkEnd w:id="6"/>
    </w:p>
    <w:p w:rsidR="007D7A9B" w:rsidRDefault="007D7A9B" w:rsidP="003109A1">
      <w:pPr>
        <w:tabs>
          <w:tab w:val="left" w:pos="8640"/>
        </w:tabs>
        <w:spacing w:line="276" w:lineRule="auto"/>
        <w:jc w:val="both"/>
        <w:rPr>
          <w:rFonts w:ascii="Century Gothic" w:hAnsi="Century Gothic"/>
        </w:rPr>
      </w:pPr>
      <w:r w:rsidRPr="007D7A9B">
        <w:rPr>
          <w:rFonts w:ascii="Century Gothic" w:hAnsi="Century Gothic"/>
        </w:rPr>
        <w:t>En términos generales puede decirse que los actos impugnables por medio de la declaratoria de inconstitucionalidad o el objeto de este control, son o están constituidos por las normas y actos de carácter general, jerárquicamente subordinadas a las normas constitucionales.</w:t>
      </w:r>
    </w:p>
    <w:p w:rsidR="007D7A9B" w:rsidRDefault="007D7A9B" w:rsidP="003109A1">
      <w:pPr>
        <w:tabs>
          <w:tab w:val="left" w:pos="8640"/>
        </w:tabs>
        <w:spacing w:line="276" w:lineRule="auto"/>
        <w:jc w:val="both"/>
        <w:rPr>
          <w:rFonts w:ascii="Century Gothic" w:hAnsi="Century Gothic"/>
        </w:rPr>
      </w:pPr>
      <w:r>
        <w:rPr>
          <w:rFonts w:ascii="Century Gothic" w:hAnsi="Century Gothic"/>
        </w:rPr>
        <w:lastRenderedPageBreak/>
        <w:t>En términos generales los Artículos 183 y 149 Cn fijan el objeto de este control en El Salvador: leyes, decretos, reglamentos y tratados. Y es necesario hacer una breve alusión a cuales o qué tipo de actos son sujetos a este control:</w:t>
      </w:r>
    </w:p>
    <w:p w:rsidR="008E21B9" w:rsidRDefault="008E21B9" w:rsidP="003109A1">
      <w:pPr>
        <w:tabs>
          <w:tab w:val="left" w:pos="8640"/>
        </w:tabs>
        <w:spacing w:line="276" w:lineRule="auto"/>
        <w:jc w:val="both"/>
        <w:rPr>
          <w:rFonts w:ascii="Century Gothic" w:hAnsi="Century Gothic"/>
        </w:rPr>
      </w:pPr>
    </w:p>
    <w:p w:rsidR="007D7A9B" w:rsidRDefault="007D7A9B" w:rsidP="003109A1">
      <w:pPr>
        <w:tabs>
          <w:tab w:val="left" w:pos="8640"/>
        </w:tabs>
        <w:spacing w:line="276" w:lineRule="auto"/>
        <w:jc w:val="both"/>
        <w:rPr>
          <w:rFonts w:ascii="Century Gothic" w:hAnsi="Century Gothic"/>
        </w:rPr>
      </w:pPr>
      <w:r w:rsidRPr="007D7A9B">
        <w:rPr>
          <w:rFonts w:ascii="Century Gothic" w:hAnsi="Century Gothic"/>
          <w:b/>
          <w:u w:val="single"/>
        </w:rPr>
        <w:t>1-Leyes:</w:t>
      </w:r>
      <w:r>
        <w:rPr>
          <w:rFonts w:ascii="Century Gothic" w:hAnsi="Century Gothic"/>
          <w:b/>
          <w:u w:val="single"/>
        </w:rPr>
        <w:t xml:space="preserve"> </w:t>
      </w:r>
      <w:r>
        <w:rPr>
          <w:rFonts w:ascii="Century Gothic" w:hAnsi="Century Gothic"/>
        </w:rPr>
        <w:t xml:space="preserve"> </w:t>
      </w:r>
      <w:r w:rsidR="00321647">
        <w:rPr>
          <w:rFonts w:ascii="Century Gothic" w:hAnsi="Century Gothic"/>
        </w:rPr>
        <w:t>en El Salvador el concepto de Ley, de conformidad a la normativa constitucional es meramente formal,; de conformidad con el Articulo 174 de la Cn menciona que c</w:t>
      </w:r>
      <w:r w:rsidR="00321647" w:rsidRPr="00321647">
        <w:rPr>
          <w:rFonts w:ascii="Century Gothic" w:hAnsi="Century Gothic"/>
        </w:rPr>
        <w:t>orresponderá conocer y resolver las</w:t>
      </w:r>
      <w:r w:rsidR="00321647">
        <w:rPr>
          <w:rFonts w:ascii="Century Gothic" w:hAnsi="Century Gothic"/>
        </w:rPr>
        <w:t xml:space="preserve"> </w:t>
      </w:r>
      <w:r w:rsidR="00321647" w:rsidRPr="00321647">
        <w:rPr>
          <w:rFonts w:ascii="Century Gothic" w:hAnsi="Century Gothic"/>
        </w:rPr>
        <w:t>demandas de inconstitucionalidad de las leyes, decretos y reglamentos</w:t>
      </w:r>
      <w:r w:rsidR="00321647">
        <w:rPr>
          <w:rFonts w:ascii="Century Gothic" w:hAnsi="Century Gothic"/>
        </w:rPr>
        <w:t>, en su forma y contenido, de un modo general y obligatorio, y podrá hacerlo a petición de cualquier ciudadano. Por ello es mediante la inconstitucionalidad que se conoce sobre infracciones a la Constitución cometidas mediante leyes, en su sentido formal y material, esto es, en cuanto al contenido intrínseco de las disposiciones, es decir serán leyes, si son disposiciones creadoras de situaciones jurídicas abstractas y que regulan situaciones generales con carácter unilateral, coercitivo y obligatorio.</w:t>
      </w:r>
    </w:p>
    <w:p w:rsidR="00DF20D6" w:rsidRDefault="00DF20D6" w:rsidP="003109A1">
      <w:pPr>
        <w:tabs>
          <w:tab w:val="left" w:pos="8640"/>
        </w:tabs>
        <w:spacing w:line="276" w:lineRule="auto"/>
        <w:jc w:val="both"/>
        <w:rPr>
          <w:rFonts w:ascii="Century Gothic" w:hAnsi="Century Gothic"/>
        </w:rPr>
      </w:pPr>
    </w:p>
    <w:p w:rsidR="00321647" w:rsidRDefault="00DF20D6" w:rsidP="003109A1">
      <w:pPr>
        <w:tabs>
          <w:tab w:val="left" w:pos="8640"/>
        </w:tabs>
        <w:spacing w:line="276" w:lineRule="auto"/>
        <w:jc w:val="both"/>
        <w:rPr>
          <w:rFonts w:ascii="Century Gothic" w:hAnsi="Century Gothic"/>
        </w:rPr>
      </w:pPr>
      <w:r>
        <w:rPr>
          <w:rFonts w:ascii="Century Gothic" w:hAnsi="Century Gothic"/>
          <w:b/>
          <w:u w:val="single"/>
        </w:rPr>
        <w:t>2-Decretos y reglamentos:</w:t>
      </w:r>
      <w:r w:rsidR="00752BC7">
        <w:rPr>
          <w:rFonts w:ascii="Century Gothic" w:hAnsi="Century Gothic"/>
          <w:b/>
          <w:u w:val="single"/>
        </w:rPr>
        <w:t xml:space="preserve"> </w:t>
      </w:r>
      <w:r w:rsidR="00CE6A65" w:rsidRPr="00CE6A65">
        <w:rPr>
          <w:rFonts w:ascii="Century Gothic" w:hAnsi="Century Gothic"/>
        </w:rPr>
        <w:t>Decreto es toda norma general emanada de autoridad distinta del Poder Legislativo, órgano constitucional específico con atribución para hacer las leyes.</w:t>
      </w:r>
    </w:p>
    <w:p w:rsidR="007D7A9B" w:rsidRDefault="00CE6A65" w:rsidP="003109A1">
      <w:pPr>
        <w:tabs>
          <w:tab w:val="left" w:pos="8640"/>
        </w:tabs>
        <w:spacing w:line="276" w:lineRule="auto"/>
        <w:jc w:val="both"/>
        <w:rPr>
          <w:rFonts w:ascii="Century Gothic" w:hAnsi="Century Gothic"/>
        </w:rPr>
      </w:pPr>
      <w:r>
        <w:rPr>
          <w:rFonts w:ascii="Century Gothic" w:hAnsi="Century Gothic"/>
        </w:rPr>
        <w:t>Es por ello que en cuanto a decretos y reglamentos si existe un control sobre ellos.</w:t>
      </w:r>
    </w:p>
    <w:p w:rsidR="00CE6A65" w:rsidRDefault="00CE6A65" w:rsidP="003109A1">
      <w:pPr>
        <w:tabs>
          <w:tab w:val="left" w:pos="8640"/>
        </w:tabs>
        <w:spacing w:line="276" w:lineRule="auto"/>
        <w:jc w:val="both"/>
        <w:rPr>
          <w:rFonts w:ascii="Century Gothic" w:hAnsi="Century Gothic"/>
        </w:rPr>
      </w:pPr>
    </w:p>
    <w:p w:rsidR="00CE6A65" w:rsidRDefault="00CE6A65" w:rsidP="003109A1">
      <w:pPr>
        <w:tabs>
          <w:tab w:val="left" w:pos="8640"/>
        </w:tabs>
        <w:spacing w:line="276" w:lineRule="auto"/>
        <w:jc w:val="both"/>
        <w:rPr>
          <w:rFonts w:ascii="Century Gothic" w:hAnsi="Century Gothic"/>
        </w:rPr>
      </w:pPr>
      <w:r w:rsidRPr="00CE6A65">
        <w:rPr>
          <w:rFonts w:ascii="Century Gothic" w:hAnsi="Century Gothic"/>
          <w:b/>
          <w:u w:val="single"/>
        </w:rPr>
        <w:t>3-Tratados:</w:t>
      </w:r>
      <w:r>
        <w:rPr>
          <w:rFonts w:ascii="Century Gothic" w:hAnsi="Century Gothic"/>
          <w:b/>
          <w:u w:val="single"/>
        </w:rPr>
        <w:t xml:space="preserve"> </w:t>
      </w:r>
      <w:r w:rsidRPr="00CE6A65">
        <w:rPr>
          <w:rFonts w:ascii="Century Gothic" w:hAnsi="Century Gothic"/>
        </w:rPr>
        <w:t>El inciso segundo del Articulo 149 Cn dispone que :</w:t>
      </w:r>
      <w:r>
        <w:rPr>
          <w:rFonts w:ascii="Century Gothic" w:hAnsi="Century Gothic"/>
        </w:rPr>
        <w:t xml:space="preserve"> “</w:t>
      </w:r>
      <w:r w:rsidRPr="00CE6A65">
        <w:rPr>
          <w:rFonts w:ascii="Century Gothic" w:hAnsi="Century Gothic"/>
        </w:rPr>
        <w:t>La declaratoria de inconstitucionalidad de un tratado, de un modo general, y</w:t>
      </w:r>
      <w:r>
        <w:rPr>
          <w:rFonts w:ascii="Century Gothic" w:hAnsi="Century Gothic"/>
        </w:rPr>
        <w:t xml:space="preserve"> </w:t>
      </w:r>
      <w:r w:rsidRPr="00CE6A65">
        <w:rPr>
          <w:rFonts w:ascii="Century Gothic" w:hAnsi="Century Gothic"/>
        </w:rPr>
        <w:t>obligatorio, se hará en la misma forma prevista por esta</w:t>
      </w:r>
      <w:r>
        <w:rPr>
          <w:rFonts w:ascii="Century Gothic" w:hAnsi="Century Gothic"/>
        </w:rPr>
        <w:t xml:space="preserve"> </w:t>
      </w:r>
      <w:r w:rsidRPr="00CE6A65">
        <w:rPr>
          <w:rFonts w:ascii="Century Gothic" w:hAnsi="Century Gothic"/>
        </w:rPr>
        <w:t>Constitución para las leyes, decretos y reglamentos.</w:t>
      </w:r>
      <w:r>
        <w:rPr>
          <w:rFonts w:ascii="Century Gothic" w:hAnsi="Century Gothic"/>
        </w:rPr>
        <w:t>” El principio de la superioridad de la Constitución sobre el tratado, se refleja en la facultad de declarar la inaplicabilidad de las disposiciones de cualquier tratado contrarias a los preceptos constitucionales y es así que se puede dar la declaratoria de inconstitucionalidad sobre los tratados.</w:t>
      </w:r>
    </w:p>
    <w:p w:rsidR="00CE6A65" w:rsidRDefault="00CE6A65" w:rsidP="003109A1">
      <w:pPr>
        <w:tabs>
          <w:tab w:val="left" w:pos="8640"/>
        </w:tabs>
        <w:spacing w:line="276" w:lineRule="auto"/>
        <w:jc w:val="both"/>
        <w:rPr>
          <w:rFonts w:ascii="Century Gothic" w:hAnsi="Century Gothic"/>
        </w:rPr>
      </w:pPr>
    </w:p>
    <w:p w:rsidR="008C4F27" w:rsidRDefault="00CE6A65" w:rsidP="003109A1">
      <w:pPr>
        <w:tabs>
          <w:tab w:val="left" w:pos="8640"/>
        </w:tabs>
        <w:spacing w:line="276" w:lineRule="auto"/>
        <w:jc w:val="both"/>
        <w:rPr>
          <w:rFonts w:ascii="Century Gothic" w:hAnsi="Century Gothic"/>
        </w:rPr>
      </w:pPr>
      <w:r w:rsidRPr="00CE6A65">
        <w:rPr>
          <w:rFonts w:ascii="Century Gothic" w:hAnsi="Century Gothic"/>
          <w:b/>
          <w:u w:val="single"/>
        </w:rPr>
        <w:t>4-Las reformas constitucionales:</w:t>
      </w:r>
      <w:r w:rsidR="00540148">
        <w:rPr>
          <w:rFonts w:ascii="Century Gothic" w:hAnsi="Century Gothic"/>
          <w:b/>
          <w:u w:val="single"/>
        </w:rPr>
        <w:t xml:space="preserve"> </w:t>
      </w:r>
      <w:r w:rsidR="00540148" w:rsidRPr="00540148">
        <w:rPr>
          <w:rFonts w:ascii="Century Gothic" w:hAnsi="Century Gothic"/>
        </w:rPr>
        <w:t>también se consideran impugnables y sujetos al re</w:t>
      </w:r>
      <w:r w:rsidR="008C4F27">
        <w:rPr>
          <w:rFonts w:ascii="Century Gothic" w:hAnsi="Century Gothic"/>
        </w:rPr>
        <w:t>ferido control:</w:t>
      </w:r>
    </w:p>
    <w:p w:rsidR="008C4F27" w:rsidRDefault="008C4F27" w:rsidP="003109A1">
      <w:pPr>
        <w:tabs>
          <w:tab w:val="left" w:pos="8640"/>
        </w:tabs>
        <w:spacing w:line="276" w:lineRule="auto"/>
        <w:jc w:val="both"/>
        <w:rPr>
          <w:rFonts w:ascii="Century Gothic" w:hAnsi="Century Gothic"/>
        </w:rPr>
      </w:pPr>
      <w:r>
        <w:rPr>
          <w:rFonts w:ascii="Century Gothic" w:hAnsi="Century Gothic"/>
        </w:rPr>
        <w:t xml:space="preserve">1-Las reformas a la ley fundamental deben seguir un procedimiento predeterminado en la misma normativa constitucional; de tal suerte que si no se observa ese procedimiento, se produce un vicio formal de </w:t>
      </w:r>
      <w:r>
        <w:rPr>
          <w:rFonts w:ascii="Century Gothic" w:hAnsi="Century Gothic"/>
        </w:rPr>
        <w:lastRenderedPageBreak/>
        <w:t>inconstitucionalidad que queda sujeto al control de la declaratoria genérica antes mencionada.</w:t>
      </w:r>
    </w:p>
    <w:p w:rsidR="008C4F27" w:rsidRDefault="008C4F27" w:rsidP="003109A1">
      <w:pPr>
        <w:tabs>
          <w:tab w:val="left" w:pos="8640"/>
        </w:tabs>
        <w:spacing w:line="276" w:lineRule="auto"/>
        <w:jc w:val="both"/>
        <w:rPr>
          <w:rFonts w:ascii="Century Gothic" w:hAnsi="Century Gothic"/>
        </w:rPr>
      </w:pPr>
      <w:r>
        <w:rPr>
          <w:rFonts w:ascii="Century Gothic" w:hAnsi="Century Gothic"/>
        </w:rPr>
        <w:t>2-Tambien cabe el control por vicios de fondo de las reformas constitucionales a fin de establecer si tales contenidos petreos no han resultado afectados.</w:t>
      </w:r>
    </w:p>
    <w:p w:rsidR="00CE6A65" w:rsidRDefault="00540148" w:rsidP="003109A1">
      <w:pPr>
        <w:tabs>
          <w:tab w:val="left" w:pos="8640"/>
        </w:tabs>
        <w:spacing w:line="276" w:lineRule="auto"/>
        <w:jc w:val="both"/>
        <w:rPr>
          <w:rFonts w:ascii="Century Gothic" w:hAnsi="Century Gothic"/>
        </w:rPr>
      </w:pPr>
      <w:r w:rsidRPr="00540148">
        <w:rPr>
          <w:rFonts w:ascii="Century Gothic" w:hAnsi="Century Gothic"/>
        </w:rPr>
        <w:t>Pero entre los autores exi</w:t>
      </w:r>
      <w:r>
        <w:rPr>
          <w:rFonts w:ascii="Century Gothic" w:hAnsi="Century Gothic"/>
        </w:rPr>
        <w:t>ste una disparidad de criterios.</w:t>
      </w:r>
      <w:r w:rsidR="003359D5">
        <w:rPr>
          <w:rFonts w:ascii="Century Gothic" w:hAnsi="Century Gothic"/>
        </w:rPr>
        <w:t xml:space="preserve"> </w:t>
      </w:r>
      <w:r>
        <w:rPr>
          <w:rFonts w:ascii="Century Gothic" w:hAnsi="Century Gothic"/>
        </w:rPr>
        <w:t xml:space="preserve">La opinión negativa consiste en que </w:t>
      </w:r>
      <w:r w:rsidR="00713CB6">
        <w:rPr>
          <w:rFonts w:ascii="Century Gothic" w:hAnsi="Century Gothic"/>
        </w:rPr>
        <w:t>no hay poder superior al constituyente que le dio origen a la constitución</w:t>
      </w:r>
      <w:r w:rsidR="007C7182">
        <w:rPr>
          <w:rFonts w:ascii="Century Gothic" w:hAnsi="Century Gothic"/>
        </w:rPr>
        <w:t xml:space="preserve"> rechazándose por consiguiente la posibilidad de declarar la inconstitucionalidad de la Constitución misma.</w:t>
      </w:r>
    </w:p>
    <w:p w:rsidR="007C7182" w:rsidRDefault="007C7182" w:rsidP="003109A1">
      <w:pPr>
        <w:tabs>
          <w:tab w:val="left" w:pos="8640"/>
        </w:tabs>
        <w:spacing w:line="276" w:lineRule="auto"/>
        <w:jc w:val="both"/>
        <w:rPr>
          <w:rFonts w:ascii="Century Gothic" w:hAnsi="Century Gothic"/>
        </w:rPr>
      </w:pPr>
      <w:r>
        <w:rPr>
          <w:rFonts w:ascii="Century Gothic" w:hAnsi="Century Gothic"/>
        </w:rPr>
        <w:t>Y la opinión positiva radica en que este tema si tiene sentido bajo una perspectiva axiológica casi ius naturalista</w:t>
      </w:r>
      <w:r w:rsidR="008C4F27">
        <w:rPr>
          <w:rFonts w:ascii="Century Gothic" w:hAnsi="Century Gothic"/>
        </w:rPr>
        <w:t>.</w:t>
      </w:r>
    </w:p>
    <w:p w:rsidR="008C4F27" w:rsidRDefault="008C4F27" w:rsidP="003109A1">
      <w:pPr>
        <w:tabs>
          <w:tab w:val="left" w:pos="8640"/>
        </w:tabs>
        <w:spacing w:line="276" w:lineRule="auto"/>
        <w:jc w:val="both"/>
        <w:rPr>
          <w:rFonts w:ascii="Century Gothic" w:hAnsi="Century Gothic"/>
        </w:rPr>
      </w:pPr>
    </w:p>
    <w:p w:rsidR="007C7182" w:rsidRDefault="007C7182" w:rsidP="003109A1">
      <w:pPr>
        <w:tabs>
          <w:tab w:val="left" w:pos="8640"/>
        </w:tabs>
        <w:spacing w:line="276" w:lineRule="auto"/>
        <w:jc w:val="both"/>
        <w:rPr>
          <w:rFonts w:ascii="Century Gothic" w:hAnsi="Century Gothic"/>
        </w:rPr>
      </w:pPr>
      <w:r w:rsidRPr="007C7182">
        <w:rPr>
          <w:rFonts w:ascii="Century Gothic" w:hAnsi="Century Gothic"/>
          <w:b/>
          <w:u w:val="single"/>
        </w:rPr>
        <w:t>5-Ordenanzas Municipales:</w:t>
      </w:r>
      <w:r>
        <w:rPr>
          <w:rFonts w:ascii="Century Gothic" w:hAnsi="Century Gothic"/>
          <w:b/>
          <w:u w:val="single"/>
        </w:rPr>
        <w:t xml:space="preserve"> </w:t>
      </w:r>
      <w:r w:rsidRPr="007C7182">
        <w:rPr>
          <w:rFonts w:ascii="Century Gothic" w:hAnsi="Century Gothic"/>
        </w:rPr>
        <w:t>Las ordenanzas, de acuerdo a la doctrina son una especie de decretos emanados de las municipalidades que regulan materias relativas al funcionamiento y organización municipal</w:t>
      </w:r>
      <w:r>
        <w:rPr>
          <w:rFonts w:ascii="Century Gothic" w:hAnsi="Century Gothic"/>
        </w:rPr>
        <w:t xml:space="preserve"> </w:t>
      </w:r>
      <w:r w:rsidR="00AA1BC0">
        <w:rPr>
          <w:rFonts w:ascii="Century Gothic" w:hAnsi="Century Gothic"/>
        </w:rPr>
        <w:t xml:space="preserve">y aunque el Articulo 183 no lo menciona se debe de entender como una enumeración ejemplar </w:t>
      </w:r>
      <w:r w:rsidR="008E21B9">
        <w:rPr>
          <w:rFonts w:ascii="Century Gothic" w:hAnsi="Century Gothic"/>
        </w:rPr>
        <w:t>pues la sala de lo Constitucional posee la potestad para declarar la inconstitucionalidad de toda disposición normativa de carácter general o con fuerza de ley.</w:t>
      </w:r>
    </w:p>
    <w:p w:rsidR="00ED3135" w:rsidRDefault="00ED3135" w:rsidP="003109A1">
      <w:pPr>
        <w:tabs>
          <w:tab w:val="left" w:pos="8640"/>
        </w:tabs>
        <w:spacing w:line="276" w:lineRule="auto"/>
        <w:jc w:val="both"/>
        <w:rPr>
          <w:rFonts w:ascii="Century Gothic" w:hAnsi="Century Gothic"/>
        </w:rPr>
      </w:pPr>
    </w:p>
    <w:p w:rsidR="00DF20D6" w:rsidRDefault="00DF20D6" w:rsidP="003109A1">
      <w:pPr>
        <w:tabs>
          <w:tab w:val="left" w:pos="8640"/>
        </w:tabs>
        <w:spacing w:line="276" w:lineRule="auto"/>
        <w:jc w:val="both"/>
        <w:rPr>
          <w:rFonts w:ascii="Century Gothic" w:hAnsi="Century Gothic"/>
        </w:rPr>
      </w:pPr>
      <w:r w:rsidRPr="00ED3135">
        <w:rPr>
          <w:rFonts w:ascii="Century Gothic" w:hAnsi="Century Gothic"/>
          <w:b/>
          <w:u w:val="single"/>
        </w:rPr>
        <w:t>6-Las normas preconstitucionales:</w:t>
      </w:r>
      <w:r w:rsidR="00ED3135">
        <w:rPr>
          <w:rFonts w:ascii="Century Gothic" w:hAnsi="Century Gothic"/>
        </w:rPr>
        <w:t xml:space="preserve"> </w:t>
      </w:r>
      <w:r>
        <w:rPr>
          <w:rFonts w:ascii="Century Gothic" w:hAnsi="Century Gothic"/>
        </w:rPr>
        <w:t xml:space="preserve">se refiere a las normas que se han dictado con anterioridad a que entre en vigencia una nueva constitución y que entran en contradicción con esta </w:t>
      </w:r>
      <w:r w:rsidR="00ED3135">
        <w:rPr>
          <w:rFonts w:ascii="Century Gothic" w:hAnsi="Century Gothic"/>
        </w:rPr>
        <w:t>última</w:t>
      </w:r>
      <w:r>
        <w:rPr>
          <w:rFonts w:ascii="Century Gothic" w:hAnsi="Century Gothic"/>
        </w:rPr>
        <w:t>.</w:t>
      </w:r>
    </w:p>
    <w:p w:rsidR="00EB583E" w:rsidRDefault="00EB583E" w:rsidP="003109A1">
      <w:pPr>
        <w:tabs>
          <w:tab w:val="left" w:pos="8640"/>
        </w:tabs>
        <w:spacing w:line="276" w:lineRule="auto"/>
        <w:jc w:val="both"/>
        <w:rPr>
          <w:rFonts w:ascii="Century Gothic" w:hAnsi="Century Gothic"/>
        </w:rPr>
      </w:pPr>
    </w:p>
    <w:p w:rsidR="00ED3135" w:rsidRDefault="00EB583E" w:rsidP="003109A1">
      <w:pPr>
        <w:tabs>
          <w:tab w:val="left" w:pos="8640"/>
        </w:tabs>
        <w:spacing w:line="276" w:lineRule="auto"/>
        <w:jc w:val="both"/>
        <w:rPr>
          <w:rFonts w:ascii="Century Gothic" w:hAnsi="Century Gothic"/>
        </w:rPr>
      </w:pPr>
      <w:r w:rsidRPr="00EB583E">
        <w:rPr>
          <w:rFonts w:ascii="Century Gothic" w:hAnsi="Century Gothic"/>
          <w:b/>
          <w:u w:val="single"/>
        </w:rPr>
        <w:t xml:space="preserve">7-Los Actos Políticos o de Gobierno: </w:t>
      </w:r>
      <w:r w:rsidR="005B5338" w:rsidRPr="005B5338">
        <w:rPr>
          <w:rFonts w:ascii="Century Gothic" w:hAnsi="Century Gothic"/>
        </w:rPr>
        <w:t>Son todos aquellos asuntos que, bajo la Constitución, han de ser decididos por el pueblo en su capacidad soberana que ha sido delegada a la completa discreción al órgano legislativo, no existe uniformidad de criterios entre los autores pero se manifiesta que si la competencia delegada se ejerce en contra de la constitución puede ser susceptible de control con base a la supremacía constitucional.</w:t>
      </w:r>
    </w:p>
    <w:p w:rsidR="001E5A8B" w:rsidRDefault="001E5A8B" w:rsidP="003109A1">
      <w:pPr>
        <w:tabs>
          <w:tab w:val="left" w:pos="8640"/>
        </w:tabs>
        <w:spacing w:line="276" w:lineRule="auto"/>
        <w:jc w:val="both"/>
        <w:rPr>
          <w:rFonts w:ascii="Century Gothic" w:hAnsi="Century Gothic"/>
        </w:rPr>
      </w:pPr>
    </w:p>
    <w:p w:rsidR="00A64BE0" w:rsidRDefault="005B5338" w:rsidP="003109A1">
      <w:pPr>
        <w:tabs>
          <w:tab w:val="left" w:pos="8640"/>
        </w:tabs>
        <w:spacing w:line="276" w:lineRule="auto"/>
        <w:jc w:val="both"/>
        <w:rPr>
          <w:rFonts w:ascii="Century Gothic" w:hAnsi="Century Gothic"/>
        </w:rPr>
      </w:pPr>
      <w:r w:rsidRPr="001E5A8B">
        <w:rPr>
          <w:rFonts w:ascii="Century Gothic" w:hAnsi="Century Gothic"/>
          <w:b/>
          <w:u w:val="single"/>
        </w:rPr>
        <w:t>8-</w:t>
      </w:r>
      <w:r w:rsidR="001E5A8B" w:rsidRPr="001E5A8B">
        <w:rPr>
          <w:rFonts w:ascii="Century Gothic" w:hAnsi="Century Gothic"/>
          <w:b/>
          <w:u w:val="single"/>
        </w:rPr>
        <w:t>Disposiciones generales emanadas de sujetos privados.</w:t>
      </w:r>
      <w:r w:rsidR="00A64BE0">
        <w:rPr>
          <w:rFonts w:ascii="Century Gothic" w:hAnsi="Century Gothic"/>
          <w:b/>
          <w:u w:val="single"/>
        </w:rPr>
        <w:t xml:space="preserve"> </w:t>
      </w:r>
      <w:r w:rsidR="00A64BE0" w:rsidRPr="00A64BE0">
        <w:rPr>
          <w:rFonts w:ascii="Century Gothic" w:hAnsi="Century Gothic"/>
        </w:rPr>
        <w:t>Existen actos jurídicos privados que emanan de entes colectivos o personas jurídicas que contienen normas jurídicas generales que obligan a sus miembros y asociados por ello en ocasiones esas normas provenientes de la potestad normativa de entes particulares violan la constitución y por ello se debe de controlar esas actuaciones.</w:t>
      </w:r>
    </w:p>
    <w:p w:rsidR="00CE6A65" w:rsidRPr="00805057" w:rsidRDefault="00CE6A65" w:rsidP="003109A1">
      <w:pPr>
        <w:tabs>
          <w:tab w:val="left" w:pos="8640"/>
        </w:tabs>
        <w:spacing w:line="276" w:lineRule="auto"/>
        <w:jc w:val="both"/>
        <w:rPr>
          <w:rFonts w:ascii="Century Gothic" w:hAnsi="Century Gothic"/>
        </w:rPr>
      </w:pPr>
    </w:p>
    <w:p w:rsidR="008C4F27" w:rsidRDefault="00805057" w:rsidP="003109A1">
      <w:pPr>
        <w:tabs>
          <w:tab w:val="left" w:pos="8640"/>
        </w:tabs>
        <w:spacing w:line="276" w:lineRule="auto"/>
        <w:jc w:val="both"/>
        <w:rPr>
          <w:rFonts w:ascii="Century Gothic" w:hAnsi="Century Gothic"/>
          <w:lang w:val="es-ES"/>
        </w:rPr>
      </w:pPr>
      <w:r>
        <w:rPr>
          <w:rFonts w:ascii="Century Gothic" w:hAnsi="Century Gothic"/>
          <w:lang w:val="es-ES"/>
        </w:rPr>
        <w:lastRenderedPageBreak/>
        <w:t xml:space="preserve">En conclusión: </w:t>
      </w:r>
      <w:r w:rsidR="00F714E7" w:rsidRPr="00F714E7">
        <w:rPr>
          <w:rFonts w:ascii="Century Gothic" w:hAnsi="Century Gothic"/>
          <w:lang w:val="es-ES"/>
        </w:rPr>
        <w:t xml:space="preserve">El típico objeto de control en el proceso de inconstitucionalidad son las </w:t>
      </w:r>
      <w:r w:rsidR="00F714E7" w:rsidRPr="00F714E7">
        <w:rPr>
          <w:rFonts w:ascii="Century Gothic" w:hAnsi="Century Gothic"/>
          <w:i/>
          <w:iCs/>
          <w:lang w:val="es-ES"/>
        </w:rPr>
        <w:t xml:space="preserve">leyes secundarias, </w:t>
      </w:r>
      <w:r w:rsidR="00F714E7" w:rsidRPr="00F714E7">
        <w:rPr>
          <w:rFonts w:ascii="Century Gothic" w:hAnsi="Century Gothic"/>
          <w:lang w:val="es-ES"/>
        </w:rPr>
        <w:t>las cuales</w:t>
      </w:r>
      <w:r w:rsidR="00F714E7">
        <w:rPr>
          <w:rFonts w:ascii="Century Gothic" w:hAnsi="Century Gothic"/>
          <w:lang w:val="es-ES"/>
        </w:rPr>
        <w:t xml:space="preserve"> </w:t>
      </w:r>
      <w:r w:rsidR="00F714E7" w:rsidRPr="00F714E7">
        <w:rPr>
          <w:rFonts w:ascii="Century Gothic" w:hAnsi="Century Gothic"/>
          <w:lang w:val="es-ES"/>
        </w:rPr>
        <w:t>no se encuentran exentas del control por el carácter representativo de la Asamblea Legislativ</w:t>
      </w:r>
      <w:r w:rsidR="00F714E7">
        <w:rPr>
          <w:rFonts w:ascii="Century Gothic" w:hAnsi="Century Gothic"/>
          <w:lang w:val="es-ES"/>
        </w:rPr>
        <w:t>o.</w:t>
      </w:r>
    </w:p>
    <w:p w:rsidR="00122356" w:rsidRPr="00E70169" w:rsidRDefault="00E70169" w:rsidP="003109A1">
      <w:pPr>
        <w:tabs>
          <w:tab w:val="left" w:pos="8640"/>
        </w:tabs>
        <w:spacing w:line="276" w:lineRule="auto"/>
        <w:jc w:val="both"/>
        <w:rPr>
          <w:rFonts w:ascii="Century Gothic" w:hAnsi="Century Gothic"/>
          <w:lang w:val="es-ES"/>
        </w:rPr>
      </w:pPr>
      <w:r>
        <w:rPr>
          <w:rFonts w:ascii="Century Gothic" w:hAnsi="Century Gothic"/>
          <w:lang w:val="es-ES"/>
        </w:rPr>
        <w:t xml:space="preserve">En conclusión y siguiendo las líneas jurisprudenciales de la Sala de lo Constitucional : </w:t>
      </w:r>
      <w:r w:rsidRPr="00E70169">
        <w:rPr>
          <w:rFonts w:ascii="Century Gothic" w:hAnsi="Century Gothic"/>
          <w:lang w:val="es-ES"/>
        </w:rPr>
        <w:t xml:space="preserve">Para el tribunal, la lista de fuentes a que se refiere tanto el art. 183 Cn. como el art. 2 L. Pr. Cn. </w:t>
      </w:r>
      <w:r w:rsidRPr="00E70169">
        <w:rPr>
          <w:rFonts w:ascii="Century Gothic" w:hAnsi="Century Gothic"/>
          <w:i/>
          <w:iCs/>
          <w:lang w:val="es-ES"/>
        </w:rPr>
        <w:t>no es</w:t>
      </w:r>
      <w:r>
        <w:rPr>
          <w:rFonts w:ascii="Century Gothic" w:hAnsi="Century Gothic"/>
          <w:i/>
          <w:iCs/>
          <w:lang w:val="es-ES"/>
        </w:rPr>
        <w:t xml:space="preserve"> </w:t>
      </w:r>
      <w:r w:rsidRPr="00E70169">
        <w:rPr>
          <w:rFonts w:ascii="Century Gothic" w:hAnsi="Century Gothic"/>
          <w:i/>
          <w:iCs/>
          <w:lang w:val="es-ES"/>
        </w:rPr>
        <w:t>taxativa, sino que hace referencia a cualquier disposición general o con fuerza de ley</w:t>
      </w:r>
      <w:r w:rsidRPr="00E70169">
        <w:rPr>
          <w:rFonts w:ascii="Century Gothic" w:hAnsi="Century Gothic"/>
          <w:lang w:val="es-ES"/>
        </w:rPr>
        <w:t>: “Sin entrar a la discusión</w:t>
      </w:r>
      <w:r>
        <w:rPr>
          <w:rFonts w:ascii="Century Gothic" w:hAnsi="Century Gothic"/>
          <w:i/>
          <w:iCs/>
          <w:lang w:val="es-ES"/>
        </w:rPr>
        <w:t xml:space="preserve"> </w:t>
      </w:r>
      <w:r w:rsidRPr="00E70169">
        <w:rPr>
          <w:rFonts w:ascii="Century Gothic" w:hAnsi="Century Gothic"/>
          <w:lang w:val="es-ES"/>
        </w:rPr>
        <w:t>sobre si la denominación ‘Acuerdo’, empleada respecto al acto impugnado, es o no es aplicable a los</w:t>
      </w:r>
      <w:r>
        <w:rPr>
          <w:rFonts w:ascii="Century Gothic" w:hAnsi="Century Gothic"/>
          <w:i/>
          <w:iCs/>
          <w:lang w:val="es-ES"/>
        </w:rPr>
        <w:t xml:space="preserve"> </w:t>
      </w:r>
      <w:r w:rsidRPr="00E70169">
        <w:rPr>
          <w:rFonts w:ascii="Century Gothic" w:hAnsi="Century Gothic"/>
          <w:lang w:val="es-ES"/>
        </w:rPr>
        <w:t>reglamentos, tal denominación puede reputarse equivalente para los efectos de lo dispuesto en el artículo 183Cn. (…); pues en realidad, lo que está estableciendo dicha norma es la atribución y potestad del tribunal</w:t>
      </w:r>
      <w:r w:rsidR="00BB6DBF">
        <w:rPr>
          <w:rFonts w:ascii="Century Gothic" w:hAnsi="Century Gothic"/>
          <w:lang w:val="es-ES"/>
        </w:rPr>
        <w:t xml:space="preserve"> </w:t>
      </w:r>
      <w:r w:rsidRPr="00E70169">
        <w:rPr>
          <w:rFonts w:ascii="Century Gothic" w:hAnsi="Century Gothic"/>
          <w:lang w:val="es-ES"/>
        </w:rPr>
        <w:t>[la S</w:t>
      </w:r>
      <w:r w:rsidR="00BB6DBF">
        <w:rPr>
          <w:rFonts w:ascii="Century Gothic" w:hAnsi="Century Gothic"/>
          <w:lang w:val="es-ES"/>
        </w:rPr>
        <w:t xml:space="preserve">ala de lo </w:t>
      </w:r>
      <w:r w:rsidRPr="00E70169">
        <w:rPr>
          <w:rFonts w:ascii="Century Gothic" w:hAnsi="Century Gothic"/>
          <w:lang w:val="es-ES"/>
        </w:rPr>
        <w:t>C</w:t>
      </w:r>
      <w:r w:rsidR="00BB6DBF">
        <w:rPr>
          <w:rFonts w:ascii="Century Gothic" w:hAnsi="Century Gothic"/>
          <w:lang w:val="es-ES"/>
        </w:rPr>
        <w:t>onstitucional</w:t>
      </w:r>
      <w:r w:rsidRPr="00E70169">
        <w:rPr>
          <w:rFonts w:ascii="Century Gothic" w:hAnsi="Century Gothic"/>
          <w:lang w:val="es-ES"/>
        </w:rPr>
        <w:t>], para declarar la inconstitucionalidad de toda disposición normativa de carácter general o con</w:t>
      </w:r>
      <w:r>
        <w:rPr>
          <w:rFonts w:ascii="Century Gothic" w:hAnsi="Century Gothic"/>
          <w:lang w:val="es-ES"/>
        </w:rPr>
        <w:t xml:space="preserve"> </w:t>
      </w:r>
      <w:r w:rsidRPr="00E70169">
        <w:rPr>
          <w:rFonts w:ascii="Century Gothic" w:hAnsi="Century Gothic"/>
          <w:lang w:val="es-ES"/>
        </w:rPr>
        <w:t>fuerza de ley, independientemente de cómo se les llame en cada caso, sin que las denominaciones empleadas –leyes, decretos y reglamentos– implique en modo alguno la exclusión de otras, tales como ordenanzas,</w:t>
      </w:r>
      <w:r>
        <w:rPr>
          <w:rFonts w:ascii="Century Gothic" w:hAnsi="Century Gothic"/>
          <w:lang w:val="es-ES"/>
        </w:rPr>
        <w:t xml:space="preserve"> </w:t>
      </w:r>
      <w:r w:rsidRPr="00E70169">
        <w:rPr>
          <w:rFonts w:ascii="Century Gothic" w:hAnsi="Century Gothic"/>
          <w:lang w:val="es-ES"/>
        </w:rPr>
        <w:t>acuerdos, etc., siempre que tuvieren el contenido normativo antes indicado”</w:t>
      </w:r>
      <w:r w:rsidR="00A967AF">
        <w:rPr>
          <w:rStyle w:val="Refdenotaalpie"/>
          <w:rFonts w:ascii="Century Gothic" w:hAnsi="Century Gothic"/>
          <w:lang w:val="es-ES"/>
        </w:rPr>
        <w:footnoteReference w:id="2"/>
      </w:r>
      <w:r w:rsidRPr="00E70169">
        <w:rPr>
          <w:rFonts w:ascii="Century Gothic" w:hAnsi="Century Gothic"/>
          <w:lang w:val="es-ES"/>
        </w:rPr>
        <w:t>.</w:t>
      </w:r>
    </w:p>
    <w:p w:rsidR="004E1B53" w:rsidRPr="00122356" w:rsidRDefault="004E1B53" w:rsidP="003109A1">
      <w:pPr>
        <w:pStyle w:val="Ttulo2"/>
        <w:spacing w:line="276" w:lineRule="auto"/>
        <w:rPr>
          <w:rFonts w:ascii="Century Gothic" w:hAnsi="Century Gothic"/>
          <w:b w:val="0"/>
          <w:color w:val="000000" w:themeColor="text1"/>
        </w:rPr>
      </w:pPr>
      <w:bookmarkStart w:id="7" w:name="_Toc325745090"/>
      <w:r w:rsidRPr="00122356">
        <w:rPr>
          <w:rFonts w:ascii="Century Gothic" w:hAnsi="Century Gothic"/>
          <w:color w:val="000000" w:themeColor="text1"/>
        </w:rPr>
        <w:t>PARÁMETRO DE CONTROL</w:t>
      </w:r>
      <w:bookmarkEnd w:id="7"/>
    </w:p>
    <w:p w:rsidR="00DF00D0" w:rsidRPr="00122356" w:rsidRDefault="004E1B53" w:rsidP="003109A1">
      <w:pPr>
        <w:tabs>
          <w:tab w:val="left" w:pos="8640"/>
        </w:tabs>
        <w:spacing w:line="276" w:lineRule="auto"/>
        <w:jc w:val="both"/>
        <w:rPr>
          <w:rFonts w:ascii="Century Gothic" w:hAnsi="Century Gothic"/>
        </w:rPr>
      </w:pPr>
      <w:r w:rsidRPr="00B50E6F">
        <w:rPr>
          <w:rFonts w:ascii="Century Gothic" w:hAnsi="Century Gothic"/>
        </w:rPr>
        <w:t xml:space="preserve">En reiteradas ocasiones, la Sala de lo Constitucional ha sostenido que, en el proceso de inconstitucionalidad, el parámetro de sus decisiones está conformado por las disposiciones constitucionales supuestamente vulneradas, sobre las cuales el actor contrasta con la legislación. De ello deriva que, para efectos de la adecuada configuración de la pretensión, corresponde al actor delimitar el parámetro de control, en su manifestación lingüística prescriptiva, como además, fijar los límites de la impugnación con el establecimiento de un contenido normativo deducido de dicho parámetro. Pues, a partir de dicho contenido se delimita la competencia material de esta Sala y así se habilita un pronunciamiento definitivo sobre la pretensión planteada. Ahora bien, la determinación de ese contenido hasta cierto punto es libre por parte del pretensor, pues la interpretación que del mismo realice, constituye su personal concepción sobre los alcances y manifestaciones del parámetro; sin embargo, esa determinación del contenido del parámetro no resulta vinculante para el pronunciamiento definitivo de la pretensión de inconstitucionalidad; es </w:t>
      </w:r>
      <w:r w:rsidRPr="00B50E6F">
        <w:rPr>
          <w:rFonts w:ascii="Century Gothic" w:hAnsi="Century Gothic"/>
        </w:rPr>
        <w:lastRenderedPageBreak/>
        <w:t>decir, la decisión de este tribunal puede o no coincidir con las consideraciones que el actor despliegue en la demanda de inconstitucionalidad.</w:t>
      </w:r>
      <w:r w:rsidRPr="00B50E6F">
        <w:rPr>
          <w:rStyle w:val="Refdenotaalpie"/>
          <w:rFonts w:ascii="Century Gothic" w:hAnsi="Century Gothic"/>
        </w:rPr>
        <w:footnoteReference w:id="3"/>
      </w:r>
    </w:p>
    <w:p w:rsidR="00DF00D0" w:rsidRPr="00122356" w:rsidRDefault="00DF00D0" w:rsidP="003109A1">
      <w:pPr>
        <w:pStyle w:val="Ttulo2"/>
        <w:spacing w:line="276" w:lineRule="auto"/>
        <w:rPr>
          <w:rFonts w:ascii="Century Gothic" w:hAnsi="Century Gothic"/>
          <w:b w:val="0"/>
          <w:color w:val="000000" w:themeColor="text1"/>
        </w:rPr>
      </w:pPr>
      <w:bookmarkStart w:id="8" w:name="_Toc325745091"/>
      <w:r w:rsidRPr="00122356">
        <w:rPr>
          <w:rFonts w:ascii="Century Gothic" w:hAnsi="Century Gothic"/>
          <w:color w:val="000000" w:themeColor="text1"/>
        </w:rPr>
        <w:t>OBJETO DEL PROCESO DE INCONSTITUCIONALIDAD</w:t>
      </w:r>
      <w:bookmarkEnd w:id="8"/>
    </w:p>
    <w:p w:rsidR="00DF00D0" w:rsidRPr="00B50E6F" w:rsidRDefault="00DF00D0" w:rsidP="003109A1">
      <w:pPr>
        <w:tabs>
          <w:tab w:val="left" w:pos="8640"/>
        </w:tabs>
        <w:spacing w:line="276" w:lineRule="auto"/>
        <w:jc w:val="both"/>
        <w:rPr>
          <w:rFonts w:ascii="Century Gothic" w:hAnsi="Century Gothic"/>
        </w:rPr>
      </w:pPr>
      <w:r w:rsidRPr="00B50E6F">
        <w:rPr>
          <w:rFonts w:ascii="Century Gothic" w:hAnsi="Century Gothic"/>
        </w:rPr>
        <w:t>Interpretando tales disposiciones legales en conexión con el control abstracto que la Sala de lo Constitucional realiza, se sostiene que el objeto del proceso de inconstitucionalidad radica en la confrontación internormativa que el peticionario plantea en su demanda y justifica con sus argumentos, siendo los dos extremos de tal cotejo o confrontación: (a) la disposición constitucional, que se propone como canon o parámetro; y (b) la disposición infra-constitucional, cuerpo normativo o acto concreto realizado en aplicación directa e inmediata de la normativa constitucional, que el peticionario pide invalidar.</w:t>
      </w:r>
    </w:p>
    <w:p w:rsidR="004E1B53" w:rsidRDefault="00DF00D0" w:rsidP="003109A1">
      <w:pPr>
        <w:tabs>
          <w:tab w:val="left" w:pos="8640"/>
        </w:tabs>
        <w:spacing w:line="276" w:lineRule="auto"/>
        <w:jc w:val="both"/>
        <w:rPr>
          <w:rFonts w:ascii="Century Gothic" w:hAnsi="Century Gothic"/>
        </w:rPr>
      </w:pPr>
      <w:r w:rsidRPr="00B50E6F">
        <w:rPr>
          <w:rFonts w:ascii="Century Gothic" w:hAnsi="Century Gothic"/>
        </w:rPr>
        <w:t xml:space="preserve">En ese sentido, la tramitación y normal conclusión del proceso de inconstitucionalidad estará condicionado a la existencia del objeto de control, es decir, de la disposición </w:t>
      </w:r>
      <w:r w:rsidR="00807B96" w:rsidRPr="00B50E6F">
        <w:rPr>
          <w:rFonts w:ascii="Century Gothic" w:hAnsi="Century Gothic"/>
        </w:rPr>
        <w:t>infra constitucional</w:t>
      </w:r>
      <w:r w:rsidRPr="00B50E6F">
        <w:rPr>
          <w:rFonts w:ascii="Century Gothic" w:hAnsi="Century Gothic"/>
        </w:rPr>
        <w:t xml:space="preserve"> sobre la cual realizar el examen de constitucionalidad. Por el contrario, si la disposición objeto de control ya ha sido derogada al momento de presentarse la demanda, o se derogó durante el desarrollo del procedimiento, o ha sido expulsada del ordenamiento jurídico, mediante el pronunciamiento general y obligatorio de este tribunal, el objeto de control ha dejado de existir. En consecuencia, el proceso carece de finalidad, pues la pretensión carecería de sustrato material sobre el cual pronunciarse.</w:t>
      </w:r>
      <w:r w:rsidRPr="00B50E6F">
        <w:rPr>
          <w:rStyle w:val="Refdenotaalpie"/>
          <w:rFonts w:ascii="Century Gothic" w:hAnsi="Century Gothic"/>
        </w:rPr>
        <w:footnoteReference w:id="4"/>
      </w:r>
    </w:p>
    <w:p w:rsidR="003109A1" w:rsidRPr="00B50E6F" w:rsidRDefault="003109A1" w:rsidP="003109A1">
      <w:pPr>
        <w:tabs>
          <w:tab w:val="left" w:pos="8640"/>
        </w:tabs>
        <w:spacing w:line="276" w:lineRule="auto"/>
        <w:jc w:val="both"/>
        <w:rPr>
          <w:rFonts w:ascii="Century Gothic" w:hAnsi="Century Gothic"/>
        </w:rPr>
      </w:pPr>
    </w:p>
    <w:p w:rsidR="008C4F27" w:rsidRDefault="00911FB6" w:rsidP="003109A1">
      <w:pPr>
        <w:tabs>
          <w:tab w:val="left" w:pos="8640"/>
        </w:tabs>
        <w:spacing w:line="276" w:lineRule="auto"/>
        <w:jc w:val="both"/>
        <w:rPr>
          <w:rFonts w:ascii="Century Gothic" w:hAnsi="Century Gothic"/>
          <w:b/>
          <w:i/>
        </w:rPr>
      </w:pPr>
      <w:r w:rsidRPr="00B50E6F">
        <w:rPr>
          <w:rFonts w:ascii="Century Gothic" w:hAnsi="Century Gothic"/>
        </w:rPr>
        <w:t>Una vez hecha la</w:t>
      </w:r>
      <w:r w:rsidR="004E1B53" w:rsidRPr="00B50E6F">
        <w:rPr>
          <w:rFonts w:ascii="Century Gothic" w:hAnsi="Century Gothic"/>
        </w:rPr>
        <w:t>s</w:t>
      </w:r>
      <w:r w:rsidRPr="00B50E6F">
        <w:rPr>
          <w:rFonts w:ascii="Century Gothic" w:hAnsi="Century Gothic"/>
        </w:rPr>
        <w:t xml:space="preserve"> </w:t>
      </w:r>
      <w:r w:rsidR="0038794A" w:rsidRPr="00B50E6F">
        <w:rPr>
          <w:rFonts w:ascii="Century Gothic" w:hAnsi="Century Gothic"/>
        </w:rPr>
        <w:t>precisiones</w:t>
      </w:r>
      <w:r w:rsidR="009679A8" w:rsidRPr="00B50E6F">
        <w:rPr>
          <w:rFonts w:ascii="Century Gothic" w:hAnsi="Century Gothic"/>
        </w:rPr>
        <w:t xml:space="preserve"> anterior</w:t>
      </w:r>
      <w:r w:rsidRPr="00B50E6F">
        <w:rPr>
          <w:rFonts w:ascii="Century Gothic" w:hAnsi="Century Gothic"/>
        </w:rPr>
        <w:t xml:space="preserve">es </w:t>
      </w:r>
      <w:r w:rsidR="009679A8" w:rsidRPr="00B50E6F">
        <w:rPr>
          <w:rFonts w:ascii="Century Gothic" w:hAnsi="Century Gothic"/>
        </w:rPr>
        <w:t xml:space="preserve">es </w:t>
      </w:r>
      <w:r w:rsidRPr="00B50E6F">
        <w:rPr>
          <w:rFonts w:ascii="Century Gothic" w:hAnsi="Century Gothic"/>
        </w:rPr>
        <w:t>necesario determinar que formas existen de terminar el Proceso de Inconstitucionalidad.</w:t>
      </w:r>
      <w:r w:rsidR="00724DA0" w:rsidRPr="00B50E6F">
        <w:rPr>
          <w:rFonts w:ascii="Century Gothic" w:hAnsi="Century Gothic"/>
        </w:rPr>
        <w:t xml:space="preserve"> </w:t>
      </w:r>
      <w:r w:rsidR="0083287D" w:rsidRPr="00B50E6F">
        <w:rPr>
          <w:rFonts w:ascii="Century Gothic" w:hAnsi="Century Gothic"/>
        </w:rPr>
        <w:t xml:space="preserve">Tanto la doctrina legal, como la ley  y la jurisprudencia han establecido que existen formas normales y anormales de terminar un </w:t>
      </w:r>
      <w:r w:rsidR="0038794A" w:rsidRPr="00B50E6F">
        <w:rPr>
          <w:rFonts w:ascii="Century Gothic" w:hAnsi="Century Gothic"/>
        </w:rPr>
        <w:t>proceso de inconstitucionalidad.</w:t>
      </w:r>
      <w:r w:rsidR="005B78A3" w:rsidRPr="00B50E6F">
        <w:rPr>
          <w:rFonts w:ascii="Century Gothic" w:hAnsi="Century Gothic"/>
        </w:rPr>
        <w:t xml:space="preserve"> Esto quiere decir que el</w:t>
      </w:r>
      <w:r w:rsidR="0038794A" w:rsidRPr="00B50E6F">
        <w:rPr>
          <w:rFonts w:ascii="Century Gothic" w:hAnsi="Century Gothic"/>
        </w:rPr>
        <w:t xml:space="preserve"> proceso de inconstitucionalidad puede terminar de modo anormal, por una resolución interlocutoria que implica la ausencia de pronunciamiento sobre el fondo, o de modo normal, mediante sentencia.</w:t>
      </w:r>
      <w:r w:rsidR="00122356" w:rsidRPr="0004310D">
        <w:rPr>
          <w:rFonts w:ascii="Century Gothic" w:hAnsi="Century Gothic"/>
          <w:b/>
          <w:i/>
        </w:rPr>
        <w:t xml:space="preserve"> </w:t>
      </w:r>
    </w:p>
    <w:p w:rsidR="003109A1" w:rsidRDefault="003109A1" w:rsidP="003109A1">
      <w:pPr>
        <w:tabs>
          <w:tab w:val="left" w:pos="8640"/>
        </w:tabs>
        <w:spacing w:line="276" w:lineRule="auto"/>
        <w:jc w:val="both"/>
        <w:rPr>
          <w:rFonts w:ascii="Century Gothic" w:hAnsi="Century Gothic"/>
          <w:b/>
          <w:i/>
        </w:rPr>
      </w:pPr>
    </w:p>
    <w:p w:rsidR="003109A1" w:rsidRDefault="003109A1" w:rsidP="003109A1">
      <w:pPr>
        <w:tabs>
          <w:tab w:val="left" w:pos="8640"/>
        </w:tabs>
        <w:spacing w:line="276" w:lineRule="auto"/>
        <w:jc w:val="both"/>
        <w:rPr>
          <w:rFonts w:ascii="Century Gothic" w:hAnsi="Century Gothic"/>
          <w:b/>
          <w:i/>
        </w:rPr>
      </w:pPr>
    </w:p>
    <w:p w:rsidR="008C4F27" w:rsidRDefault="008C4F27" w:rsidP="003109A1">
      <w:pPr>
        <w:tabs>
          <w:tab w:val="left" w:pos="8640"/>
        </w:tabs>
        <w:spacing w:line="276" w:lineRule="auto"/>
        <w:jc w:val="both"/>
        <w:rPr>
          <w:rFonts w:ascii="Century Gothic" w:hAnsi="Century Gothic"/>
          <w:b/>
          <w:i/>
        </w:rPr>
      </w:pPr>
    </w:p>
    <w:p w:rsidR="00AD05CE" w:rsidRPr="008C4F27" w:rsidRDefault="00AD05CE" w:rsidP="003109A1">
      <w:pPr>
        <w:tabs>
          <w:tab w:val="left" w:pos="8640"/>
        </w:tabs>
        <w:spacing w:line="276" w:lineRule="auto"/>
        <w:jc w:val="both"/>
        <w:rPr>
          <w:rFonts w:ascii="Century Gothic" w:hAnsi="Century Gothic"/>
          <w:b/>
          <w:i/>
          <w:color w:val="000000" w:themeColor="text1"/>
        </w:rPr>
      </w:pPr>
      <w:r w:rsidRPr="008C4F27">
        <w:rPr>
          <w:rFonts w:ascii="Century Gothic" w:hAnsi="Century Gothic"/>
          <w:b/>
          <w:i/>
          <w:color w:val="000000" w:themeColor="text1"/>
        </w:rPr>
        <w:lastRenderedPageBreak/>
        <w:t>Formas de terminación anormal del proceso:</w:t>
      </w:r>
    </w:p>
    <w:p w:rsidR="00AD05CE" w:rsidRPr="00B50E6F" w:rsidRDefault="00AD05CE" w:rsidP="003109A1">
      <w:pPr>
        <w:pStyle w:val="Prrafodelista"/>
        <w:numPr>
          <w:ilvl w:val="0"/>
          <w:numId w:val="2"/>
        </w:numPr>
        <w:tabs>
          <w:tab w:val="left" w:pos="8640"/>
        </w:tabs>
        <w:spacing w:line="276" w:lineRule="auto"/>
        <w:ind w:left="0"/>
        <w:jc w:val="both"/>
        <w:outlineLvl w:val="1"/>
        <w:rPr>
          <w:rFonts w:ascii="Century Gothic" w:hAnsi="Century Gothic"/>
        </w:rPr>
      </w:pPr>
      <w:bookmarkStart w:id="9" w:name="_Toc325745092"/>
      <w:r w:rsidRPr="00B50E6F">
        <w:rPr>
          <w:rFonts w:ascii="Century Gothic" w:hAnsi="Century Gothic"/>
        </w:rPr>
        <w:t>Inadmisibilidad.</w:t>
      </w:r>
      <w:bookmarkEnd w:id="9"/>
    </w:p>
    <w:p w:rsidR="00AD05CE" w:rsidRPr="00B50E6F" w:rsidRDefault="00AD05CE" w:rsidP="003109A1">
      <w:pPr>
        <w:pStyle w:val="Prrafodelista"/>
        <w:numPr>
          <w:ilvl w:val="0"/>
          <w:numId w:val="2"/>
        </w:numPr>
        <w:tabs>
          <w:tab w:val="left" w:pos="8640"/>
        </w:tabs>
        <w:spacing w:line="276" w:lineRule="auto"/>
        <w:ind w:left="0"/>
        <w:jc w:val="both"/>
        <w:outlineLvl w:val="1"/>
        <w:rPr>
          <w:rFonts w:ascii="Century Gothic" w:hAnsi="Century Gothic"/>
        </w:rPr>
      </w:pPr>
      <w:bookmarkStart w:id="10" w:name="_Toc325745093"/>
      <w:r w:rsidRPr="00B50E6F">
        <w:rPr>
          <w:rFonts w:ascii="Century Gothic" w:hAnsi="Century Gothic"/>
        </w:rPr>
        <w:t>Improcedencia.</w:t>
      </w:r>
      <w:bookmarkEnd w:id="10"/>
    </w:p>
    <w:p w:rsidR="00AD05CE" w:rsidRPr="00B50E6F" w:rsidRDefault="00AD05CE" w:rsidP="003109A1">
      <w:pPr>
        <w:pStyle w:val="Prrafodelista"/>
        <w:numPr>
          <w:ilvl w:val="0"/>
          <w:numId w:val="2"/>
        </w:numPr>
        <w:tabs>
          <w:tab w:val="left" w:pos="8640"/>
        </w:tabs>
        <w:spacing w:line="276" w:lineRule="auto"/>
        <w:ind w:left="0"/>
        <w:jc w:val="both"/>
        <w:outlineLvl w:val="1"/>
        <w:rPr>
          <w:rFonts w:ascii="Century Gothic" w:hAnsi="Century Gothic"/>
        </w:rPr>
      </w:pPr>
      <w:bookmarkStart w:id="11" w:name="_Toc325745094"/>
      <w:r w:rsidRPr="00B50E6F">
        <w:rPr>
          <w:rFonts w:ascii="Century Gothic" w:hAnsi="Century Gothic"/>
        </w:rPr>
        <w:t>Sobreseimiento.</w:t>
      </w:r>
      <w:bookmarkEnd w:id="11"/>
    </w:p>
    <w:p w:rsidR="00AD05CE" w:rsidRPr="00B50E6F" w:rsidRDefault="00AD05CE" w:rsidP="003109A1">
      <w:pPr>
        <w:pStyle w:val="Prrafodelista"/>
        <w:numPr>
          <w:ilvl w:val="0"/>
          <w:numId w:val="2"/>
        </w:numPr>
        <w:tabs>
          <w:tab w:val="left" w:pos="8640"/>
        </w:tabs>
        <w:spacing w:line="276" w:lineRule="auto"/>
        <w:ind w:left="0"/>
        <w:jc w:val="both"/>
        <w:outlineLvl w:val="1"/>
        <w:rPr>
          <w:rFonts w:ascii="Century Gothic" w:hAnsi="Century Gothic"/>
        </w:rPr>
      </w:pPr>
      <w:bookmarkStart w:id="12" w:name="_Toc325745095"/>
      <w:r w:rsidRPr="00B50E6F">
        <w:rPr>
          <w:rFonts w:ascii="Century Gothic" w:hAnsi="Century Gothic"/>
        </w:rPr>
        <w:t>Archivo.</w:t>
      </w:r>
      <w:bookmarkEnd w:id="12"/>
    </w:p>
    <w:p w:rsidR="00724DA0" w:rsidRPr="008C4F27" w:rsidRDefault="00724DA0" w:rsidP="003109A1">
      <w:pPr>
        <w:pStyle w:val="Ttulo1"/>
        <w:spacing w:line="276" w:lineRule="auto"/>
        <w:rPr>
          <w:rFonts w:ascii="Century Gothic" w:hAnsi="Century Gothic"/>
          <w:i/>
          <w:color w:val="000000" w:themeColor="text1"/>
          <w:sz w:val="24"/>
          <w:szCs w:val="24"/>
        </w:rPr>
      </w:pPr>
      <w:bookmarkStart w:id="13" w:name="_Toc325745096"/>
      <w:r w:rsidRPr="008C4F27">
        <w:rPr>
          <w:rFonts w:ascii="Century Gothic" w:hAnsi="Century Gothic"/>
          <w:i/>
          <w:color w:val="000000" w:themeColor="text1"/>
          <w:sz w:val="24"/>
          <w:szCs w:val="24"/>
        </w:rPr>
        <w:t>Formas de terminación normal del proceso:</w:t>
      </w:r>
      <w:bookmarkEnd w:id="13"/>
    </w:p>
    <w:p w:rsidR="00724DA0" w:rsidRPr="00B50E6F" w:rsidRDefault="00724DA0" w:rsidP="003109A1">
      <w:pPr>
        <w:pStyle w:val="Prrafodelista"/>
        <w:numPr>
          <w:ilvl w:val="0"/>
          <w:numId w:val="1"/>
        </w:numPr>
        <w:tabs>
          <w:tab w:val="left" w:pos="8640"/>
        </w:tabs>
        <w:spacing w:line="276" w:lineRule="auto"/>
        <w:ind w:left="0"/>
        <w:jc w:val="both"/>
        <w:outlineLvl w:val="1"/>
        <w:rPr>
          <w:rFonts w:ascii="Century Gothic" w:hAnsi="Century Gothic"/>
        </w:rPr>
      </w:pPr>
      <w:bookmarkStart w:id="14" w:name="_Toc325745097"/>
      <w:r w:rsidRPr="00B50E6F">
        <w:rPr>
          <w:rFonts w:ascii="Century Gothic" w:hAnsi="Century Gothic"/>
        </w:rPr>
        <w:t>Sentencia estimatoria.</w:t>
      </w:r>
      <w:bookmarkEnd w:id="14"/>
    </w:p>
    <w:p w:rsidR="00EC1BA4" w:rsidRPr="008C4F27" w:rsidRDefault="00724DA0" w:rsidP="003109A1">
      <w:pPr>
        <w:pStyle w:val="Prrafodelista"/>
        <w:numPr>
          <w:ilvl w:val="0"/>
          <w:numId w:val="1"/>
        </w:numPr>
        <w:tabs>
          <w:tab w:val="left" w:pos="8640"/>
        </w:tabs>
        <w:spacing w:line="276" w:lineRule="auto"/>
        <w:ind w:left="0"/>
        <w:jc w:val="both"/>
        <w:outlineLvl w:val="1"/>
        <w:rPr>
          <w:rFonts w:ascii="Century Gothic" w:hAnsi="Century Gothic"/>
          <w:b/>
          <w:i/>
        </w:rPr>
      </w:pPr>
      <w:bookmarkStart w:id="15" w:name="_Toc325745098"/>
      <w:r w:rsidRPr="00B50E6F">
        <w:rPr>
          <w:rFonts w:ascii="Century Gothic" w:hAnsi="Century Gothic"/>
        </w:rPr>
        <w:t>Sentencia desestimatoria.</w:t>
      </w:r>
      <w:bookmarkEnd w:id="15"/>
    </w:p>
    <w:p w:rsidR="00122356" w:rsidRPr="004D243B" w:rsidRDefault="00EC1BA4" w:rsidP="003109A1">
      <w:pPr>
        <w:pStyle w:val="Prrafodelista"/>
        <w:tabs>
          <w:tab w:val="left" w:pos="8640"/>
        </w:tabs>
        <w:spacing w:line="276" w:lineRule="auto"/>
        <w:ind w:left="0"/>
        <w:jc w:val="both"/>
        <w:outlineLvl w:val="1"/>
        <w:rPr>
          <w:rFonts w:ascii="Century Gothic" w:hAnsi="Century Gothic"/>
          <w:b/>
          <w:i/>
          <w:caps/>
          <w:sz w:val="26"/>
          <w:szCs w:val="26"/>
        </w:rPr>
      </w:pPr>
      <w:r w:rsidRPr="004D243B">
        <w:rPr>
          <w:rFonts w:ascii="Century Gothic" w:hAnsi="Century Gothic"/>
          <w:i/>
          <w:caps/>
        </w:rPr>
        <w:t xml:space="preserve"> </w:t>
      </w:r>
      <w:bookmarkStart w:id="16" w:name="_Toc325745099"/>
      <w:r w:rsidR="00122356" w:rsidRPr="004D243B">
        <w:rPr>
          <w:rFonts w:ascii="Century Gothic" w:hAnsi="Century Gothic"/>
          <w:b/>
          <w:i/>
          <w:caps/>
          <w:sz w:val="26"/>
          <w:szCs w:val="26"/>
        </w:rPr>
        <w:t>I.</w:t>
      </w:r>
      <w:r w:rsidRPr="004D243B">
        <w:rPr>
          <w:rFonts w:ascii="Century Gothic" w:hAnsi="Century Gothic"/>
          <w:b/>
          <w:i/>
          <w:caps/>
          <w:sz w:val="26"/>
          <w:szCs w:val="26"/>
        </w:rPr>
        <w:t xml:space="preserve"> </w:t>
      </w:r>
      <w:r w:rsidR="00122356" w:rsidRPr="004D243B">
        <w:rPr>
          <w:rFonts w:ascii="Century Gothic" w:hAnsi="Century Gothic"/>
          <w:b/>
          <w:i/>
          <w:caps/>
          <w:sz w:val="26"/>
          <w:szCs w:val="26"/>
        </w:rPr>
        <w:t>Formas de terminación anormal del proceso:</w:t>
      </w:r>
      <w:bookmarkEnd w:id="16"/>
    </w:p>
    <w:p w:rsidR="00E44DBC" w:rsidRPr="00B50E6F" w:rsidRDefault="00E44DBC" w:rsidP="003109A1">
      <w:pPr>
        <w:tabs>
          <w:tab w:val="left" w:pos="8640"/>
        </w:tabs>
        <w:spacing w:line="276" w:lineRule="auto"/>
        <w:jc w:val="both"/>
        <w:rPr>
          <w:rFonts w:ascii="Century Gothic" w:hAnsi="Century Gothic"/>
          <w:b/>
          <w:i/>
          <w:u w:val="single"/>
        </w:rPr>
      </w:pPr>
    </w:p>
    <w:p w:rsidR="00E44DBC" w:rsidRPr="00B50E6F" w:rsidRDefault="00E44DBC" w:rsidP="003109A1">
      <w:pPr>
        <w:pStyle w:val="Prrafodelista"/>
        <w:numPr>
          <w:ilvl w:val="0"/>
          <w:numId w:val="2"/>
        </w:numPr>
        <w:tabs>
          <w:tab w:val="left" w:pos="8640"/>
        </w:tabs>
        <w:spacing w:line="276" w:lineRule="auto"/>
        <w:ind w:left="0"/>
        <w:jc w:val="both"/>
        <w:rPr>
          <w:rFonts w:ascii="Century Gothic" w:hAnsi="Century Gothic"/>
          <w:b/>
          <w:i/>
          <w:u w:val="single"/>
        </w:rPr>
      </w:pPr>
      <w:r w:rsidRPr="00B50E6F">
        <w:rPr>
          <w:rFonts w:ascii="Century Gothic" w:hAnsi="Century Gothic"/>
          <w:b/>
          <w:i/>
          <w:u w:val="single"/>
        </w:rPr>
        <w:t>Inadmisibilidad.</w:t>
      </w:r>
    </w:p>
    <w:p w:rsidR="002526E7" w:rsidRPr="00385B23" w:rsidRDefault="002526E7" w:rsidP="003109A1">
      <w:pPr>
        <w:tabs>
          <w:tab w:val="left" w:pos="8640"/>
        </w:tabs>
        <w:spacing w:line="276" w:lineRule="auto"/>
        <w:jc w:val="both"/>
        <w:rPr>
          <w:rFonts w:ascii="Century Gothic" w:hAnsi="Century Gothic"/>
          <w:lang w:val="es-ES"/>
        </w:rPr>
      </w:pPr>
      <w:r w:rsidRPr="00B50E6F">
        <w:rPr>
          <w:rFonts w:ascii="Century Gothic" w:hAnsi="Century Gothic"/>
        </w:rPr>
        <w:t xml:space="preserve">La Inadmisibilidad está establecida en la ley procesal constitucional en el </w:t>
      </w:r>
      <w:r w:rsidR="00322B3C" w:rsidRPr="00B50E6F">
        <w:rPr>
          <w:rFonts w:ascii="Century Gothic" w:hAnsi="Century Gothic"/>
        </w:rPr>
        <w:t>artículo</w:t>
      </w:r>
      <w:r w:rsidR="00322B3C">
        <w:rPr>
          <w:rFonts w:ascii="Century Gothic" w:hAnsi="Century Gothic"/>
        </w:rPr>
        <w:t xml:space="preserve"> 18 de la L.Pr Cn</w:t>
      </w:r>
      <w:r w:rsidR="00385B23">
        <w:rPr>
          <w:rFonts w:ascii="Century Gothic" w:hAnsi="Century Gothic"/>
        </w:rPr>
        <w:t xml:space="preserve">, </w:t>
      </w:r>
      <w:r w:rsidR="00322B3C" w:rsidRPr="00322B3C">
        <w:rPr>
          <w:rFonts w:ascii="Century Gothic" w:hAnsi="Century Gothic"/>
          <w:lang w:val="es-ES"/>
        </w:rPr>
        <w:t xml:space="preserve">El no cumplimiento de la prevención en el plazo legal provoca la </w:t>
      </w:r>
      <w:r w:rsidR="00322B3C" w:rsidRPr="00322B3C">
        <w:rPr>
          <w:rFonts w:ascii="Century Gothic" w:hAnsi="Century Gothic"/>
          <w:i/>
          <w:iCs/>
          <w:lang w:val="es-ES"/>
        </w:rPr>
        <w:t>inadmisión de la demanda</w:t>
      </w:r>
      <w:r w:rsidR="00322B3C" w:rsidRPr="00322B3C">
        <w:rPr>
          <w:rFonts w:ascii="Century Gothic" w:hAnsi="Century Gothic"/>
          <w:lang w:val="es-ES"/>
        </w:rPr>
        <w:t>: “Luego</w:t>
      </w:r>
      <w:r w:rsidR="00385B23">
        <w:rPr>
          <w:rFonts w:ascii="Century Gothic" w:hAnsi="Century Gothic"/>
          <w:lang w:val="es-ES"/>
        </w:rPr>
        <w:t xml:space="preserve"> </w:t>
      </w:r>
      <w:r w:rsidR="00322B3C" w:rsidRPr="00322B3C">
        <w:rPr>
          <w:rFonts w:ascii="Century Gothic" w:hAnsi="Century Gothic"/>
          <w:lang w:val="es-ES"/>
        </w:rPr>
        <w:t>de verificarse el plazo que prescribe el artículo 18 L. Pr. Cn., sin que el actor haya subsanado las prevenciones</w:t>
      </w:r>
      <w:r w:rsidR="00385B23">
        <w:rPr>
          <w:rFonts w:ascii="Century Gothic" w:hAnsi="Century Gothic"/>
          <w:lang w:val="es-ES"/>
        </w:rPr>
        <w:t xml:space="preserve"> </w:t>
      </w:r>
      <w:r w:rsidR="00322B3C" w:rsidRPr="00322B3C">
        <w:rPr>
          <w:rFonts w:ascii="Century Gothic" w:hAnsi="Century Gothic"/>
          <w:lang w:val="es-ES"/>
        </w:rPr>
        <w:t>que se le hiciesen, debe declararse la inadmisib</w:t>
      </w:r>
      <w:r w:rsidR="00385B23">
        <w:rPr>
          <w:rFonts w:ascii="Century Gothic" w:hAnsi="Century Gothic"/>
          <w:lang w:val="es-ES"/>
        </w:rPr>
        <w:t xml:space="preserve">ilidad de la demanda presentada; </w:t>
      </w:r>
      <w:r w:rsidRPr="00B50E6F">
        <w:rPr>
          <w:rFonts w:ascii="Century Gothic" w:hAnsi="Century Gothic"/>
        </w:rPr>
        <w:t xml:space="preserve">y esto quiere decir que si la demanda presentada no cumple con  los requisitos de fondo, la demanda es declarada inadmisible, pero si carece de requisitos formales se realizará una  prevención, la cual de no cumplirla dentro del plazo legal o cumpliéndola en tiempo,  no subsana lo esencial de la prevención, provoca la inadmisibilidad, sin discutir el fondo de la cuestión planteada. </w:t>
      </w:r>
    </w:p>
    <w:p w:rsidR="002526E7" w:rsidRPr="00B50E6F" w:rsidRDefault="002526E7" w:rsidP="003109A1">
      <w:pPr>
        <w:tabs>
          <w:tab w:val="left" w:pos="8640"/>
        </w:tabs>
        <w:spacing w:line="276" w:lineRule="auto"/>
        <w:jc w:val="both"/>
        <w:rPr>
          <w:rFonts w:ascii="Century Gothic" w:hAnsi="Century Gothic"/>
        </w:rPr>
      </w:pPr>
      <w:r w:rsidRPr="00B50E6F">
        <w:rPr>
          <w:rFonts w:ascii="Century Gothic" w:hAnsi="Century Gothic"/>
        </w:rPr>
        <w:t>A partir de aquí notamos dos posturas respecto de la inadmisibilidad una subsanable y otra no subsanable y es pues que estas cuestiones se refieren a:</w:t>
      </w:r>
    </w:p>
    <w:p w:rsidR="00F41676" w:rsidRPr="00B50E6F" w:rsidRDefault="002526E7" w:rsidP="003109A1">
      <w:pPr>
        <w:tabs>
          <w:tab w:val="left" w:pos="8640"/>
        </w:tabs>
        <w:spacing w:line="276" w:lineRule="auto"/>
        <w:jc w:val="both"/>
        <w:rPr>
          <w:rFonts w:ascii="Century Gothic" w:hAnsi="Century Gothic"/>
        </w:rPr>
      </w:pPr>
      <w:r w:rsidRPr="00B50E6F">
        <w:rPr>
          <w:rFonts w:ascii="Century Gothic" w:hAnsi="Century Gothic"/>
        </w:rPr>
        <w:t xml:space="preserve">a) Requisitos de Fondo, constituidos por la configuración de los elementos de la pretensión constitucional del requirente; </w:t>
      </w:r>
      <w:r w:rsidR="007A413B" w:rsidRPr="00B50E6F">
        <w:rPr>
          <w:rFonts w:ascii="Century Gothic" w:hAnsi="Century Gothic"/>
        </w:rPr>
        <w:t xml:space="preserve"> en este puede darse que </w:t>
      </w:r>
      <w:r w:rsidR="004E1B53" w:rsidRPr="00B50E6F">
        <w:rPr>
          <w:rFonts w:ascii="Century Gothic" w:hAnsi="Century Gothic"/>
        </w:rPr>
        <w:t>el caso que la queja o pretensión interpuesta es ineficaz de determinar con certeza y de poder  establecer la norma concreta o específic</w:t>
      </w:r>
      <w:r w:rsidR="001B3611">
        <w:rPr>
          <w:rFonts w:ascii="Century Gothic" w:hAnsi="Century Gothic"/>
        </w:rPr>
        <w:t>amente lo que se está pidiendo</w:t>
      </w:r>
      <w:r w:rsidR="004E1B53" w:rsidRPr="00B50E6F">
        <w:rPr>
          <w:rFonts w:ascii="Century Gothic" w:hAnsi="Century Gothic"/>
        </w:rPr>
        <w:t>.</w:t>
      </w:r>
    </w:p>
    <w:p w:rsidR="002526E7" w:rsidRPr="00B50E6F" w:rsidRDefault="002526E7" w:rsidP="003109A1">
      <w:pPr>
        <w:tabs>
          <w:tab w:val="left" w:pos="8640"/>
        </w:tabs>
        <w:spacing w:line="276" w:lineRule="auto"/>
        <w:jc w:val="both"/>
        <w:rPr>
          <w:rFonts w:ascii="Century Gothic" w:hAnsi="Century Gothic"/>
        </w:rPr>
      </w:pPr>
      <w:r w:rsidRPr="00B50E6F">
        <w:rPr>
          <w:rFonts w:ascii="Century Gothic" w:hAnsi="Century Gothic"/>
        </w:rPr>
        <w:t>b) Requisitos de Forma, como consecuencia de la oscuridad en la demanda existirá una prevención, verbigracia exponer el contenido jurídico del parámetro y objeto de control o definir el tipo de vicio de inconstitucionalidad que acusa.</w:t>
      </w:r>
    </w:p>
    <w:p w:rsidR="00C6626F" w:rsidRDefault="008733C9" w:rsidP="003109A1">
      <w:pPr>
        <w:tabs>
          <w:tab w:val="left" w:pos="8640"/>
        </w:tabs>
        <w:spacing w:line="276" w:lineRule="auto"/>
        <w:jc w:val="both"/>
        <w:rPr>
          <w:rFonts w:ascii="Century Gothic" w:hAnsi="Century Gothic"/>
        </w:rPr>
      </w:pPr>
      <w:r w:rsidRPr="00B50E6F">
        <w:rPr>
          <w:rFonts w:ascii="Century Gothic" w:hAnsi="Century Gothic"/>
        </w:rPr>
        <w:t>Resolución de la Sala de lo constitucional, de las 10 h</w:t>
      </w:r>
      <w:r w:rsidR="001B3611">
        <w:rPr>
          <w:rFonts w:ascii="Century Gothic" w:hAnsi="Century Gothic"/>
        </w:rPr>
        <w:t>oras</w:t>
      </w:r>
      <w:r w:rsidRPr="00B50E6F">
        <w:rPr>
          <w:rFonts w:ascii="Century Gothic" w:hAnsi="Century Gothic"/>
        </w:rPr>
        <w:t xml:space="preserve"> del 6 de enero de 2010, en el proceso de inconstitucionalidad 45-2009 “ (…) cuando no se cumple con los requisitos establecidos en el artículo 6 de la Ley de </w:t>
      </w:r>
      <w:r w:rsidRPr="00B50E6F">
        <w:rPr>
          <w:rFonts w:ascii="Century Gothic" w:hAnsi="Century Gothic"/>
        </w:rPr>
        <w:lastRenderedPageBreak/>
        <w:t xml:space="preserve">Procedimientos Constitucionales, o, en el caso de haber sido advertidos por esta Sala, no corregir, en tiempo y forma, la prevención realizada,  situaciones que generan imposibilidad absoluta de conocer el caso planteado, es decir, aunque también se ha utilizado por falta de legitimación activa. </w:t>
      </w:r>
      <w:r w:rsidR="00385B23">
        <w:rPr>
          <w:rFonts w:ascii="Century Gothic" w:hAnsi="Century Gothic"/>
        </w:rPr>
        <w:t>Por ello para la configuración de la pretensión en el proceso de inconstitucionalidad no basta, ni es suficiente la cita o referencia general a las disposiciones legales impugnadas sino que deben precisarse con claridad los motivos o argumentos tendentes a evidenciar la inconstitucionalidad aducida puesto que de no ser asi la petición se declarara inadmisible.</w:t>
      </w:r>
    </w:p>
    <w:p w:rsidR="00D84733" w:rsidRDefault="00D84733" w:rsidP="003109A1">
      <w:pPr>
        <w:tabs>
          <w:tab w:val="left" w:pos="8640"/>
        </w:tabs>
        <w:spacing w:line="276" w:lineRule="auto"/>
        <w:jc w:val="both"/>
        <w:rPr>
          <w:rFonts w:ascii="Century Gothic" w:hAnsi="Century Gothic"/>
        </w:rPr>
      </w:pPr>
      <w:r>
        <w:rPr>
          <w:rFonts w:ascii="Century Gothic" w:hAnsi="Century Gothic"/>
        </w:rPr>
        <w:t>Es así que el no cumplimiento de la prevención en el plazo legal provoca la inadmisión de la demanda; luego de verificarse el plazo que prescribe el Articulo 18 L.Pr.Cn., sin que el actor haya subsanado las prevenciones que se le hiciesen, debe declararse la inadmisibilidad de la demanda presentada por el ciudadano mediante la cual solicita se declare la inconstitucionalidad.</w:t>
      </w:r>
    </w:p>
    <w:p w:rsidR="00322B3C" w:rsidRPr="00322B3C" w:rsidRDefault="00322B3C" w:rsidP="003109A1">
      <w:pPr>
        <w:tabs>
          <w:tab w:val="left" w:pos="8640"/>
        </w:tabs>
        <w:spacing w:line="276" w:lineRule="auto"/>
        <w:jc w:val="both"/>
        <w:rPr>
          <w:rFonts w:ascii="Century Gothic" w:hAnsi="Century Gothic"/>
          <w:lang w:val="es-ES"/>
        </w:rPr>
      </w:pPr>
      <w:r w:rsidRPr="00322B3C">
        <w:rPr>
          <w:rFonts w:ascii="Century Gothic" w:hAnsi="Century Gothic"/>
          <w:lang w:val="es-ES"/>
        </w:rPr>
        <w:t>En cuanto al incumplimiento de los elementos que configuran la pretensión de inconstitucionalidad,</w:t>
      </w:r>
      <w:r>
        <w:rPr>
          <w:rFonts w:ascii="Century Gothic" w:hAnsi="Century Gothic"/>
          <w:lang w:val="es-ES"/>
        </w:rPr>
        <w:t xml:space="preserve"> r</w:t>
      </w:r>
      <w:r w:rsidRPr="00322B3C">
        <w:rPr>
          <w:rFonts w:ascii="Century Gothic" w:hAnsi="Century Gothic"/>
          <w:lang w:val="es-ES"/>
        </w:rPr>
        <w:t>eiterada jurisprudencia de este tribunal ha sostenido, de conformidad con el art. 18 de la L. Pr. Cn. –aplicado por</w:t>
      </w:r>
      <w:r>
        <w:rPr>
          <w:rFonts w:ascii="Century Gothic" w:hAnsi="Century Gothic"/>
          <w:lang w:val="es-ES"/>
        </w:rPr>
        <w:t xml:space="preserve"> </w:t>
      </w:r>
      <w:r w:rsidRPr="00322B3C">
        <w:rPr>
          <w:rFonts w:ascii="Century Gothic" w:hAnsi="Century Gothic"/>
          <w:lang w:val="es-ES"/>
        </w:rPr>
        <w:t>autointegración en el proceso de inconstitucionalidad–, que tales vicios dan origen a las prevenciones pertinentes</w:t>
      </w:r>
      <w:r>
        <w:rPr>
          <w:rFonts w:ascii="Century Gothic" w:hAnsi="Century Gothic"/>
          <w:lang w:val="es-ES"/>
        </w:rPr>
        <w:t xml:space="preserve"> </w:t>
      </w:r>
      <w:r w:rsidRPr="00322B3C">
        <w:rPr>
          <w:rFonts w:ascii="Century Gothic" w:hAnsi="Century Gothic"/>
          <w:lang w:val="es-ES"/>
        </w:rPr>
        <w:t>a fin de delimitar el objeto del proceso, en el entendido que las mismas constituyen una advertencia sobre la</w:t>
      </w:r>
      <w:r>
        <w:rPr>
          <w:rFonts w:ascii="Century Gothic" w:hAnsi="Century Gothic"/>
          <w:lang w:val="es-ES"/>
        </w:rPr>
        <w:t xml:space="preserve"> </w:t>
      </w:r>
      <w:r w:rsidRPr="00322B3C">
        <w:rPr>
          <w:rFonts w:ascii="Century Gothic" w:hAnsi="Century Gothic"/>
          <w:lang w:val="es-ES"/>
        </w:rPr>
        <w:t>irregularidad en la configuración de la pretensión, habilitando en el actor la posibilidad de subsanarla. Al no</w:t>
      </w:r>
      <w:r>
        <w:rPr>
          <w:rFonts w:ascii="Century Gothic" w:hAnsi="Century Gothic"/>
          <w:lang w:val="es-ES"/>
        </w:rPr>
        <w:t xml:space="preserve"> </w:t>
      </w:r>
      <w:r w:rsidRPr="00322B3C">
        <w:rPr>
          <w:rFonts w:ascii="Century Gothic" w:hAnsi="Century Gothic"/>
          <w:lang w:val="es-ES"/>
        </w:rPr>
        <w:t>atender tal advertencia o, si pretendiendo subsanarla, el actor no elimina la irregularidad, se genera en esta Sala</w:t>
      </w:r>
      <w:r>
        <w:rPr>
          <w:rFonts w:ascii="Century Gothic" w:hAnsi="Century Gothic"/>
          <w:lang w:val="es-ES"/>
        </w:rPr>
        <w:t xml:space="preserve"> </w:t>
      </w:r>
      <w:r w:rsidRPr="00322B3C">
        <w:rPr>
          <w:rFonts w:ascii="Century Gothic" w:hAnsi="Century Gothic"/>
          <w:lang w:val="es-ES"/>
        </w:rPr>
        <w:t>la imposibilidad de juzgar por no encontrarse configurado uno de los elementos esenciales del objeto del</w:t>
      </w:r>
      <w:r>
        <w:rPr>
          <w:rFonts w:ascii="Century Gothic" w:hAnsi="Century Gothic"/>
          <w:lang w:val="es-ES"/>
        </w:rPr>
        <w:t xml:space="preserve"> </w:t>
      </w:r>
      <w:r w:rsidRPr="00322B3C">
        <w:rPr>
          <w:rFonts w:ascii="Century Gothic" w:hAnsi="Century Gothic"/>
          <w:lang w:val="es-ES"/>
        </w:rPr>
        <w:t>proceso; situación con la cual se verifica el supuesto que prescribe la disposición referida, la cual ordena que la</w:t>
      </w:r>
      <w:r>
        <w:rPr>
          <w:rFonts w:ascii="Century Gothic" w:hAnsi="Century Gothic"/>
          <w:lang w:val="es-ES"/>
        </w:rPr>
        <w:t xml:space="preserve"> </w:t>
      </w:r>
      <w:r w:rsidRPr="00322B3C">
        <w:rPr>
          <w:rFonts w:ascii="Century Gothic" w:hAnsi="Century Gothic"/>
          <w:lang w:val="es-ES"/>
        </w:rPr>
        <w:t xml:space="preserve">falta de aclaración de la prevención produce el rechazo liminar de la demanda bajo </w:t>
      </w:r>
      <w:r>
        <w:rPr>
          <w:rFonts w:ascii="Century Gothic" w:hAnsi="Century Gothic"/>
          <w:lang w:val="es-ES"/>
        </w:rPr>
        <w:t>la figura de la inadmisibilidad.</w:t>
      </w:r>
    </w:p>
    <w:p w:rsidR="00B50E6F" w:rsidRPr="00B50E6F" w:rsidRDefault="00B50E6F" w:rsidP="003109A1">
      <w:pPr>
        <w:tabs>
          <w:tab w:val="left" w:pos="8640"/>
        </w:tabs>
        <w:spacing w:line="276" w:lineRule="auto"/>
        <w:jc w:val="both"/>
        <w:rPr>
          <w:rFonts w:ascii="Century Gothic" w:hAnsi="Century Gothic"/>
        </w:rPr>
      </w:pPr>
    </w:p>
    <w:p w:rsidR="00E44DBC" w:rsidRPr="00B50E6F" w:rsidRDefault="00E44DBC" w:rsidP="003109A1">
      <w:pPr>
        <w:pStyle w:val="Prrafodelista"/>
        <w:numPr>
          <w:ilvl w:val="0"/>
          <w:numId w:val="2"/>
        </w:numPr>
        <w:tabs>
          <w:tab w:val="left" w:pos="8640"/>
        </w:tabs>
        <w:spacing w:line="276" w:lineRule="auto"/>
        <w:ind w:left="0"/>
        <w:jc w:val="both"/>
        <w:rPr>
          <w:rFonts w:ascii="Century Gothic" w:hAnsi="Century Gothic"/>
          <w:b/>
          <w:i/>
          <w:u w:val="single"/>
        </w:rPr>
      </w:pPr>
      <w:r w:rsidRPr="00B50E6F">
        <w:rPr>
          <w:rFonts w:ascii="Century Gothic" w:hAnsi="Century Gothic"/>
          <w:b/>
          <w:i/>
          <w:u w:val="single"/>
        </w:rPr>
        <w:t>Improcedencia.</w:t>
      </w:r>
    </w:p>
    <w:p w:rsidR="005D42DB" w:rsidRPr="005D42DB" w:rsidRDefault="005D42DB" w:rsidP="003109A1">
      <w:pPr>
        <w:autoSpaceDE w:val="0"/>
        <w:autoSpaceDN w:val="0"/>
        <w:adjustRightInd w:val="0"/>
        <w:spacing w:line="276" w:lineRule="auto"/>
        <w:jc w:val="both"/>
        <w:rPr>
          <w:rFonts w:ascii="Century Gothic" w:hAnsi="Century Gothic" w:cs="Arial"/>
          <w:lang w:val="es-ES"/>
        </w:rPr>
      </w:pPr>
      <w:r w:rsidRPr="005D42DB">
        <w:rPr>
          <w:rFonts w:ascii="Century Gothic" w:hAnsi="Century Gothic" w:cs="Arial"/>
          <w:lang w:val="es-ES"/>
        </w:rPr>
        <w:t>Si se trata de un vicio sustancial re</w:t>
      </w:r>
      <w:r>
        <w:rPr>
          <w:rFonts w:ascii="Century Gothic" w:hAnsi="Century Gothic" w:cs="Arial"/>
          <w:lang w:val="es-ES"/>
        </w:rPr>
        <w:t>lativo a la configuración de</w:t>
      </w:r>
      <w:r w:rsidR="00823C11">
        <w:rPr>
          <w:rFonts w:ascii="Century Gothic" w:hAnsi="Century Gothic" w:cs="Arial"/>
          <w:lang w:val="es-ES"/>
        </w:rPr>
        <w:t xml:space="preserve"> </w:t>
      </w:r>
      <w:r w:rsidRPr="005D42DB">
        <w:rPr>
          <w:rFonts w:ascii="Century Gothic" w:hAnsi="Century Gothic" w:cs="Arial"/>
          <w:lang w:val="es-ES"/>
        </w:rPr>
        <w:t xml:space="preserve">pretensión, ello da lugar a un rechazo liminar por </w:t>
      </w:r>
      <w:r w:rsidRPr="005D42DB">
        <w:rPr>
          <w:rFonts w:ascii="Century Gothic" w:hAnsi="Century Gothic" w:cs="Arial"/>
          <w:i/>
          <w:iCs/>
          <w:lang w:val="es-ES"/>
        </w:rPr>
        <w:t>improcedencia</w:t>
      </w:r>
      <w:r>
        <w:rPr>
          <w:rFonts w:ascii="Century Gothic" w:hAnsi="Century Gothic" w:cs="Arial"/>
          <w:i/>
          <w:iCs/>
          <w:lang w:val="es-ES"/>
        </w:rPr>
        <w:t>.</w:t>
      </w:r>
    </w:p>
    <w:p w:rsidR="00B50544" w:rsidRPr="00B50E6F" w:rsidRDefault="007A413B" w:rsidP="003109A1">
      <w:pPr>
        <w:tabs>
          <w:tab w:val="left" w:pos="8640"/>
        </w:tabs>
        <w:spacing w:line="276" w:lineRule="auto"/>
        <w:jc w:val="both"/>
        <w:rPr>
          <w:rFonts w:ascii="Century Gothic" w:hAnsi="Century Gothic"/>
        </w:rPr>
      </w:pPr>
      <w:r w:rsidRPr="00B50E6F">
        <w:rPr>
          <w:rFonts w:ascii="Century Gothic" w:hAnsi="Century Gothic"/>
        </w:rPr>
        <w:t xml:space="preserve">Está tiene susceptibles diferencias respecto de su predecesora puesto que su objeto de </w:t>
      </w:r>
      <w:r w:rsidR="00BE15B2" w:rsidRPr="00B50E6F">
        <w:rPr>
          <w:rFonts w:ascii="Century Gothic" w:hAnsi="Century Gothic"/>
        </w:rPr>
        <w:t xml:space="preserve">análisis de la pretensión respecto de su improcedencia trasciende un poco más al punto de examinar si existe uno de los puntos antes mencionado como es el objeto de control, o incluso examinar errores </w:t>
      </w:r>
      <w:r w:rsidR="00BE15B2" w:rsidRPr="00B50E6F">
        <w:rPr>
          <w:rFonts w:ascii="Century Gothic" w:hAnsi="Century Gothic"/>
        </w:rPr>
        <w:lastRenderedPageBreak/>
        <w:t xml:space="preserve">de derecho, suplencia de queja deficiente </w:t>
      </w:r>
      <w:r w:rsidR="000D0654" w:rsidRPr="00B50E6F">
        <w:rPr>
          <w:rFonts w:ascii="Century Gothic" w:hAnsi="Century Gothic"/>
        </w:rPr>
        <w:t>o incluso antinomias existentes entre normas.</w:t>
      </w:r>
    </w:p>
    <w:p w:rsidR="00EC4BC5" w:rsidRPr="00B50E6F" w:rsidRDefault="005D42DB" w:rsidP="003109A1">
      <w:pPr>
        <w:tabs>
          <w:tab w:val="left" w:pos="8640"/>
        </w:tabs>
        <w:spacing w:line="276" w:lineRule="auto"/>
        <w:jc w:val="both"/>
        <w:rPr>
          <w:rFonts w:ascii="Century Gothic" w:hAnsi="Century Gothic"/>
        </w:rPr>
      </w:pPr>
      <w:r>
        <w:rPr>
          <w:rFonts w:ascii="Century Gothic" w:hAnsi="Century Gothic"/>
        </w:rPr>
        <w:t xml:space="preserve">Es </w:t>
      </w:r>
      <w:r w:rsidR="00EC4BC5" w:rsidRPr="00B50E6F">
        <w:rPr>
          <w:rFonts w:ascii="Century Gothic" w:hAnsi="Century Gothic"/>
        </w:rPr>
        <w:t>motivada por defectos en la conﬁguración de la pretensión de inconstitucionalidad advertidos  in limine litis ,  en la falta de legitimación activa,  o por la declaración previa de inconstitucionalidad de las disposiciones impugnadas si la prevención no es atendida, es atendida extemporánea o defectuosamente, debe  declararse inadmisible la demanda imposibilitando el pronunciamiento respecto de la pretensión.</w:t>
      </w:r>
    </w:p>
    <w:p w:rsidR="007A413B" w:rsidRPr="005D42DB" w:rsidRDefault="007A413B" w:rsidP="003109A1">
      <w:pPr>
        <w:autoSpaceDE w:val="0"/>
        <w:autoSpaceDN w:val="0"/>
        <w:adjustRightInd w:val="0"/>
        <w:spacing w:line="276" w:lineRule="auto"/>
        <w:rPr>
          <w:rFonts w:ascii="Arial" w:hAnsi="Arial" w:cs="Arial"/>
          <w:i/>
          <w:iCs/>
          <w:sz w:val="17"/>
          <w:szCs w:val="17"/>
          <w:lang w:val="es-ES"/>
        </w:rPr>
      </w:pPr>
      <w:r w:rsidRPr="00B50E6F">
        <w:rPr>
          <w:rFonts w:ascii="Century Gothic" w:hAnsi="Century Gothic"/>
        </w:rPr>
        <w:t xml:space="preserve">La existencia de un vicio relacionado con la pretensión del actor, da lugar a la improcedencia de la demanda, así encontramos las causas que la generan: </w:t>
      </w:r>
    </w:p>
    <w:p w:rsidR="007A413B" w:rsidRPr="00EA0FEF" w:rsidRDefault="007D7A9B" w:rsidP="003109A1">
      <w:pPr>
        <w:tabs>
          <w:tab w:val="left" w:pos="8640"/>
        </w:tabs>
        <w:spacing w:line="276" w:lineRule="auto"/>
        <w:jc w:val="both"/>
        <w:rPr>
          <w:rFonts w:ascii="Century Gothic" w:hAnsi="Century Gothic"/>
        </w:rPr>
      </w:pPr>
      <w:r w:rsidRPr="00EA0FEF">
        <w:rPr>
          <w:rFonts w:ascii="Century Gothic" w:hAnsi="Century Gothic"/>
        </w:rPr>
        <w:t xml:space="preserve">a) </w:t>
      </w:r>
      <w:r w:rsidR="007A413B" w:rsidRPr="00EA0FEF">
        <w:rPr>
          <w:rFonts w:ascii="Century Gothic" w:hAnsi="Century Gothic"/>
        </w:rPr>
        <w:t xml:space="preserve">El sometimiento al control de una disposición </w:t>
      </w:r>
      <w:r w:rsidR="007A413B" w:rsidRPr="00EA0FEF">
        <w:rPr>
          <w:rFonts w:ascii="Century Gothic" w:hAnsi="Century Gothic"/>
          <w:i/>
          <w:u w:val="single"/>
        </w:rPr>
        <w:t>derogada</w:t>
      </w:r>
      <w:r w:rsidR="009549AF" w:rsidRPr="00EA0FEF">
        <w:rPr>
          <w:rFonts w:ascii="Century Gothic" w:hAnsi="Century Gothic"/>
          <w:i/>
          <w:u w:val="single"/>
        </w:rPr>
        <w:t>:</w:t>
      </w:r>
    </w:p>
    <w:p w:rsidR="00DA1F51" w:rsidRPr="00B50E6F" w:rsidRDefault="00EA0FEF" w:rsidP="003109A1">
      <w:pPr>
        <w:tabs>
          <w:tab w:val="left" w:pos="8640"/>
        </w:tabs>
        <w:spacing w:line="276" w:lineRule="auto"/>
        <w:jc w:val="both"/>
        <w:rPr>
          <w:rFonts w:ascii="Century Gothic" w:hAnsi="Century Gothic"/>
        </w:rPr>
      </w:pPr>
      <w:r w:rsidRPr="00EA0FEF">
        <w:rPr>
          <w:rFonts w:ascii="Century Gothic" w:hAnsi="Century Gothic"/>
          <w:lang w:val="es-ES"/>
        </w:rPr>
        <w:t>Si se trata de un vicio sustancial relativo a la configuración de la pretensión, ello da lugar a un</w:t>
      </w:r>
      <w:r w:rsidR="00DA1F51">
        <w:rPr>
          <w:rFonts w:ascii="Century Gothic" w:hAnsi="Century Gothic"/>
          <w:lang w:val="es-ES"/>
        </w:rPr>
        <w:t xml:space="preserve"> </w:t>
      </w:r>
      <w:r w:rsidRPr="00EA0FEF">
        <w:rPr>
          <w:rFonts w:ascii="Century Gothic" w:hAnsi="Century Gothic"/>
          <w:lang w:val="es-ES"/>
        </w:rPr>
        <w:t xml:space="preserve">rechazo liminar por </w:t>
      </w:r>
      <w:r w:rsidRPr="00EA0FEF">
        <w:rPr>
          <w:rFonts w:ascii="Century Gothic" w:hAnsi="Century Gothic"/>
          <w:i/>
          <w:iCs/>
          <w:lang w:val="es-ES"/>
        </w:rPr>
        <w:t xml:space="preserve">improcedencia, </w:t>
      </w:r>
      <w:r w:rsidRPr="00EA0FEF">
        <w:rPr>
          <w:rFonts w:ascii="Century Gothic" w:hAnsi="Century Gothic"/>
          <w:lang w:val="es-ES"/>
        </w:rPr>
        <w:t xml:space="preserve">y por tal vicio se considera </w:t>
      </w:r>
      <w:r w:rsidRPr="00EA0FEF">
        <w:rPr>
          <w:rFonts w:ascii="Century Gothic" w:hAnsi="Century Gothic"/>
          <w:i/>
          <w:iCs/>
          <w:lang w:val="es-ES"/>
        </w:rPr>
        <w:t>la impugnación de una disposición derogada</w:t>
      </w:r>
      <w:r w:rsidR="00DA1F51">
        <w:rPr>
          <w:rFonts w:ascii="Century Gothic" w:hAnsi="Century Gothic"/>
          <w:lang w:val="es-ES"/>
        </w:rPr>
        <w:t xml:space="preserve"> pues ya perdió </w:t>
      </w:r>
      <w:r w:rsidR="00DA1F51" w:rsidRPr="00DA1F51">
        <w:rPr>
          <w:rFonts w:ascii="Century Gothic" w:hAnsi="Century Gothic"/>
          <w:lang w:val="es-ES"/>
        </w:rPr>
        <w:t>fuerza normativa y vigencia</w:t>
      </w:r>
      <w:r w:rsidR="00DA1F51">
        <w:rPr>
          <w:rFonts w:ascii="Century Gothic" w:hAnsi="Century Gothic"/>
          <w:lang w:val="es-ES"/>
        </w:rPr>
        <w:t>.</w:t>
      </w:r>
    </w:p>
    <w:p w:rsidR="002A2821" w:rsidRPr="00B50E6F" w:rsidRDefault="002A2821" w:rsidP="003109A1">
      <w:pPr>
        <w:tabs>
          <w:tab w:val="left" w:pos="8640"/>
        </w:tabs>
        <w:spacing w:line="276" w:lineRule="auto"/>
        <w:jc w:val="both"/>
        <w:rPr>
          <w:rFonts w:ascii="Century Gothic" w:hAnsi="Century Gothic"/>
        </w:rPr>
      </w:pPr>
      <w:r w:rsidRPr="00B50E6F">
        <w:rPr>
          <w:rFonts w:ascii="Century Gothic" w:hAnsi="Century Gothic"/>
        </w:rPr>
        <w:t>Ya la sala se ha manifestado respecto de este punto que</w:t>
      </w:r>
      <w:r w:rsidRPr="00B50E6F">
        <w:rPr>
          <w:rFonts w:ascii="Century Gothic" w:hAnsi="Century Gothic"/>
          <w:i/>
        </w:rPr>
        <w:t xml:space="preserve"> </w:t>
      </w:r>
      <w:r w:rsidR="00EC351C" w:rsidRPr="00B50E6F">
        <w:rPr>
          <w:rFonts w:ascii="Century Gothic" w:hAnsi="Century Gothic"/>
          <w:i/>
        </w:rPr>
        <w:t>“</w:t>
      </w:r>
      <w:r w:rsidRPr="00B50E6F">
        <w:rPr>
          <w:rFonts w:ascii="Century Gothic" w:hAnsi="Century Gothic"/>
          <w:i/>
        </w:rPr>
        <w:t>si la disposición objeto de control ya ha sido derogada al momento de iniciarse el proceso, se derogó durante el desarrollo del mismo o ha sido expulsada del ordenamiento jurídico, mediante el pronunciamiento general y obligatorio de este tribunal, el objeto de control ha dejado de existir y, en consecuencia, el proceso carece de finalidad, y no habría sustrato material sobre el cual pronunciarse</w:t>
      </w:r>
      <w:r w:rsidR="00EC351C" w:rsidRPr="00B50E6F">
        <w:rPr>
          <w:rFonts w:ascii="Century Gothic" w:hAnsi="Century Gothic"/>
          <w:i/>
        </w:rPr>
        <w:t>”</w:t>
      </w:r>
      <w:r w:rsidRPr="00B50E6F">
        <w:rPr>
          <w:rFonts w:ascii="Century Gothic" w:hAnsi="Century Gothic"/>
          <w:i/>
        </w:rPr>
        <w:t>.</w:t>
      </w:r>
      <w:r w:rsidRPr="00B50E6F">
        <w:rPr>
          <w:rStyle w:val="Refdenotaalpie"/>
          <w:rFonts w:ascii="Century Gothic" w:hAnsi="Century Gothic"/>
          <w:i/>
        </w:rPr>
        <w:footnoteReference w:id="5"/>
      </w:r>
    </w:p>
    <w:p w:rsidR="009549AF" w:rsidRPr="00B50E6F" w:rsidRDefault="009549AF" w:rsidP="003109A1">
      <w:pPr>
        <w:tabs>
          <w:tab w:val="left" w:pos="8640"/>
        </w:tabs>
        <w:spacing w:line="276" w:lineRule="auto"/>
        <w:jc w:val="both"/>
        <w:rPr>
          <w:rFonts w:ascii="Century Gothic" w:hAnsi="Century Gothic"/>
        </w:rPr>
      </w:pPr>
    </w:p>
    <w:p w:rsidR="0037547D" w:rsidRPr="0037547D" w:rsidRDefault="002A2821" w:rsidP="003109A1">
      <w:pPr>
        <w:tabs>
          <w:tab w:val="left" w:pos="8640"/>
        </w:tabs>
        <w:spacing w:line="276" w:lineRule="auto"/>
        <w:jc w:val="both"/>
        <w:rPr>
          <w:rFonts w:ascii="Century Gothic" w:hAnsi="Century Gothic"/>
          <w:color w:val="000000" w:themeColor="text1"/>
        </w:rPr>
      </w:pPr>
      <w:r w:rsidRPr="00B50E6F">
        <w:rPr>
          <w:rFonts w:ascii="Century Gothic" w:hAnsi="Century Gothic"/>
        </w:rPr>
        <w:t xml:space="preserve">b)  </w:t>
      </w:r>
      <w:r w:rsidR="0037547D" w:rsidRPr="0037547D">
        <w:rPr>
          <w:rFonts w:ascii="Century Gothic" w:hAnsi="Century Gothic"/>
          <w:color w:val="000000" w:themeColor="text1"/>
          <w:lang w:val="es-ES"/>
        </w:rPr>
        <w:t xml:space="preserve">También provoca la improcedencia el </w:t>
      </w:r>
      <w:r w:rsidR="0037547D" w:rsidRPr="0037547D">
        <w:rPr>
          <w:rFonts w:ascii="Century Gothic" w:hAnsi="Century Gothic"/>
          <w:i/>
          <w:iCs/>
          <w:color w:val="000000" w:themeColor="text1"/>
          <w:lang w:val="es-ES"/>
        </w:rPr>
        <w:t>planteamiento de una pretensión sobre un asunto ya decidido por sentencia de fondo</w:t>
      </w:r>
      <w:r w:rsidR="0037547D" w:rsidRPr="0037547D">
        <w:rPr>
          <w:rFonts w:ascii="Century Gothic" w:hAnsi="Century Gothic"/>
          <w:color w:val="000000" w:themeColor="text1"/>
          <w:lang w:val="es-ES"/>
        </w:rPr>
        <w:t xml:space="preserve">: </w:t>
      </w:r>
    </w:p>
    <w:p w:rsidR="00EC351C" w:rsidRDefault="0037547D" w:rsidP="003109A1">
      <w:pPr>
        <w:tabs>
          <w:tab w:val="left" w:pos="8640"/>
        </w:tabs>
        <w:spacing w:line="276" w:lineRule="auto"/>
        <w:jc w:val="both"/>
        <w:rPr>
          <w:rFonts w:ascii="Century Gothic" w:hAnsi="Century Gothic"/>
          <w:i/>
        </w:rPr>
      </w:pPr>
      <w:r>
        <w:rPr>
          <w:rFonts w:ascii="Century Gothic" w:hAnsi="Century Gothic"/>
        </w:rPr>
        <w:t>Es decir son pl</w:t>
      </w:r>
      <w:r w:rsidR="007A413B" w:rsidRPr="00B50E6F">
        <w:rPr>
          <w:rFonts w:ascii="Century Gothic" w:hAnsi="Century Gothic"/>
        </w:rPr>
        <w:t>anteamiento de una pretensión con fundamentos fácticos y jurídicos idénticos a los ya decididos</w:t>
      </w:r>
      <w:r w:rsidR="00AC4129" w:rsidRPr="00B50E6F">
        <w:rPr>
          <w:rFonts w:ascii="Century Gothic" w:hAnsi="Century Gothic"/>
          <w:color w:val="000000" w:themeColor="text1"/>
        </w:rPr>
        <w:t>, en este caso recae sobre el supuesto de la cosa juzgada en situaciones en donde el tribunal constitucional ya ha decidido y cuando se le planteen pretensiones de inconstitucionalidad respecto de decisiones ya emitidas respecto de los mismo puntos</w:t>
      </w:r>
      <w:r w:rsidR="00807B96">
        <w:rPr>
          <w:rFonts w:ascii="Century Gothic" w:hAnsi="Century Gothic"/>
          <w:color w:val="000000" w:themeColor="text1"/>
        </w:rPr>
        <w:t xml:space="preserve"> ya la sala ha manifestado que:</w:t>
      </w:r>
      <w:r w:rsidR="00AC4129" w:rsidRPr="00B50E6F">
        <w:rPr>
          <w:rFonts w:ascii="Century Gothic" w:hAnsi="Century Gothic"/>
          <w:color w:val="000000" w:themeColor="text1"/>
        </w:rPr>
        <w:t xml:space="preserve"> </w:t>
      </w:r>
      <w:r w:rsidR="00AC4129" w:rsidRPr="00B50E6F">
        <w:rPr>
          <w:rFonts w:ascii="Century Gothic" w:hAnsi="Century Gothic"/>
          <w:i/>
          <w:color w:val="000000" w:themeColor="text1"/>
        </w:rPr>
        <w:t>“Si d</w:t>
      </w:r>
      <w:r w:rsidR="00AC4129" w:rsidRPr="00B50E6F">
        <w:rPr>
          <w:rFonts w:ascii="Century Gothic" w:hAnsi="Century Gothic"/>
          <w:i/>
        </w:rPr>
        <w:t>icha declaratoria, recae sobre la misma disposición que constituye el objeto de control en el un proceso; esta situación genera la imposibilidad de emitir pronunciamiento alguno sobre los argumentos esgrimidos por la demandante</w:t>
      </w:r>
      <w:r w:rsidR="00196248" w:rsidRPr="00B50E6F">
        <w:rPr>
          <w:rFonts w:ascii="Century Gothic" w:hAnsi="Century Gothic"/>
          <w:i/>
        </w:rPr>
        <w:t xml:space="preserve"> en ese caso</w:t>
      </w:r>
      <w:r w:rsidR="00AC4129" w:rsidRPr="00B50E6F">
        <w:rPr>
          <w:rFonts w:ascii="Century Gothic" w:hAnsi="Century Gothic"/>
          <w:i/>
        </w:rPr>
        <w:t xml:space="preserve">, pues la disposición impugnada ha dejado formar parte del ordenamiento jurídico –cosa juzgada–.    Por tanto, </w:t>
      </w:r>
      <w:r w:rsidR="00196248" w:rsidRPr="00B50E6F">
        <w:rPr>
          <w:rFonts w:ascii="Century Gothic" w:hAnsi="Century Gothic"/>
          <w:i/>
        </w:rPr>
        <w:t>cuando carece de finalidad el</w:t>
      </w:r>
      <w:r w:rsidR="00AC4129" w:rsidRPr="00B50E6F">
        <w:rPr>
          <w:rFonts w:ascii="Century Gothic" w:hAnsi="Century Gothic"/>
          <w:i/>
        </w:rPr>
        <w:t xml:space="preserve"> </w:t>
      </w:r>
      <w:r w:rsidR="00196248" w:rsidRPr="00B50E6F">
        <w:rPr>
          <w:rFonts w:ascii="Century Gothic" w:hAnsi="Century Gothic"/>
          <w:i/>
        </w:rPr>
        <w:t xml:space="preserve"> </w:t>
      </w:r>
      <w:r w:rsidR="00AC4129" w:rsidRPr="00B50E6F">
        <w:rPr>
          <w:rFonts w:ascii="Century Gothic" w:hAnsi="Century Gothic"/>
          <w:i/>
        </w:rPr>
        <w:t>proceso</w:t>
      </w:r>
      <w:r w:rsidR="00196248" w:rsidRPr="00B50E6F">
        <w:rPr>
          <w:rFonts w:ascii="Century Gothic" w:hAnsi="Century Gothic"/>
          <w:i/>
        </w:rPr>
        <w:t xml:space="preserve"> y</w:t>
      </w:r>
      <w:r w:rsidR="00AC4129" w:rsidRPr="00B50E6F">
        <w:rPr>
          <w:rFonts w:ascii="Century Gothic" w:hAnsi="Century Gothic"/>
          <w:i/>
        </w:rPr>
        <w:t xml:space="preserve"> ante </w:t>
      </w:r>
      <w:r w:rsidR="00AC4129" w:rsidRPr="00B50E6F">
        <w:rPr>
          <w:rFonts w:ascii="Century Gothic" w:hAnsi="Century Gothic"/>
          <w:i/>
        </w:rPr>
        <w:lastRenderedPageBreak/>
        <w:t>la falta de un presupuesto de la pretensión de carácter fundamental en el proceso d</w:t>
      </w:r>
      <w:r w:rsidR="00196248" w:rsidRPr="00B50E6F">
        <w:rPr>
          <w:rFonts w:ascii="Century Gothic" w:hAnsi="Century Gothic"/>
          <w:i/>
        </w:rPr>
        <w:t>e inconstitucionalidad, este es</w:t>
      </w:r>
      <w:r w:rsidR="00AC4129" w:rsidRPr="00B50E6F">
        <w:rPr>
          <w:rFonts w:ascii="Century Gothic" w:hAnsi="Century Gothic"/>
          <w:i/>
        </w:rPr>
        <w:t xml:space="preserve"> rechazado a través de la figura de la improcedencia.”</w:t>
      </w:r>
      <w:r w:rsidR="00196248" w:rsidRPr="00B50E6F">
        <w:rPr>
          <w:rFonts w:ascii="Century Gothic" w:hAnsi="Century Gothic"/>
          <w:i/>
        </w:rPr>
        <w:t xml:space="preserve"> </w:t>
      </w:r>
      <w:r w:rsidR="00196248" w:rsidRPr="00B50E6F">
        <w:rPr>
          <w:rStyle w:val="Refdenotaalpie"/>
          <w:rFonts w:ascii="Century Gothic" w:hAnsi="Century Gothic"/>
          <w:i/>
        </w:rPr>
        <w:footnoteReference w:id="6"/>
      </w:r>
    </w:p>
    <w:p w:rsidR="002A2821" w:rsidRPr="00B50E6F" w:rsidRDefault="002A2821" w:rsidP="003109A1">
      <w:pPr>
        <w:tabs>
          <w:tab w:val="left" w:pos="8640"/>
        </w:tabs>
        <w:spacing w:line="276" w:lineRule="auto"/>
        <w:rPr>
          <w:rFonts w:ascii="Century Gothic" w:hAnsi="Century Gothic"/>
        </w:rPr>
      </w:pPr>
    </w:p>
    <w:p w:rsidR="007A413B" w:rsidRDefault="007A413B" w:rsidP="003109A1">
      <w:pPr>
        <w:tabs>
          <w:tab w:val="left" w:pos="8640"/>
        </w:tabs>
        <w:spacing w:line="276" w:lineRule="auto"/>
        <w:jc w:val="both"/>
        <w:rPr>
          <w:rFonts w:ascii="Century Gothic" w:hAnsi="Century Gothic"/>
        </w:rPr>
      </w:pPr>
      <w:r w:rsidRPr="00B50E6F">
        <w:rPr>
          <w:rFonts w:ascii="Century Gothic" w:hAnsi="Century Gothic"/>
        </w:rPr>
        <w:t xml:space="preserve">c)  Por pedir la inconstitucionalidad de actos futuros que un Juez realizará por la aplicación de una ley. </w:t>
      </w:r>
      <w:r w:rsidR="000B1218" w:rsidRPr="00B50E6F">
        <w:rPr>
          <w:rFonts w:ascii="Century Gothic" w:hAnsi="Century Gothic"/>
        </w:rPr>
        <w:t xml:space="preserve"> Este es un caso de causa pendiente pues la infracción no se ha generado sino que es </w:t>
      </w:r>
      <w:r w:rsidR="00055088" w:rsidRPr="00B50E6F">
        <w:rPr>
          <w:rFonts w:ascii="Century Gothic" w:hAnsi="Century Gothic"/>
        </w:rPr>
        <w:t>más</w:t>
      </w:r>
      <w:r w:rsidR="000B1218" w:rsidRPr="00B50E6F">
        <w:rPr>
          <w:rFonts w:ascii="Century Gothic" w:hAnsi="Century Gothic"/>
        </w:rPr>
        <w:t xml:space="preserve"> bien para actos futuros y se sabe que estos siempre son inciertos.</w:t>
      </w:r>
    </w:p>
    <w:p w:rsidR="00D7743A" w:rsidRPr="00D7743A" w:rsidRDefault="00D7743A" w:rsidP="003109A1">
      <w:pPr>
        <w:tabs>
          <w:tab w:val="left" w:pos="8640"/>
        </w:tabs>
        <w:spacing w:line="276" w:lineRule="auto"/>
        <w:jc w:val="both"/>
        <w:rPr>
          <w:rFonts w:ascii="Century Gothic" w:hAnsi="Century Gothic"/>
          <w:iCs/>
          <w:lang w:val="es-ES"/>
        </w:rPr>
      </w:pPr>
      <w:r w:rsidRPr="00D7743A">
        <w:rPr>
          <w:rFonts w:ascii="Century Gothic" w:hAnsi="Century Gothic"/>
          <w:lang w:val="es-ES"/>
        </w:rPr>
        <w:t xml:space="preserve">Es posible </w:t>
      </w:r>
      <w:r w:rsidRPr="00D7743A">
        <w:rPr>
          <w:rFonts w:ascii="Century Gothic" w:hAnsi="Century Gothic"/>
          <w:iCs/>
          <w:lang w:val="es-ES"/>
        </w:rPr>
        <w:t>la impugnación de posibles actos no inmediatamente deducibles de la disposición propuesta como objeto de control</w:t>
      </w:r>
      <w:r w:rsidRPr="00D7743A">
        <w:rPr>
          <w:rFonts w:ascii="Century Gothic" w:hAnsi="Century Gothic"/>
          <w:lang w:val="es-ES"/>
        </w:rPr>
        <w:t>: “En el presente caso, los demandantes han planteado peticiones de</w:t>
      </w:r>
      <w:r w:rsidRPr="00D7743A">
        <w:rPr>
          <w:rFonts w:ascii="Century Gothic" w:hAnsi="Century Gothic"/>
          <w:iCs/>
          <w:lang w:val="es-ES"/>
        </w:rPr>
        <w:t xml:space="preserve"> </w:t>
      </w:r>
      <w:r w:rsidRPr="00D7743A">
        <w:rPr>
          <w:rFonts w:ascii="Century Gothic" w:hAnsi="Century Gothic"/>
          <w:lang w:val="es-ES"/>
        </w:rPr>
        <w:t>inconstitucionalidad argumentando respecto de hipotéticos actos que podrían realizarse fundándose en las</w:t>
      </w:r>
      <w:r w:rsidRPr="00D7743A">
        <w:rPr>
          <w:rFonts w:ascii="Century Gothic" w:hAnsi="Century Gothic"/>
          <w:iCs/>
          <w:lang w:val="es-ES"/>
        </w:rPr>
        <w:t xml:space="preserve"> </w:t>
      </w:r>
      <w:r w:rsidRPr="00D7743A">
        <w:rPr>
          <w:rFonts w:ascii="Century Gothic" w:hAnsi="Century Gothic"/>
          <w:lang w:val="es-ES"/>
        </w:rPr>
        <w:t>disposiciones impugnadas. Con lo cual no argumentan sobre la disposición, ni sobre una norma que pudiera</w:t>
      </w:r>
      <w:r w:rsidRPr="00D7743A">
        <w:rPr>
          <w:rFonts w:ascii="Century Gothic" w:hAnsi="Century Gothic"/>
          <w:iCs/>
          <w:lang w:val="es-ES"/>
        </w:rPr>
        <w:t xml:space="preserve"> </w:t>
      </w:r>
      <w:r w:rsidRPr="00D7743A">
        <w:rPr>
          <w:rFonts w:ascii="Century Gothic" w:hAnsi="Century Gothic"/>
          <w:lang w:val="es-ES"/>
        </w:rPr>
        <w:t>derivarse de aquélla, sino que prácticamente reclaman contra hipotéticos actos de los tribunales, que pudieran</w:t>
      </w:r>
      <w:r w:rsidRPr="00D7743A">
        <w:rPr>
          <w:rFonts w:ascii="Century Gothic" w:hAnsi="Century Gothic"/>
          <w:iCs/>
          <w:lang w:val="es-ES"/>
        </w:rPr>
        <w:t xml:space="preserve"> </w:t>
      </w:r>
      <w:r w:rsidRPr="00D7743A">
        <w:rPr>
          <w:rFonts w:ascii="Century Gothic" w:hAnsi="Century Gothic"/>
          <w:lang w:val="es-ES"/>
        </w:rPr>
        <w:t>valerse de las disposiciones impugnadas para prevenir a quien postule una petición escrita.</w:t>
      </w:r>
    </w:p>
    <w:p w:rsidR="007A413B" w:rsidRPr="00B50E6F" w:rsidRDefault="007A413B" w:rsidP="003109A1">
      <w:pPr>
        <w:tabs>
          <w:tab w:val="left" w:pos="8640"/>
        </w:tabs>
        <w:spacing w:line="276" w:lineRule="auto"/>
        <w:jc w:val="both"/>
        <w:rPr>
          <w:rFonts w:ascii="Century Gothic" w:hAnsi="Century Gothic"/>
        </w:rPr>
      </w:pPr>
      <w:r w:rsidRPr="00B50E6F">
        <w:rPr>
          <w:rFonts w:ascii="Century Gothic" w:hAnsi="Century Gothic"/>
        </w:rPr>
        <w:t>d)  Por pedir la inconstitucionalidad de algo  que la misma Constitución manda hacer.</w:t>
      </w:r>
    </w:p>
    <w:p w:rsidR="00055088" w:rsidRPr="00B50E6F" w:rsidRDefault="00055088" w:rsidP="003109A1">
      <w:pPr>
        <w:tabs>
          <w:tab w:val="left" w:pos="8640"/>
        </w:tabs>
        <w:spacing w:line="276" w:lineRule="auto"/>
        <w:jc w:val="both"/>
        <w:rPr>
          <w:rFonts w:ascii="Century Gothic" w:hAnsi="Century Gothic"/>
        </w:rPr>
      </w:pPr>
      <w:r w:rsidRPr="00B50E6F">
        <w:rPr>
          <w:rFonts w:ascii="Century Gothic" w:hAnsi="Century Gothic"/>
        </w:rPr>
        <w:t xml:space="preserve">Para este </w:t>
      </w:r>
      <w:r w:rsidR="001B3611">
        <w:rPr>
          <w:rFonts w:ascii="Century Gothic" w:hAnsi="Century Gothic"/>
        </w:rPr>
        <w:t xml:space="preserve">tipo </w:t>
      </w:r>
      <w:r w:rsidRPr="00B50E6F">
        <w:rPr>
          <w:rFonts w:ascii="Century Gothic" w:hAnsi="Century Gothic"/>
        </w:rPr>
        <w:t xml:space="preserve">de improcedencia es necesario </w:t>
      </w:r>
      <w:r w:rsidR="0043052B">
        <w:rPr>
          <w:rFonts w:ascii="Century Gothic" w:hAnsi="Century Gothic"/>
        </w:rPr>
        <w:t>remitirse a la figura de las an</w:t>
      </w:r>
      <w:r w:rsidRPr="00B50E6F">
        <w:rPr>
          <w:rFonts w:ascii="Century Gothic" w:hAnsi="Century Gothic"/>
        </w:rPr>
        <w:t>t</w:t>
      </w:r>
      <w:r w:rsidR="0043052B">
        <w:rPr>
          <w:rFonts w:ascii="Century Gothic" w:hAnsi="Century Gothic"/>
        </w:rPr>
        <w:t>in</w:t>
      </w:r>
      <w:r w:rsidRPr="00B50E6F">
        <w:rPr>
          <w:rFonts w:ascii="Century Gothic" w:hAnsi="Century Gothic"/>
        </w:rPr>
        <w:t xml:space="preserve">omias infra constitucionales que no son </w:t>
      </w:r>
      <w:r w:rsidR="0043052B" w:rsidRPr="00B50E6F">
        <w:rPr>
          <w:rFonts w:ascii="Century Gothic" w:hAnsi="Century Gothic"/>
        </w:rPr>
        <w:t>más</w:t>
      </w:r>
      <w:r w:rsidRPr="00B50E6F">
        <w:rPr>
          <w:rFonts w:ascii="Century Gothic" w:hAnsi="Century Gothic"/>
        </w:rPr>
        <w:t xml:space="preserve"> que </w:t>
      </w:r>
      <w:r w:rsidRPr="00B50E6F">
        <w:rPr>
          <w:rFonts w:ascii="Century Gothic" w:hAnsi="Century Gothic"/>
          <w:i/>
          <w:iCs/>
        </w:rPr>
        <w:t>"la situación en que dos normas constitucionales consideradas incompatibles entre sí, que pertenecen al mismo ordenamiento, tienen el mismo ámbito de aplicación"</w:t>
      </w:r>
      <w:r w:rsidRPr="00B50E6F">
        <w:rPr>
          <w:rFonts w:ascii="Century Gothic" w:hAnsi="Century Gothic"/>
        </w:rPr>
        <w:t>.  Y que implica ponerla en contraposición aun cuando ambas tienen el mismo rango.</w:t>
      </w:r>
    </w:p>
    <w:p w:rsidR="007B2953" w:rsidRPr="00B50E6F" w:rsidRDefault="00F41676" w:rsidP="003109A1">
      <w:pPr>
        <w:tabs>
          <w:tab w:val="left" w:pos="8640"/>
        </w:tabs>
        <w:spacing w:line="276" w:lineRule="auto"/>
        <w:ind w:firstLine="708"/>
        <w:jc w:val="both"/>
        <w:rPr>
          <w:rFonts w:ascii="Century Gothic" w:hAnsi="Century Gothic"/>
        </w:rPr>
      </w:pPr>
      <w:r w:rsidRPr="00B50E6F">
        <w:rPr>
          <w:rFonts w:ascii="Century Gothic" w:hAnsi="Century Gothic"/>
        </w:rPr>
        <w:t>Respecto de este punto l</w:t>
      </w:r>
      <w:r w:rsidR="007B2953" w:rsidRPr="00B50E6F">
        <w:rPr>
          <w:rFonts w:ascii="Century Gothic" w:hAnsi="Century Gothic"/>
        </w:rPr>
        <w:t xml:space="preserve">a Sala de lo Constitucional </w:t>
      </w:r>
      <w:r w:rsidRPr="00B50E6F">
        <w:rPr>
          <w:rFonts w:ascii="Century Gothic" w:hAnsi="Century Gothic"/>
        </w:rPr>
        <w:t>ya ha manifestado que “</w:t>
      </w:r>
      <w:r w:rsidR="007B2953" w:rsidRPr="00B50E6F">
        <w:rPr>
          <w:rFonts w:ascii="Century Gothic" w:hAnsi="Century Gothic"/>
        </w:rPr>
        <w:t>no es un ente depurador del ordenamiento jurídico y,  consecuentemente, no es su tarea resolver los casos de antinomias cuando éstas se susciten entre disposiciones de jerarquía infra-constituci</w:t>
      </w:r>
      <w:r w:rsidRPr="00B50E6F">
        <w:rPr>
          <w:rFonts w:ascii="Century Gothic" w:hAnsi="Century Gothic"/>
        </w:rPr>
        <w:t>onal –</w:t>
      </w:r>
      <w:r w:rsidR="00150121" w:rsidRPr="00B50E6F">
        <w:rPr>
          <w:rFonts w:ascii="Century Gothic" w:hAnsi="Century Gothic"/>
        </w:rPr>
        <w:t xml:space="preserve"> decreto legislativo</w:t>
      </w:r>
      <w:r w:rsidR="007B2953" w:rsidRPr="00B50E6F">
        <w:rPr>
          <w:rFonts w:ascii="Century Gothic" w:hAnsi="Century Gothic"/>
        </w:rPr>
        <w:t>. Ordenanza municipal–. El control abstracto de las normas implica un contraste en el cual uno de los extremos es siempre de rango constitucional, pues son las violaciones a la norma suprema las que pretende eliminar.</w:t>
      </w:r>
    </w:p>
    <w:p w:rsidR="007B2953" w:rsidRDefault="00F41676" w:rsidP="003109A1">
      <w:pPr>
        <w:tabs>
          <w:tab w:val="left" w:pos="8640"/>
        </w:tabs>
        <w:spacing w:line="276" w:lineRule="auto"/>
        <w:ind w:firstLine="708"/>
        <w:jc w:val="both"/>
        <w:rPr>
          <w:rFonts w:ascii="Century Gothic" w:hAnsi="Century Gothic"/>
        </w:rPr>
      </w:pPr>
      <w:r w:rsidRPr="00B50E6F">
        <w:rPr>
          <w:rFonts w:ascii="Century Gothic" w:hAnsi="Century Gothic"/>
        </w:rPr>
        <w:t>En las ideas expuestas, los</w:t>
      </w:r>
      <w:r w:rsidR="007B2953" w:rsidRPr="00B50E6F">
        <w:rPr>
          <w:rFonts w:ascii="Century Gothic" w:hAnsi="Century Gothic"/>
        </w:rPr>
        <w:t xml:space="preserve"> argumento</w:t>
      </w:r>
      <w:r w:rsidRPr="00B50E6F">
        <w:rPr>
          <w:rFonts w:ascii="Century Gothic" w:hAnsi="Century Gothic"/>
        </w:rPr>
        <w:t>s</w:t>
      </w:r>
      <w:r w:rsidR="007B2953" w:rsidRPr="00B50E6F">
        <w:rPr>
          <w:rFonts w:ascii="Century Gothic" w:hAnsi="Century Gothic"/>
        </w:rPr>
        <w:t xml:space="preserve"> planteado</w:t>
      </w:r>
      <w:r w:rsidRPr="00B50E6F">
        <w:rPr>
          <w:rFonts w:ascii="Century Gothic" w:hAnsi="Century Gothic"/>
        </w:rPr>
        <w:t>s</w:t>
      </w:r>
      <w:r w:rsidR="007B2953" w:rsidRPr="00B50E6F">
        <w:rPr>
          <w:rFonts w:ascii="Century Gothic" w:hAnsi="Century Gothic"/>
        </w:rPr>
        <w:t xml:space="preserve"> por el peticionario </w:t>
      </w:r>
      <w:r w:rsidRPr="00B50E6F">
        <w:rPr>
          <w:rFonts w:ascii="Century Gothic" w:hAnsi="Century Gothic"/>
        </w:rPr>
        <w:t>deben ser</w:t>
      </w:r>
      <w:r w:rsidR="007B2953" w:rsidRPr="00B50E6F">
        <w:rPr>
          <w:rFonts w:ascii="Century Gothic" w:hAnsi="Century Gothic"/>
        </w:rPr>
        <w:t xml:space="preserve"> adecuado</w:t>
      </w:r>
      <w:r w:rsidRPr="00B50E6F">
        <w:rPr>
          <w:rFonts w:ascii="Century Gothic" w:hAnsi="Century Gothic"/>
        </w:rPr>
        <w:t>s</w:t>
      </w:r>
      <w:r w:rsidR="007B2953" w:rsidRPr="00B50E6F">
        <w:rPr>
          <w:rFonts w:ascii="Century Gothic" w:hAnsi="Century Gothic"/>
        </w:rPr>
        <w:t xml:space="preserve"> para establecer la confrontación entre el objeto y </w:t>
      </w:r>
      <w:r w:rsidR="007B2953" w:rsidRPr="00B50E6F">
        <w:rPr>
          <w:rFonts w:ascii="Century Gothic" w:hAnsi="Century Gothic"/>
        </w:rPr>
        <w:lastRenderedPageBreak/>
        <w:t>parámetro de control</w:t>
      </w:r>
      <w:r w:rsidR="008733C9" w:rsidRPr="00B50E6F">
        <w:rPr>
          <w:rStyle w:val="Refdenotaalpie"/>
          <w:rFonts w:ascii="Century Gothic" w:hAnsi="Century Gothic"/>
        </w:rPr>
        <w:footnoteReference w:id="7"/>
      </w:r>
      <w:r w:rsidR="007B2953" w:rsidRPr="00B50E6F">
        <w:rPr>
          <w:rFonts w:ascii="Century Gothic" w:hAnsi="Century Gothic"/>
        </w:rPr>
        <w:t xml:space="preserve">, </w:t>
      </w:r>
      <w:r w:rsidRPr="00B50E6F">
        <w:rPr>
          <w:rFonts w:ascii="Century Gothic" w:hAnsi="Century Gothic"/>
        </w:rPr>
        <w:t>un ejemplo de esta an</w:t>
      </w:r>
      <w:r w:rsidR="00C65578" w:rsidRPr="00B50E6F">
        <w:rPr>
          <w:rFonts w:ascii="Century Gothic" w:hAnsi="Century Gothic"/>
        </w:rPr>
        <w:t>t</w:t>
      </w:r>
      <w:r w:rsidRPr="00B50E6F">
        <w:rPr>
          <w:rFonts w:ascii="Century Gothic" w:hAnsi="Century Gothic"/>
        </w:rPr>
        <w:t xml:space="preserve">inomia seria la del </w:t>
      </w:r>
      <w:r w:rsidR="007B2953" w:rsidRPr="00B50E6F">
        <w:rPr>
          <w:rFonts w:ascii="Century Gothic" w:hAnsi="Century Gothic"/>
        </w:rPr>
        <w:t xml:space="preserve"> art. 131 ord. 5° de la Cn. no puede constituir un valladar a la potestad ejercida por un Concejo Municipal cuando se trata de tasas municipales, ya que aquélla se encuentra regulada en el art. 204 ord. 1° de la Cn., el cual tampoco puede encontrarse condicionado a una norma de rango infra-const</w:t>
      </w:r>
      <w:r w:rsidRPr="00B50E6F">
        <w:rPr>
          <w:rFonts w:ascii="Century Gothic" w:hAnsi="Century Gothic"/>
        </w:rPr>
        <w:t>itucional</w:t>
      </w:r>
      <w:r w:rsidR="007B2953" w:rsidRPr="00B50E6F">
        <w:rPr>
          <w:rFonts w:ascii="Century Gothic" w:hAnsi="Century Gothic"/>
        </w:rPr>
        <w:t>. La unidad normativa que caracteriza a la Constitución obliga a su interpretación sistemática, de manera que junto a la potestad normativa que corresponde en general al legislador, existen otras como la atribuida a los Concejos Municipales en materias específicas como las tasas. No es viable atacar la constitucionalidad del ejercicio de esta potestad a partir de una disposición de rango inferior, y peor aún cuando el argumento se erige sobr</w:t>
      </w:r>
      <w:r w:rsidRPr="00B50E6F">
        <w:rPr>
          <w:rFonts w:ascii="Century Gothic" w:hAnsi="Century Gothic"/>
        </w:rPr>
        <w:t>e una interpretación equivocada</w:t>
      </w:r>
      <w:r w:rsidR="007B2953" w:rsidRPr="00B50E6F">
        <w:rPr>
          <w:rFonts w:ascii="Century Gothic" w:hAnsi="Century Gothic"/>
        </w:rPr>
        <w:t>.</w:t>
      </w:r>
    </w:p>
    <w:p w:rsidR="00805057" w:rsidRPr="00464E86" w:rsidRDefault="00805057" w:rsidP="003109A1">
      <w:pPr>
        <w:autoSpaceDE w:val="0"/>
        <w:autoSpaceDN w:val="0"/>
        <w:adjustRightInd w:val="0"/>
        <w:spacing w:line="276" w:lineRule="auto"/>
        <w:jc w:val="both"/>
        <w:rPr>
          <w:rFonts w:ascii="Century Gothic" w:hAnsi="Century Gothic" w:cs="Arial"/>
          <w:lang w:val="es-ES"/>
        </w:rPr>
      </w:pPr>
      <w:r w:rsidRPr="00464E86">
        <w:rPr>
          <w:rFonts w:ascii="Century Gothic" w:hAnsi="Century Gothic" w:cs="Arial"/>
          <w:lang w:val="es-ES"/>
        </w:rPr>
        <w:t xml:space="preserve">La Constitución </w:t>
      </w:r>
      <w:r w:rsidRPr="00464E86">
        <w:rPr>
          <w:rFonts w:ascii="Century Gothic" w:hAnsi="Century Gothic" w:cs="Arial"/>
          <w:i/>
          <w:iCs/>
          <w:lang w:val="es-ES"/>
        </w:rPr>
        <w:t>en ningún caso puede ser objeto de control</w:t>
      </w:r>
      <w:r w:rsidRPr="00464E86">
        <w:rPr>
          <w:rFonts w:ascii="Century Gothic" w:hAnsi="Century Gothic" w:cs="Arial"/>
          <w:lang w:val="es-ES"/>
        </w:rPr>
        <w:t>: resulta necesario tener en cuenta el principio de unidad de la Constitución, mediante el cual, la solución de todo problema interpretativo ha de partir de la consideración de la Ley Suprema en su conjunto, y no de la atención exclusiva y aislada de sus preceptos. Desde este planteamiento, se rechaza la posibilidad de ponderar en esta sede los contenidos constitucionales y graduar el peso jurídico o axiológico entre ellos, pues no existe en el Derecho positivo ningún argumento que permita afirmar que una parte de la Constitución es ‘más constitucional que otra’ (…). En términos jurídico-positivos, pues, no puede sustentarse la existencia de normas constitucionales-inconstitucionales, pues ponderar las prescripciones normativas contenidas en la Ley Suprema con base en otra disposición constitucional, implica un análisis contradictorio en sí mismo.</w:t>
      </w:r>
    </w:p>
    <w:p w:rsidR="00805057" w:rsidRPr="00B50E6F" w:rsidRDefault="00805057" w:rsidP="003109A1">
      <w:pPr>
        <w:tabs>
          <w:tab w:val="left" w:pos="8640"/>
        </w:tabs>
        <w:spacing w:line="276" w:lineRule="auto"/>
        <w:ind w:firstLine="708"/>
        <w:jc w:val="both"/>
        <w:rPr>
          <w:rFonts w:ascii="Century Gothic" w:hAnsi="Century Gothic"/>
        </w:rPr>
      </w:pPr>
    </w:p>
    <w:p w:rsidR="007B2953" w:rsidRPr="00B50E6F" w:rsidRDefault="007B2953" w:rsidP="003109A1">
      <w:pPr>
        <w:tabs>
          <w:tab w:val="left" w:pos="8640"/>
        </w:tabs>
        <w:spacing w:line="276" w:lineRule="auto"/>
        <w:jc w:val="both"/>
        <w:rPr>
          <w:rFonts w:ascii="Century Gothic" w:hAnsi="Century Gothic"/>
        </w:rPr>
      </w:pPr>
      <w:r w:rsidRPr="00B50E6F">
        <w:rPr>
          <w:rFonts w:ascii="Century Gothic" w:hAnsi="Century Gothic"/>
        </w:rPr>
        <w:t xml:space="preserve">En conclusión, los motivos de inconstitucionalidad </w:t>
      </w:r>
      <w:r w:rsidR="00F41676" w:rsidRPr="00B50E6F">
        <w:rPr>
          <w:rFonts w:ascii="Century Gothic" w:hAnsi="Century Gothic"/>
        </w:rPr>
        <w:t>que se planteen sobre antinomias</w:t>
      </w:r>
      <w:r w:rsidRPr="00B50E6F">
        <w:rPr>
          <w:rFonts w:ascii="Century Gothic" w:hAnsi="Century Gothic"/>
        </w:rPr>
        <w:t xml:space="preserve"> no son idóneos para config</w:t>
      </w:r>
      <w:r w:rsidR="00805057">
        <w:rPr>
          <w:rFonts w:ascii="Century Gothic" w:hAnsi="Century Gothic"/>
        </w:rPr>
        <w:t>urar un posible contraste inter</w:t>
      </w:r>
      <w:r w:rsidRPr="00B50E6F">
        <w:rPr>
          <w:rFonts w:ascii="Century Gothic" w:hAnsi="Century Gothic"/>
        </w:rPr>
        <w:t>normativo, y resulta imposible su análisis a través de una sentencia definitiva.</w:t>
      </w:r>
    </w:p>
    <w:p w:rsidR="00C65578" w:rsidRPr="00B50E6F" w:rsidRDefault="00C65578" w:rsidP="003109A1">
      <w:pPr>
        <w:tabs>
          <w:tab w:val="left" w:pos="8640"/>
        </w:tabs>
        <w:spacing w:line="276" w:lineRule="auto"/>
        <w:ind w:firstLine="708"/>
        <w:jc w:val="both"/>
        <w:rPr>
          <w:rFonts w:ascii="Century Gothic" w:hAnsi="Century Gothic"/>
        </w:rPr>
      </w:pPr>
    </w:p>
    <w:p w:rsidR="00C65578" w:rsidRPr="00B50E6F" w:rsidRDefault="00C65578" w:rsidP="003109A1">
      <w:pPr>
        <w:tabs>
          <w:tab w:val="left" w:pos="8640"/>
        </w:tabs>
        <w:spacing w:line="276" w:lineRule="auto"/>
        <w:jc w:val="both"/>
        <w:rPr>
          <w:rFonts w:ascii="Century Gothic" w:hAnsi="Century Gothic"/>
        </w:rPr>
      </w:pPr>
      <w:r w:rsidRPr="00B50E6F">
        <w:rPr>
          <w:rFonts w:ascii="Century Gothic" w:hAnsi="Century Gothic"/>
        </w:rPr>
        <w:t>e) Por error de derecho y por existir un vicio en la pretensión de inconstitucionalidad.</w:t>
      </w:r>
    </w:p>
    <w:p w:rsidR="00C65578" w:rsidRPr="00B50E6F" w:rsidRDefault="00C65578" w:rsidP="003109A1">
      <w:pPr>
        <w:tabs>
          <w:tab w:val="left" w:pos="8640"/>
        </w:tabs>
        <w:spacing w:line="276" w:lineRule="auto"/>
        <w:jc w:val="both"/>
        <w:rPr>
          <w:rFonts w:ascii="Century Gothic" w:hAnsi="Century Gothic"/>
        </w:rPr>
      </w:pPr>
      <w:r w:rsidRPr="00B50E6F">
        <w:rPr>
          <w:rFonts w:ascii="Century Gothic" w:hAnsi="Century Gothic"/>
        </w:rPr>
        <w:t xml:space="preserve">Esto se da cuando uno de los elementos configuradores de la pretensión se encuentra viciado a partir de la atribución de un contenido normativo incorrecto o inexistente, es improcedente establecer el contraste </w:t>
      </w:r>
      <w:r w:rsidRPr="00B50E6F">
        <w:rPr>
          <w:rFonts w:ascii="Century Gothic" w:hAnsi="Century Gothic"/>
        </w:rPr>
        <w:lastRenderedPageBreak/>
        <w:t>requerido, el tribunal constitucional tampoco puede suplir ese error de derecho, atendiendo a la naturaleza del proceso de inconstitucionalidad, en el que el fundamento de la pretensión recae en argumentos de índole normativa y son éstos los que estructuran su fundamento fáctico.</w:t>
      </w:r>
    </w:p>
    <w:p w:rsidR="00C65578" w:rsidRDefault="00C65578" w:rsidP="003109A1">
      <w:pPr>
        <w:tabs>
          <w:tab w:val="left" w:pos="8640"/>
        </w:tabs>
        <w:spacing w:line="276" w:lineRule="auto"/>
        <w:jc w:val="both"/>
        <w:rPr>
          <w:rFonts w:ascii="Century Gothic" w:hAnsi="Century Gothic"/>
        </w:rPr>
      </w:pPr>
      <w:r w:rsidRPr="00B50E6F">
        <w:rPr>
          <w:rFonts w:ascii="Century Gothic" w:hAnsi="Century Gothic"/>
        </w:rPr>
        <w:t>Ya el art. 80 de la Ley de Procedimientos Constitucionales establece que la Sala de lo Constitucional suplirá de oficio los errores u omisiones de derecho en que incurran las partes, pero en "</w:t>
      </w:r>
      <w:r w:rsidRPr="00B50E6F">
        <w:rPr>
          <w:rFonts w:ascii="Century Gothic" w:hAnsi="Century Gothic"/>
          <w:i/>
        </w:rPr>
        <w:t>los procesos de amparo y de exhibición de la persona</w:t>
      </w:r>
      <w:r w:rsidRPr="00B50E6F">
        <w:rPr>
          <w:rFonts w:ascii="Century Gothic" w:hAnsi="Century Gothic"/>
        </w:rPr>
        <w:t>"; no así en la inconstitucionalidad, pues se pretende evitar que el Tribunal conforme de oficio la pretensión en procesos de esta naturaleza.</w:t>
      </w:r>
      <w:r w:rsidR="00D3055F" w:rsidRPr="00B50E6F">
        <w:rPr>
          <w:rStyle w:val="Refdenotaalpie"/>
          <w:rFonts w:ascii="Century Gothic" w:hAnsi="Century Gothic"/>
        </w:rPr>
        <w:footnoteReference w:id="8"/>
      </w:r>
    </w:p>
    <w:p w:rsidR="0009457E" w:rsidRPr="0009457E" w:rsidRDefault="0009457E" w:rsidP="003109A1">
      <w:pPr>
        <w:autoSpaceDE w:val="0"/>
        <w:autoSpaceDN w:val="0"/>
        <w:adjustRightInd w:val="0"/>
        <w:spacing w:line="276" w:lineRule="auto"/>
        <w:jc w:val="both"/>
        <w:rPr>
          <w:rFonts w:ascii="Century Gothic" w:hAnsi="Century Gothic" w:cs="Arial"/>
          <w:lang w:val="es-ES"/>
        </w:rPr>
      </w:pPr>
      <w:r w:rsidRPr="0009457E">
        <w:rPr>
          <w:rFonts w:ascii="Century Gothic" w:hAnsi="Century Gothic" w:cs="Arial"/>
          <w:lang w:val="es-ES"/>
        </w:rPr>
        <w:t xml:space="preserve">Igualmente provoca improcedencia </w:t>
      </w:r>
      <w:r w:rsidRPr="0009457E">
        <w:rPr>
          <w:rFonts w:ascii="Century Gothic" w:hAnsi="Century Gothic" w:cs="Arial"/>
          <w:i/>
          <w:iCs/>
          <w:lang w:val="es-ES"/>
        </w:rPr>
        <w:t>la deficiencia en la argumentación</w:t>
      </w:r>
      <w:r w:rsidRPr="0009457E">
        <w:rPr>
          <w:rFonts w:ascii="Century Gothic" w:hAnsi="Century Gothic" w:cs="Arial"/>
          <w:lang w:val="es-ES"/>
        </w:rPr>
        <w:t>: Lo anterior implica la inexistencia de un fundamento sólido para sostener tal inconstitucionalidad, lo que imposibilita a la Sala conocer, puesto que los argumentos planteados por el actor como sustrato fáctico en ese punto de su pretensión, son manifiestamente defectuosos.</w:t>
      </w:r>
    </w:p>
    <w:p w:rsidR="00C65578" w:rsidRPr="00B50E6F" w:rsidRDefault="00C65578" w:rsidP="003109A1">
      <w:pPr>
        <w:tabs>
          <w:tab w:val="left" w:pos="8640"/>
        </w:tabs>
        <w:spacing w:line="276" w:lineRule="auto"/>
        <w:jc w:val="both"/>
        <w:rPr>
          <w:rFonts w:ascii="Century Gothic" w:hAnsi="Century Gothic"/>
        </w:rPr>
      </w:pPr>
    </w:p>
    <w:p w:rsidR="002A09F5" w:rsidRPr="00B50E6F" w:rsidRDefault="004B72CE" w:rsidP="003109A1">
      <w:pPr>
        <w:pStyle w:val="Prrafodelista"/>
        <w:numPr>
          <w:ilvl w:val="0"/>
          <w:numId w:val="2"/>
        </w:numPr>
        <w:tabs>
          <w:tab w:val="left" w:pos="8640"/>
        </w:tabs>
        <w:spacing w:line="276" w:lineRule="auto"/>
        <w:ind w:left="0"/>
        <w:jc w:val="both"/>
        <w:rPr>
          <w:rFonts w:ascii="Century Gothic" w:hAnsi="Century Gothic"/>
        </w:rPr>
      </w:pPr>
      <w:r w:rsidRPr="00B50E6F">
        <w:rPr>
          <w:rFonts w:ascii="Century Gothic" w:hAnsi="Century Gothic"/>
          <w:b/>
        </w:rPr>
        <w:t>Sobreseimiento:</w:t>
      </w:r>
      <w:r w:rsidRPr="00B50E6F">
        <w:rPr>
          <w:rFonts w:ascii="Century Gothic" w:hAnsi="Century Gothic"/>
        </w:rPr>
        <w:t xml:space="preserve"> </w:t>
      </w:r>
      <w:r w:rsidR="00970AD2">
        <w:rPr>
          <w:rFonts w:ascii="Century Gothic" w:hAnsi="Century Gothic"/>
        </w:rPr>
        <w:t xml:space="preserve">Es el </w:t>
      </w:r>
      <w:r w:rsidRPr="00B50E6F">
        <w:rPr>
          <w:rFonts w:ascii="Century Gothic" w:hAnsi="Century Gothic"/>
        </w:rPr>
        <w:t>generado por defectos de la configuración de la pretensión advertidos in persequendi litis  o por pérdida de vigen</w:t>
      </w:r>
      <w:r w:rsidR="002A09F5" w:rsidRPr="00B50E6F">
        <w:rPr>
          <w:rFonts w:ascii="Century Gothic" w:hAnsi="Century Gothic"/>
        </w:rPr>
        <w:t>cia de la norma impugnada:</w:t>
      </w:r>
    </w:p>
    <w:p w:rsidR="002A09F5" w:rsidRDefault="002A09F5" w:rsidP="003109A1">
      <w:pPr>
        <w:tabs>
          <w:tab w:val="left" w:pos="8640"/>
        </w:tabs>
        <w:spacing w:line="276" w:lineRule="auto"/>
        <w:jc w:val="both"/>
        <w:rPr>
          <w:rFonts w:ascii="Century Gothic" w:hAnsi="Century Gothic" w:cs="Arial"/>
        </w:rPr>
      </w:pPr>
      <w:r w:rsidRPr="00B50E6F">
        <w:rPr>
          <w:rFonts w:ascii="Century Gothic" w:hAnsi="Century Gothic" w:cs="Arial"/>
        </w:rPr>
        <w:t>A partir de la regulación contenida en la Ley de Procedimientos Constitucionales, el sobreseimiento constituye una forma de terminación anormal del proceso, consistente en un pronunciamiento inhibitorio, El sobreseimiento sólo ha sido expresamente prevista como forma de terminación del proceso de amparo, sin embargo, por aplicación analógica, la Sala de lo Constitucional ha declarado que tal figura es aplicable al proceso de inconstitucionalidad</w:t>
      </w:r>
      <w:r w:rsidR="004A7C53" w:rsidRPr="00B50E6F">
        <w:rPr>
          <w:rStyle w:val="Refdenotaalpie"/>
          <w:rFonts w:ascii="Century Gothic" w:hAnsi="Century Gothic" w:cs="Arial"/>
        </w:rPr>
        <w:footnoteReference w:id="9"/>
      </w:r>
      <w:r w:rsidRPr="00B50E6F">
        <w:rPr>
          <w:rFonts w:ascii="Century Gothic" w:hAnsi="Century Gothic" w:cs="Arial"/>
        </w:rPr>
        <w:t>, Por ejemplo, en la sentencia de la CSJ, de las 14 h del 4 de junio de 2001, en el proceso acumulativo de inconstitucionalidad 24-96, se indicó: “Así pues, si bien la Ley de Procedimientos Constitucionales, al referirse al sobreseimiento como forma de terminación anormal del proceso, lo hizo en relación al proceso de amparo, no puede interpretarse que dicha ﬁ gura le es inaplicable al proceso de inconstitucionalidad, ya que desde el momento que tanto el amparo como la inconstitucionalidad son procesos,</w:t>
      </w:r>
      <w:r w:rsidR="00176493" w:rsidRPr="00B50E6F">
        <w:rPr>
          <w:rFonts w:ascii="Century Gothic" w:hAnsi="Century Gothic" w:cs="Arial"/>
        </w:rPr>
        <w:t xml:space="preserve"> </w:t>
      </w:r>
      <w:r w:rsidRPr="00B50E6F">
        <w:rPr>
          <w:rFonts w:ascii="Century Gothic" w:hAnsi="Century Gothic" w:cs="Arial"/>
        </w:rPr>
        <w:t xml:space="preserve">ambos pueden verse afectados por situaciones que imposibilitan al juzgador —esta Sala— para </w:t>
      </w:r>
      <w:r w:rsidRPr="00B50E6F">
        <w:rPr>
          <w:rFonts w:ascii="Century Gothic" w:hAnsi="Century Gothic" w:cs="Arial"/>
        </w:rPr>
        <w:lastRenderedPageBreak/>
        <w:t>entrar a conocer sobre la pretensión planteada, en cuyo caso el proceso no puede terminar más que por la vía anormal que es el sobreseimiento”.</w:t>
      </w:r>
    </w:p>
    <w:p w:rsidR="00970AD2" w:rsidRPr="00B50E6F" w:rsidRDefault="00970AD2" w:rsidP="003109A1">
      <w:pPr>
        <w:tabs>
          <w:tab w:val="left" w:pos="8640"/>
        </w:tabs>
        <w:spacing w:line="276" w:lineRule="auto"/>
        <w:jc w:val="both"/>
        <w:rPr>
          <w:rFonts w:ascii="Century Gothic" w:hAnsi="Century Gothic" w:cs="Arial"/>
        </w:rPr>
      </w:pPr>
    </w:p>
    <w:p w:rsidR="00970AD2" w:rsidRPr="00970AD2" w:rsidRDefault="00970AD2" w:rsidP="003109A1">
      <w:pPr>
        <w:pStyle w:val="Textosinformato"/>
        <w:numPr>
          <w:ilvl w:val="0"/>
          <w:numId w:val="10"/>
        </w:numPr>
        <w:tabs>
          <w:tab w:val="left" w:pos="8640"/>
        </w:tabs>
        <w:spacing w:line="276" w:lineRule="auto"/>
        <w:ind w:left="-142" w:hanging="284"/>
        <w:jc w:val="both"/>
        <w:rPr>
          <w:rFonts w:ascii="Century Gothic" w:hAnsi="Century Gothic" w:cs="Courier New"/>
          <w:b/>
          <w:sz w:val="24"/>
          <w:szCs w:val="24"/>
        </w:rPr>
      </w:pPr>
      <w:r>
        <w:rPr>
          <w:rFonts w:ascii="Century Gothic" w:hAnsi="Century Gothic" w:cs="Courier New"/>
          <w:sz w:val="24"/>
          <w:szCs w:val="24"/>
        </w:rPr>
        <w:t xml:space="preserve">   </w:t>
      </w:r>
      <w:r w:rsidRPr="00970AD2">
        <w:rPr>
          <w:rFonts w:ascii="Century Gothic" w:hAnsi="Century Gothic" w:cs="Courier New"/>
          <w:b/>
          <w:sz w:val="24"/>
          <w:szCs w:val="24"/>
        </w:rPr>
        <w:t>Archivo:</w:t>
      </w:r>
    </w:p>
    <w:p w:rsidR="00B50544" w:rsidRPr="00B50E6F" w:rsidRDefault="00CA4E14" w:rsidP="003109A1">
      <w:pPr>
        <w:pStyle w:val="Textosinformato"/>
        <w:tabs>
          <w:tab w:val="left" w:pos="8640"/>
        </w:tabs>
        <w:spacing w:line="276" w:lineRule="auto"/>
        <w:jc w:val="both"/>
        <w:rPr>
          <w:rFonts w:ascii="Century Gothic" w:hAnsi="Century Gothic"/>
          <w:sz w:val="24"/>
          <w:szCs w:val="24"/>
        </w:rPr>
      </w:pPr>
      <w:r w:rsidRPr="00B50E6F">
        <w:rPr>
          <w:rFonts w:ascii="Century Gothic" w:hAnsi="Century Gothic" w:cs="Courier New"/>
          <w:sz w:val="24"/>
          <w:szCs w:val="24"/>
        </w:rPr>
        <w:t xml:space="preserve">Otra forma de terminación anormal del proceso es por medio de el llamado mandamiento a </w:t>
      </w:r>
      <w:r w:rsidR="00E763D7" w:rsidRPr="00B50E6F">
        <w:rPr>
          <w:rFonts w:ascii="Century Gothic" w:hAnsi="Century Gothic" w:cs="Courier New"/>
          <w:b/>
          <w:i/>
          <w:sz w:val="24"/>
          <w:szCs w:val="24"/>
          <w:u w:val="single"/>
        </w:rPr>
        <w:t>“archivo”</w:t>
      </w:r>
      <w:r w:rsidR="00E763D7" w:rsidRPr="00B50E6F">
        <w:rPr>
          <w:rFonts w:ascii="Century Gothic" w:hAnsi="Century Gothic" w:cs="Courier New"/>
          <w:sz w:val="24"/>
          <w:szCs w:val="24"/>
        </w:rPr>
        <w:t xml:space="preserve"> del expediente, a la que se ha recurrido en escasos supuestos</w:t>
      </w:r>
      <w:r w:rsidRPr="00B50E6F">
        <w:rPr>
          <w:rFonts w:ascii="Century Gothic" w:hAnsi="Century Gothic" w:cs="Courier New"/>
          <w:sz w:val="24"/>
          <w:szCs w:val="24"/>
        </w:rPr>
        <w:t>, por ejemplo, la resolución de la Sala de lo Constitucional, de las 9 horas del 13 de octubre de 1998, en el proceso de inconstitucionalidad 9-87, o la resolución de la CSJ, de las 10 horas y 5 minutos del 18 de septiembre de 2009, en el proceso de inconstitucionalidad 7-2008.</w:t>
      </w:r>
      <w:r w:rsidR="00EC1BA4" w:rsidRPr="00B50E6F">
        <w:rPr>
          <w:rFonts w:ascii="Century Gothic" w:hAnsi="Century Gothic"/>
          <w:sz w:val="24"/>
          <w:szCs w:val="24"/>
        </w:rPr>
        <w:t xml:space="preserve"> </w:t>
      </w:r>
    </w:p>
    <w:p w:rsidR="004E2F5D" w:rsidRPr="00C94267" w:rsidRDefault="004E2F5D" w:rsidP="00F06AEB">
      <w:pPr>
        <w:tabs>
          <w:tab w:val="left" w:pos="8640"/>
        </w:tabs>
        <w:spacing w:line="276" w:lineRule="auto"/>
        <w:jc w:val="center"/>
        <w:rPr>
          <w:rFonts w:ascii="Century Gothic" w:hAnsi="Century Gothic"/>
        </w:rPr>
      </w:pPr>
    </w:p>
    <w:p w:rsidR="00B50E6F" w:rsidRPr="00B50E6F" w:rsidRDefault="00B50E6F" w:rsidP="00F06AEB">
      <w:pPr>
        <w:tabs>
          <w:tab w:val="left" w:pos="8640"/>
        </w:tabs>
        <w:spacing w:line="276" w:lineRule="auto"/>
        <w:jc w:val="center"/>
        <w:rPr>
          <w:rFonts w:ascii="Century Gothic" w:hAnsi="Century Gothic"/>
          <w:b/>
          <w:caps/>
        </w:rPr>
      </w:pPr>
    </w:p>
    <w:p w:rsidR="00B50E6F" w:rsidRPr="00B50E6F" w:rsidRDefault="00B50E6F" w:rsidP="00F06AEB">
      <w:pPr>
        <w:tabs>
          <w:tab w:val="left" w:pos="8640"/>
        </w:tabs>
        <w:spacing w:line="276" w:lineRule="auto"/>
        <w:jc w:val="center"/>
        <w:rPr>
          <w:rFonts w:ascii="Century Gothic" w:hAnsi="Century Gothic"/>
          <w:b/>
          <w:caps/>
        </w:rPr>
      </w:pPr>
    </w:p>
    <w:p w:rsidR="00B50E6F" w:rsidRPr="00B50E6F" w:rsidRDefault="00B50E6F" w:rsidP="00F06AEB">
      <w:pPr>
        <w:tabs>
          <w:tab w:val="left" w:pos="8640"/>
        </w:tabs>
        <w:spacing w:line="276" w:lineRule="auto"/>
        <w:jc w:val="center"/>
        <w:rPr>
          <w:rFonts w:ascii="Century Gothic" w:hAnsi="Century Gothic"/>
          <w:b/>
          <w:caps/>
        </w:rPr>
      </w:pPr>
    </w:p>
    <w:p w:rsidR="00B50E6F" w:rsidRPr="00B50E6F" w:rsidRDefault="00B50E6F" w:rsidP="00F06AEB">
      <w:pPr>
        <w:tabs>
          <w:tab w:val="left" w:pos="8640"/>
        </w:tabs>
        <w:spacing w:line="276" w:lineRule="auto"/>
        <w:jc w:val="center"/>
        <w:rPr>
          <w:rFonts w:ascii="Century Gothic" w:hAnsi="Century Gothic"/>
          <w:b/>
          <w:caps/>
        </w:rPr>
      </w:pPr>
    </w:p>
    <w:p w:rsidR="00B50E6F" w:rsidRPr="00B50E6F" w:rsidRDefault="00B50E6F" w:rsidP="00F06AEB">
      <w:pPr>
        <w:tabs>
          <w:tab w:val="left" w:pos="8640"/>
        </w:tabs>
        <w:spacing w:line="276" w:lineRule="auto"/>
        <w:jc w:val="center"/>
        <w:rPr>
          <w:rFonts w:ascii="Century Gothic" w:hAnsi="Century Gothic"/>
          <w:b/>
          <w:caps/>
        </w:rPr>
      </w:pPr>
    </w:p>
    <w:p w:rsidR="00B50E6F" w:rsidRPr="00B50E6F" w:rsidRDefault="00B50E6F" w:rsidP="00F06AEB">
      <w:pPr>
        <w:tabs>
          <w:tab w:val="left" w:pos="8640"/>
        </w:tabs>
        <w:spacing w:line="276" w:lineRule="auto"/>
        <w:jc w:val="center"/>
        <w:rPr>
          <w:rFonts w:ascii="Century Gothic" w:hAnsi="Century Gothic"/>
          <w:b/>
          <w:caps/>
        </w:rPr>
      </w:pPr>
    </w:p>
    <w:p w:rsidR="00B50E6F" w:rsidRPr="00B50E6F" w:rsidRDefault="00B50E6F" w:rsidP="00F06AEB">
      <w:pPr>
        <w:tabs>
          <w:tab w:val="left" w:pos="8640"/>
        </w:tabs>
        <w:spacing w:line="276" w:lineRule="auto"/>
        <w:jc w:val="center"/>
        <w:rPr>
          <w:rFonts w:ascii="Century Gothic" w:hAnsi="Century Gothic"/>
          <w:b/>
          <w:caps/>
        </w:rPr>
      </w:pPr>
    </w:p>
    <w:p w:rsidR="00B50E6F" w:rsidRPr="00B50E6F" w:rsidRDefault="00B50E6F" w:rsidP="00F06AEB">
      <w:pPr>
        <w:tabs>
          <w:tab w:val="left" w:pos="8640"/>
        </w:tabs>
        <w:spacing w:line="276" w:lineRule="auto"/>
        <w:jc w:val="center"/>
        <w:rPr>
          <w:rFonts w:ascii="Century Gothic" w:hAnsi="Century Gothic"/>
          <w:b/>
          <w:caps/>
        </w:rPr>
      </w:pPr>
    </w:p>
    <w:p w:rsidR="00922E56" w:rsidRDefault="00922E56" w:rsidP="00922E56">
      <w:pPr>
        <w:tabs>
          <w:tab w:val="left" w:pos="8640"/>
        </w:tabs>
        <w:spacing w:line="276" w:lineRule="auto"/>
        <w:rPr>
          <w:rFonts w:ascii="Century Gothic" w:hAnsi="Century Gothic"/>
          <w:b/>
          <w:caps/>
        </w:rPr>
      </w:pPr>
    </w:p>
    <w:p w:rsidR="00245552" w:rsidRDefault="00245552" w:rsidP="00726BC5">
      <w:pPr>
        <w:pStyle w:val="Ttulo1"/>
        <w:jc w:val="center"/>
        <w:rPr>
          <w:rFonts w:ascii="Century Gothic" w:hAnsi="Century Gothic"/>
          <w:caps/>
          <w:color w:val="000000" w:themeColor="text1"/>
          <w:sz w:val="26"/>
          <w:szCs w:val="26"/>
        </w:rPr>
      </w:pPr>
      <w:bookmarkStart w:id="17" w:name="_Toc325745103"/>
    </w:p>
    <w:bookmarkEnd w:id="17"/>
    <w:p w:rsidR="001031B4" w:rsidRPr="00A07A46" w:rsidRDefault="001031B4" w:rsidP="001031B4">
      <w:pPr>
        <w:tabs>
          <w:tab w:val="left" w:pos="709"/>
        </w:tabs>
        <w:ind w:left="284"/>
        <w:rPr>
          <w:rFonts w:ascii="Century Gothic" w:hAnsi="Century Gothic"/>
        </w:rPr>
      </w:pPr>
    </w:p>
    <w:p w:rsidR="001031B4" w:rsidRPr="00782D6F" w:rsidRDefault="001031B4" w:rsidP="001031B4">
      <w:pPr>
        <w:pStyle w:val="Prrafodelista"/>
        <w:tabs>
          <w:tab w:val="left" w:pos="709"/>
          <w:tab w:val="left" w:pos="8640"/>
        </w:tabs>
        <w:spacing w:line="276" w:lineRule="auto"/>
        <w:ind w:left="284"/>
        <w:jc w:val="both"/>
        <w:rPr>
          <w:rFonts w:ascii="Century Gothic" w:hAnsi="Century Gothic"/>
          <w:b/>
          <w:caps/>
        </w:rPr>
      </w:pPr>
    </w:p>
    <w:p w:rsidR="001031B4" w:rsidRDefault="001031B4" w:rsidP="00922E56">
      <w:pPr>
        <w:pStyle w:val="Prrafodelista"/>
        <w:tabs>
          <w:tab w:val="left" w:pos="1134"/>
        </w:tabs>
        <w:ind w:left="709"/>
        <w:rPr>
          <w:rFonts w:ascii="Arial" w:hAnsi="Arial" w:cs="Arial"/>
          <w:color w:val="000000"/>
          <w:sz w:val="18"/>
          <w:szCs w:val="18"/>
          <w:lang w:eastAsia="es-ES"/>
        </w:rPr>
      </w:pPr>
    </w:p>
    <w:p w:rsidR="001031B4" w:rsidRDefault="001031B4" w:rsidP="00922E56">
      <w:pPr>
        <w:pStyle w:val="Prrafodelista"/>
        <w:tabs>
          <w:tab w:val="left" w:pos="1134"/>
        </w:tabs>
        <w:ind w:left="709"/>
        <w:rPr>
          <w:rFonts w:ascii="Arial" w:hAnsi="Arial" w:cs="Arial"/>
          <w:color w:val="000000"/>
          <w:sz w:val="18"/>
          <w:szCs w:val="18"/>
          <w:lang w:eastAsia="es-ES"/>
        </w:rPr>
      </w:pPr>
    </w:p>
    <w:p w:rsidR="001031B4" w:rsidRPr="001031B4" w:rsidRDefault="001031B4" w:rsidP="001031B4">
      <w:pPr>
        <w:tabs>
          <w:tab w:val="left" w:pos="1134"/>
        </w:tabs>
        <w:rPr>
          <w:rFonts w:ascii="Arial" w:hAnsi="Arial" w:cs="Arial"/>
          <w:color w:val="000000"/>
          <w:sz w:val="18"/>
          <w:szCs w:val="18"/>
          <w:lang w:eastAsia="es-ES"/>
        </w:rPr>
      </w:pPr>
    </w:p>
    <w:p w:rsidR="00922E56" w:rsidRDefault="00922E56" w:rsidP="00922E56">
      <w:pPr>
        <w:pStyle w:val="Prrafodelista"/>
        <w:tabs>
          <w:tab w:val="left" w:pos="1134"/>
        </w:tabs>
        <w:ind w:left="709"/>
      </w:pPr>
    </w:p>
    <w:p w:rsidR="00B50E6F" w:rsidRPr="00B50E6F" w:rsidRDefault="00B50E6F" w:rsidP="00F06AEB">
      <w:pPr>
        <w:tabs>
          <w:tab w:val="left" w:pos="8640"/>
        </w:tabs>
        <w:spacing w:line="276" w:lineRule="auto"/>
        <w:jc w:val="center"/>
        <w:rPr>
          <w:rFonts w:ascii="Century Gothic" w:hAnsi="Century Gothic"/>
          <w:caps/>
        </w:rPr>
      </w:pPr>
    </w:p>
    <w:p w:rsidR="00B50E6F" w:rsidRPr="00B50E6F" w:rsidRDefault="00B50E6F" w:rsidP="00F06AEB">
      <w:pPr>
        <w:tabs>
          <w:tab w:val="left" w:pos="8640"/>
        </w:tabs>
        <w:spacing w:line="276" w:lineRule="auto"/>
        <w:jc w:val="center"/>
        <w:rPr>
          <w:rFonts w:ascii="Century Gothic" w:hAnsi="Century Gothic"/>
          <w:caps/>
        </w:rPr>
      </w:pPr>
    </w:p>
    <w:p w:rsidR="00B50E6F" w:rsidRPr="00B50E6F" w:rsidRDefault="00B50E6F" w:rsidP="00F06AEB">
      <w:pPr>
        <w:tabs>
          <w:tab w:val="left" w:pos="8640"/>
        </w:tabs>
        <w:spacing w:line="276" w:lineRule="auto"/>
        <w:jc w:val="center"/>
        <w:rPr>
          <w:rFonts w:ascii="Century Gothic" w:hAnsi="Century Gothic"/>
          <w:caps/>
        </w:rPr>
      </w:pPr>
    </w:p>
    <w:p w:rsidR="00B50E6F" w:rsidRPr="00B50E6F" w:rsidRDefault="00B50E6F" w:rsidP="00F06AEB">
      <w:pPr>
        <w:tabs>
          <w:tab w:val="left" w:pos="8640"/>
        </w:tabs>
        <w:spacing w:line="276" w:lineRule="auto"/>
        <w:jc w:val="center"/>
        <w:rPr>
          <w:rFonts w:ascii="Century Gothic" w:hAnsi="Century Gothic"/>
          <w:caps/>
        </w:rPr>
      </w:pPr>
    </w:p>
    <w:p w:rsidR="00B50E6F" w:rsidRPr="00B50E6F" w:rsidRDefault="00B50E6F" w:rsidP="00F06AEB">
      <w:pPr>
        <w:tabs>
          <w:tab w:val="left" w:pos="8640"/>
        </w:tabs>
        <w:spacing w:line="276" w:lineRule="auto"/>
        <w:jc w:val="center"/>
        <w:rPr>
          <w:rFonts w:ascii="Century Gothic" w:hAnsi="Century Gothic"/>
          <w:caps/>
        </w:rPr>
      </w:pPr>
    </w:p>
    <w:p w:rsidR="00B50E6F" w:rsidRPr="00B50E6F" w:rsidRDefault="00B50E6F" w:rsidP="00F06AEB">
      <w:pPr>
        <w:tabs>
          <w:tab w:val="left" w:pos="8640"/>
        </w:tabs>
        <w:spacing w:line="276" w:lineRule="auto"/>
        <w:jc w:val="center"/>
        <w:rPr>
          <w:rFonts w:ascii="Century Gothic" w:hAnsi="Century Gothic"/>
          <w:caps/>
        </w:rPr>
      </w:pPr>
    </w:p>
    <w:p w:rsidR="00B50E6F" w:rsidRPr="00B50E6F" w:rsidRDefault="00B50E6F" w:rsidP="00F06AEB">
      <w:pPr>
        <w:tabs>
          <w:tab w:val="left" w:pos="8640"/>
        </w:tabs>
        <w:spacing w:line="276" w:lineRule="auto"/>
        <w:jc w:val="center"/>
        <w:rPr>
          <w:rFonts w:ascii="Century Gothic" w:hAnsi="Century Gothic"/>
          <w:caps/>
        </w:rPr>
      </w:pPr>
    </w:p>
    <w:p w:rsidR="00B50E6F" w:rsidRPr="00B50E6F" w:rsidRDefault="00B50E6F" w:rsidP="00F06AEB">
      <w:pPr>
        <w:tabs>
          <w:tab w:val="left" w:pos="8640"/>
        </w:tabs>
        <w:spacing w:line="276" w:lineRule="auto"/>
        <w:jc w:val="center"/>
        <w:rPr>
          <w:rFonts w:ascii="Century Gothic" w:hAnsi="Century Gothic"/>
          <w:caps/>
        </w:rPr>
      </w:pPr>
    </w:p>
    <w:p w:rsidR="00B50E6F" w:rsidRPr="00B50E6F" w:rsidRDefault="00B50E6F" w:rsidP="00F06AEB">
      <w:pPr>
        <w:tabs>
          <w:tab w:val="left" w:pos="8640"/>
        </w:tabs>
        <w:spacing w:line="276" w:lineRule="auto"/>
        <w:jc w:val="center"/>
        <w:rPr>
          <w:rFonts w:ascii="Century Gothic" w:hAnsi="Century Gothic"/>
          <w:caps/>
        </w:rPr>
      </w:pPr>
    </w:p>
    <w:p w:rsidR="00B50E6F" w:rsidRPr="00B50E6F" w:rsidRDefault="00B50E6F" w:rsidP="00F06AEB">
      <w:pPr>
        <w:tabs>
          <w:tab w:val="left" w:pos="8640"/>
        </w:tabs>
        <w:spacing w:line="276" w:lineRule="auto"/>
        <w:jc w:val="center"/>
        <w:rPr>
          <w:rFonts w:ascii="Century Gothic" w:hAnsi="Century Gothic"/>
          <w:caps/>
        </w:rPr>
      </w:pPr>
    </w:p>
    <w:p w:rsidR="00B50E6F" w:rsidRPr="00B50E6F" w:rsidRDefault="00B50E6F" w:rsidP="00F06AEB">
      <w:pPr>
        <w:tabs>
          <w:tab w:val="left" w:pos="8640"/>
        </w:tabs>
        <w:spacing w:line="276" w:lineRule="auto"/>
        <w:jc w:val="center"/>
        <w:rPr>
          <w:rFonts w:ascii="Century Gothic" w:hAnsi="Century Gothic"/>
          <w:caps/>
        </w:rPr>
      </w:pPr>
    </w:p>
    <w:p w:rsidR="00B50E6F" w:rsidRPr="00B50E6F" w:rsidRDefault="00B50E6F" w:rsidP="00F06AEB">
      <w:pPr>
        <w:tabs>
          <w:tab w:val="left" w:pos="8640"/>
        </w:tabs>
        <w:spacing w:line="276" w:lineRule="auto"/>
        <w:jc w:val="center"/>
        <w:rPr>
          <w:rFonts w:ascii="Century Gothic" w:hAnsi="Century Gothic"/>
        </w:rPr>
      </w:pPr>
    </w:p>
    <w:p w:rsidR="00B50E6F" w:rsidRPr="00B50E6F" w:rsidRDefault="00B50E6F" w:rsidP="00F06AEB">
      <w:pPr>
        <w:tabs>
          <w:tab w:val="left" w:pos="8640"/>
        </w:tabs>
        <w:spacing w:line="276" w:lineRule="auto"/>
        <w:jc w:val="center"/>
        <w:rPr>
          <w:rFonts w:ascii="Century Gothic" w:hAnsi="Century Gothic"/>
        </w:rPr>
      </w:pPr>
    </w:p>
    <w:p w:rsidR="00075388" w:rsidRPr="00B50E6F" w:rsidRDefault="00075388" w:rsidP="00F06AEB">
      <w:pPr>
        <w:tabs>
          <w:tab w:val="left" w:pos="8640"/>
        </w:tabs>
        <w:spacing w:line="276" w:lineRule="auto"/>
        <w:jc w:val="both"/>
        <w:rPr>
          <w:rFonts w:ascii="Century Gothic" w:hAnsi="Century Gothic"/>
          <w:lang w:val="es-ES"/>
        </w:rPr>
      </w:pPr>
    </w:p>
    <w:sectPr w:rsidR="00075388" w:rsidRPr="00B50E6F" w:rsidSect="003109A1">
      <w:footerReference w:type="default" r:id="rId8"/>
      <w:footerReference w:type="first" r:id="rId9"/>
      <w:pgSz w:w="12240" w:h="15840" w:code="1"/>
      <w:pgMar w:top="1134"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8B0" w:rsidRDefault="00FD58B0" w:rsidP="004E1B53">
      <w:r>
        <w:separator/>
      </w:r>
    </w:p>
  </w:endnote>
  <w:endnote w:type="continuationSeparator" w:id="1">
    <w:p w:rsidR="00FD58B0" w:rsidRDefault="00FD58B0" w:rsidP="004E1B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67"/>
      <w:docPartObj>
        <w:docPartGallery w:val="Page Numbers (Bottom of Page)"/>
        <w:docPartUnique/>
      </w:docPartObj>
    </w:sdtPr>
    <w:sdtContent>
      <w:p w:rsidR="00675D2E" w:rsidRDefault="0095659B">
        <w:pPr>
          <w:pStyle w:val="Piedepgina"/>
          <w:jc w:val="center"/>
        </w:pPr>
        <w:fldSimple w:instr=" PAGE   \* MERGEFORMAT ">
          <w:r w:rsidR="006A0B74">
            <w:rPr>
              <w:noProof/>
            </w:rPr>
            <w:t>12</w:t>
          </w:r>
        </w:fldSimple>
      </w:p>
    </w:sdtContent>
  </w:sdt>
  <w:p w:rsidR="00675D2E" w:rsidRDefault="00675D2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68"/>
      <w:docPartObj>
        <w:docPartGallery w:val="Page Numbers (Bottom of Page)"/>
        <w:docPartUnique/>
      </w:docPartObj>
    </w:sdtPr>
    <w:sdtContent>
      <w:p w:rsidR="00675D2E" w:rsidRDefault="0095659B">
        <w:pPr>
          <w:pStyle w:val="Piedepgina"/>
          <w:jc w:val="center"/>
        </w:pPr>
        <w:fldSimple w:instr=" PAGE   \* MERGEFORMAT ">
          <w:r w:rsidR="006A0B74">
            <w:rPr>
              <w:noProof/>
            </w:rPr>
            <w:t>0</w:t>
          </w:r>
        </w:fldSimple>
      </w:p>
    </w:sdtContent>
  </w:sdt>
  <w:p w:rsidR="00675D2E" w:rsidRDefault="00675D2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8B0" w:rsidRDefault="00FD58B0" w:rsidP="004E1B53">
      <w:r>
        <w:separator/>
      </w:r>
    </w:p>
  </w:footnote>
  <w:footnote w:type="continuationSeparator" w:id="1">
    <w:p w:rsidR="00FD58B0" w:rsidRDefault="00FD58B0" w:rsidP="004E1B53">
      <w:r>
        <w:continuationSeparator/>
      </w:r>
    </w:p>
  </w:footnote>
  <w:footnote w:id="2">
    <w:p w:rsidR="00675D2E" w:rsidRPr="00EB3FB3" w:rsidRDefault="00675D2E" w:rsidP="00A967AF">
      <w:pPr>
        <w:tabs>
          <w:tab w:val="left" w:pos="8640"/>
        </w:tabs>
        <w:spacing w:line="360" w:lineRule="auto"/>
        <w:jc w:val="both"/>
        <w:rPr>
          <w:rFonts w:ascii="Century Gothic" w:hAnsi="Century Gothic"/>
          <w:sz w:val="18"/>
          <w:szCs w:val="18"/>
          <w:lang w:val="es-ES"/>
        </w:rPr>
      </w:pPr>
      <w:r w:rsidRPr="00EB3FB3">
        <w:rPr>
          <w:rStyle w:val="Refdenotaalpie"/>
          <w:rFonts w:ascii="Century Gothic" w:hAnsi="Century Gothic"/>
          <w:sz w:val="18"/>
          <w:szCs w:val="18"/>
        </w:rPr>
        <w:footnoteRef/>
      </w:r>
      <w:r w:rsidRPr="00EB3FB3">
        <w:rPr>
          <w:rFonts w:ascii="Century Gothic" w:hAnsi="Century Gothic"/>
          <w:sz w:val="18"/>
          <w:szCs w:val="18"/>
        </w:rPr>
        <w:t xml:space="preserve"> </w:t>
      </w:r>
      <w:r w:rsidRPr="00EB3FB3">
        <w:rPr>
          <w:rFonts w:ascii="Century Gothic" w:hAnsi="Century Gothic"/>
          <w:sz w:val="18"/>
          <w:szCs w:val="18"/>
          <w:lang w:val="es-ES"/>
        </w:rPr>
        <w:t>Sentencia del 16-VII-1992, Inc. 7-91, Considerando IV</w:t>
      </w:r>
    </w:p>
  </w:footnote>
  <w:footnote w:id="3">
    <w:p w:rsidR="00675D2E" w:rsidRPr="00EB3FB3" w:rsidRDefault="00675D2E" w:rsidP="004B72CE">
      <w:pPr>
        <w:pStyle w:val="Textonotapie"/>
        <w:rPr>
          <w:rFonts w:ascii="Century Gothic" w:hAnsi="Century Gothic"/>
          <w:sz w:val="18"/>
          <w:szCs w:val="18"/>
        </w:rPr>
      </w:pPr>
      <w:r>
        <w:rPr>
          <w:rStyle w:val="Refdenotaalpie"/>
        </w:rPr>
        <w:footnoteRef/>
      </w:r>
      <w:r>
        <w:t xml:space="preserve"> </w:t>
      </w:r>
      <w:r w:rsidRPr="00EB3FB3">
        <w:rPr>
          <w:rFonts w:ascii="Century Gothic" w:hAnsi="Century Gothic"/>
          <w:sz w:val="18"/>
          <w:szCs w:val="18"/>
        </w:rPr>
        <w:t>INCONSTITUCIONALIDADES, Ref. 82-2007AC de las 10:05 Horas de fecha 18/10/2007</w:t>
      </w:r>
    </w:p>
    <w:p w:rsidR="00675D2E" w:rsidRPr="00EB3FB3" w:rsidRDefault="00675D2E" w:rsidP="004B72CE">
      <w:pPr>
        <w:pStyle w:val="Textonotapie"/>
        <w:rPr>
          <w:rFonts w:ascii="Century Gothic" w:hAnsi="Century Gothic"/>
          <w:sz w:val="18"/>
          <w:szCs w:val="18"/>
        </w:rPr>
      </w:pPr>
    </w:p>
  </w:footnote>
  <w:footnote w:id="4">
    <w:p w:rsidR="00675D2E" w:rsidRPr="00EB3FB3" w:rsidRDefault="00675D2E" w:rsidP="004B72CE">
      <w:pPr>
        <w:pStyle w:val="Textonotapie"/>
        <w:rPr>
          <w:rFonts w:ascii="Century Gothic" w:hAnsi="Century Gothic"/>
          <w:sz w:val="18"/>
          <w:szCs w:val="18"/>
        </w:rPr>
      </w:pPr>
      <w:r w:rsidRPr="00EB3FB3">
        <w:rPr>
          <w:rStyle w:val="Refdenotaalpie"/>
          <w:rFonts w:ascii="Century Gothic" w:hAnsi="Century Gothic"/>
          <w:sz w:val="18"/>
          <w:szCs w:val="18"/>
        </w:rPr>
        <w:footnoteRef/>
      </w:r>
      <w:r w:rsidRPr="00EB3FB3">
        <w:rPr>
          <w:rFonts w:ascii="Century Gothic" w:hAnsi="Century Gothic"/>
          <w:sz w:val="18"/>
          <w:szCs w:val="18"/>
        </w:rPr>
        <w:t xml:space="preserve"> INCONSTITUCIONALIDADES, Ref. 82-2007AC de las 10:05 Horas de fecha 18/10/2007</w:t>
      </w:r>
    </w:p>
  </w:footnote>
  <w:footnote w:id="5">
    <w:p w:rsidR="00675D2E" w:rsidRPr="00EB3FB3" w:rsidRDefault="00675D2E" w:rsidP="004B72CE">
      <w:pPr>
        <w:pStyle w:val="Textonotapie"/>
        <w:rPr>
          <w:rFonts w:ascii="Century Gothic" w:hAnsi="Century Gothic"/>
          <w:sz w:val="18"/>
          <w:szCs w:val="18"/>
          <w:lang w:val="es-ES"/>
        </w:rPr>
      </w:pPr>
      <w:r w:rsidRPr="00EB3FB3">
        <w:rPr>
          <w:rStyle w:val="Refdenotaalpie"/>
          <w:rFonts w:ascii="Century Gothic" w:hAnsi="Century Gothic"/>
          <w:sz w:val="18"/>
          <w:szCs w:val="18"/>
        </w:rPr>
        <w:footnoteRef/>
      </w:r>
      <w:r w:rsidRPr="00EB3FB3">
        <w:rPr>
          <w:rFonts w:ascii="Century Gothic" w:hAnsi="Century Gothic"/>
          <w:sz w:val="18"/>
          <w:szCs w:val="18"/>
        </w:rPr>
        <w:t xml:space="preserve"> (Sobreseimiento de INCONSTITUCIONALIDAD, Ref. 63-2006AC de las 09:00 horas del día18/10/2007) Relaciones: INCONSTITUCIONALIDADES, Ref. 107-2007AC de las 09:00 Horas de fecha 08/11/2007</w:t>
      </w:r>
    </w:p>
  </w:footnote>
  <w:footnote w:id="6">
    <w:p w:rsidR="00675D2E" w:rsidRPr="00EB3FB3" w:rsidRDefault="00675D2E" w:rsidP="004B72CE">
      <w:pPr>
        <w:rPr>
          <w:rFonts w:ascii="Century Gothic" w:hAnsi="Century Gothic"/>
          <w:sz w:val="18"/>
          <w:szCs w:val="18"/>
        </w:rPr>
      </w:pPr>
      <w:r w:rsidRPr="00EB3FB3">
        <w:rPr>
          <w:rStyle w:val="Refdenotaalpie"/>
          <w:rFonts w:ascii="Century Gothic" w:hAnsi="Century Gothic"/>
          <w:sz w:val="18"/>
          <w:szCs w:val="18"/>
        </w:rPr>
        <w:footnoteRef/>
      </w:r>
      <w:r w:rsidRPr="00EB3FB3">
        <w:rPr>
          <w:rFonts w:ascii="Century Gothic" w:hAnsi="Century Gothic"/>
          <w:sz w:val="18"/>
          <w:szCs w:val="18"/>
        </w:rPr>
        <w:t xml:space="preserve"> (SALA DE LO CONSTITUCIONAL/Inconstitucionalidades/Interlocutorias  –Improcedencias, 61-2010 de fecha  17/12/2010)</w:t>
      </w:r>
    </w:p>
    <w:p w:rsidR="00675D2E" w:rsidRPr="00EB3FB3" w:rsidRDefault="00675D2E" w:rsidP="004B72CE">
      <w:pPr>
        <w:pStyle w:val="Textonotapie"/>
        <w:rPr>
          <w:rFonts w:ascii="Century Gothic" w:hAnsi="Century Gothic"/>
          <w:sz w:val="18"/>
          <w:szCs w:val="18"/>
        </w:rPr>
      </w:pPr>
    </w:p>
  </w:footnote>
  <w:footnote w:id="7">
    <w:p w:rsidR="00675D2E" w:rsidRPr="00726BC5" w:rsidRDefault="00675D2E" w:rsidP="004B72CE">
      <w:pPr>
        <w:spacing w:line="360" w:lineRule="auto"/>
        <w:jc w:val="both"/>
        <w:rPr>
          <w:rFonts w:ascii="Century Gothic" w:hAnsi="Century Gothic"/>
          <w:sz w:val="18"/>
          <w:szCs w:val="18"/>
        </w:rPr>
      </w:pPr>
      <w:r>
        <w:rPr>
          <w:rStyle w:val="Refdenotaalpie"/>
        </w:rPr>
        <w:footnoteRef/>
      </w:r>
      <w:r>
        <w:t xml:space="preserve"> </w:t>
      </w:r>
      <w:r w:rsidRPr="00726BC5">
        <w:rPr>
          <w:rFonts w:ascii="Century Gothic" w:hAnsi="Century Gothic"/>
          <w:sz w:val="18"/>
          <w:szCs w:val="18"/>
        </w:rPr>
        <w:t>(Improcedencia de inconstitucionalidad, Ref. 18-2009 de 11:05 de 18/11/2009)</w:t>
      </w:r>
    </w:p>
    <w:p w:rsidR="00675D2E" w:rsidRPr="008733C9" w:rsidRDefault="00675D2E">
      <w:pPr>
        <w:pStyle w:val="Textonotapie"/>
      </w:pPr>
    </w:p>
  </w:footnote>
  <w:footnote w:id="8">
    <w:p w:rsidR="00675D2E" w:rsidRPr="00726BC5" w:rsidRDefault="00675D2E" w:rsidP="00726BC5">
      <w:pPr>
        <w:spacing w:line="276" w:lineRule="auto"/>
        <w:jc w:val="both"/>
        <w:rPr>
          <w:rFonts w:ascii="Century Gothic" w:hAnsi="Century Gothic"/>
          <w:sz w:val="18"/>
          <w:szCs w:val="18"/>
        </w:rPr>
      </w:pPr>
      <w:r>
        <w:rPr>
          <w:rStyle w:val="Refdenotaalpie"/>
        </w:rPr>
        <w:footnoteRef/>
      </w:r>
      <w:r>
        <w:t xml:space="preserve"> </w:t>
      </w:r>
      <w:r w:rsidRPr="00C65578">
        <w:t>(</w:t>
      </w:r>
      <w:r w:rsidRPr="00726BC5">
        <w:rPr>
          <w:rFonts w:ascii="Century Gothic" w:hAnsi="Century Gothic"/>
          <w:sz w:val="18"/>
          <w:szCs w:val="18"/>
        </w:rPr>
        <w:t>IMPROCEDENCIA de INCONSTITUCIONALIDADES, Ref. 6-2008,  de las  10:05 horas del día  16/5/2008)</w:t>
      </w:r>
    </w:p>
    <w:p w:rsidR="00675D2E" w:rsidRPr="00D3055F" w:rsidRDefault="00675D2E">
      <w:pPr>
        <w:pStyle w:val="Textonotapie"/>
      </w:pPr>
    </w:p>
  </w:footnote>
  <w:footnote w:id="9">
    <w:p w:rsidR="00675D2E" w:rsidRPr="00EB3FB3" w:rsidRDefault="00675D2E">
      <w:pPr>
        <w:pStyle w:val="Textonotapie"/>
        <w:rPr>
          <w:rFonts w:ascii="Century Gothic" w:hAnsi="Century Gothic"/>
          <w:sz w:val="18"/>
          <w:szCs w:val="18"/>
        </w:rPr>
      </w:pPr>
      <w:r>
        <w:rPr>
          <w:rStyle w:val="Refdenotaalpie"/>
        </w:rPr>
        <w:footnoteRef/>
      </w:r>
      <w:r>
        <w:t xml:space="preserve"> </w:t>
      </w:r>
      <w:r w:rsidRPr="00EB3FB3">
        <w:rPr>
          <w:rFonts w:ascii="Century Gothic" w:hAnsi="Century Gothic"/>
          <w:sz w:val="18"/>
          <w:szCs w:val="18"/>
        </w:rPr>
        <w:t>La Justicia constitucional en el Salvador,  Enrique Anaya, pág. 327.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2pt;height:9.2pt" o:bullet="t">
        <v:imagedata r:id="rId1" o:title="BD14755_"/>
      </v:shape>
    </w:pict>
  </w:numPicBullet>
  <w:numPicBullet w:numPicBulletId="1">
    <w:pict>
      <v:shape id="_x0000_i1039" type="#_x0000_t75" style="width:10.9pt;height:10.9pt" o:bullet="t">
        <v:imagedata r:id="rId2" o:title="BD15057_"/>
      </v:shape>
    </w:pict>
  </w:numPicBullet>
  <w:numPicBullet w:numPicBulletId="2">
    <w:pict>
      <v:shape id="_x0000_i1040" type="#_x0000_t75" style="width:10.9pt;height:10.9pt" o:bullet="t">
        <v:imagedata r:id="rId3" o:title="mso7F"/>
      </v:shape>
    </w:pict>
  </w:numPicBullet>
  <w:numPicBullet w:numPicBulletId="3">
    <w:pict>
      <v:shape id="_x0000_i1041" type="#_x0000_t75" style="width:10.9pt;height:8.35pt" o:bullet="t">
        <v:imagedata r:id="rId4" o:title="BD21299_"/>
      </v:shape>
    </w:pict>
  </w:numPicBullet>
  <w:abstractNum w:abstractNumId="0">
    <w:nsid w:val="01B24B61"/>
    <w:multiLevelType w:val="hybridMultilevel"/>
    <w:tmpl w:val="1D66557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643E04"/>
    <w:multiLevelType w:val="hybridMultilevel"/>
    <w:tmpl w:val="206C18F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BF43B5B"/>
    <w:multiLevelType w:val="hybridMultilevel"/>
    <w:tmpl w:val="B442FFAC"/>
    <w:lvl w:ilvl="0" w:tplc="E8941220">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7A32A9"/>
    <w:multiLevelType w:val="hybridMultilevel"/>
    <w:tmpl w:val="751AC4FC"/>
    <w:lvl w:ilvl="0" w:tplc="0C0A0007">
      <w:start w:val="1"/>
      <w:numFmt w:val="bullet"/>
      <w:lvlText w:val=""/>
      <w:lvlPicBulletId w:val="2"/>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4">
    <w:nsid w:val="10472D85"/>
    <w:multiLevelType w:val="hybridMultilevel"/>
    <w:tmpl w:val="EE4C6126"/>
    <w:lvl w:ilvl="0" w:tplc="E894122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5A26B16"/>
    <w:multiLevelType w:val="hybridMultilevel"/>
    <w:tmpl w:val="E44E366E"/>
    <w:lvl w:ilvl="0" w:tplc="E8941220">
      <w:start w:val="1"/>
      <w:numFmt w:val="bullet"/>
      <w:lvlText w:val=""/>
      <w:lvlPicBulletId w:val="3"/>
      <w:lvlJc w:val="left"/>
      <w:pPr>
        <w:ind w:left="1800" w:hanging="360"/>
      </w:pPr>
      <w:rPr>
        <w:rFonts w:ascii="Symbol" w:hAnsi="Symbol" w:hint="default"/>
        <w:color w:val="auto"/>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nsid w:val="5ACF7854"/>
    <w:multiLevelType w:val="hybridMultilevel"/>
    <w:tmpl w:val="E87EC4C6"/>
    <w:lvl w:ilvl="0" w:tplc="E8941220">
      <w:start w:val="1"/>
      <w:numFmt w:val="bullet"/>
      <w:lvlText w:val=""/>
      <w:lvlPicBulletId w:val="3"/>
      <w:lvlJc w:val="left"/>
      <w:pPr>
        <w:ind w:left="144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05C748D"/>
    <w:multiLevelType w:val="hybridMultilevel"/>
    <w:tmpl w:val="970293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5C3F90"/>
    <w:multiLevelType w:val="hybridMultilevel"/>
    <w:tmpl w:val="673CF16E"/>
    <w:lvl w:ilvl="0" w:tplc="5602F79A">
      <w:start w:val="1"/>
      <w:numFmt w:val="bullet"/>
      <w:lvlText w:val=""/>
      <w:lvlPicBulletId w:val="1"/>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73F376DF"/>
    <w:multiLevelType w:val="hybridMultilevel"/>
    <w:tmpl w:val="4A3C6D9E"/>
    <w:lvl w:ilvl="0" w:tplc="3538281A">
      <w:start w:val="1"/>
      <w:numFmt w:val="bullet"/>
      <w:lvlText w:val=""/>
      <w:lvlPicBulletId w:val="0"/>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
  </w:num>
  <w:num w:numId="4">
    <w:abstractNumId w:val="3"/>
  </w:num>
  <w:num w:numId="5">
    <w:abstractNumId w:val="7"/>
  </w:num>
  <w:num w:numId="6">
    <w:abstractNumId w:val="0"/>
  </w:num>
  <w:num w:numId="7">
    <w:abstractNumId w:val="6"/>
  </w:num>
  <w:num w:numId="8">
    <w:abstractNumId w:val="5"/>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3601D"/>
    <w:rsid w:val="000050A7"/>
    <w:rsid w:val="00012155"/>
    <w:rsid w:val="00015CDB"/>
    <w:rsid w:val="0002738F"/>
    <w:rsid w:val="0004310D"/>
    <w:rsid w:val="00047CB4"/>
    <w:rsid w:val="00055088"/>
    <w:rsid w:val="00075388"/>
    <w:rsid w:val="00084227"/>
    <w:rsid w:val="0009457E"/>
    <w:rsid w:val="000A046F"/>
    <w:rsid w:val="000B1218"/>
    <w:rsid w:val="000B33F9"/>
    <w:rsid w:val="000B5809"/>
    <w:rsid w:val="000C0E4E"/>
    <w:rsid w:val="000D0654"/>
    <w:rsid w:val="001031B4"/>
    <w:rsid w:val="00122356"/>
    <w:rsid w:val="00150121"/>
    <w:rsid w:val="00160F06"/>
    <w:rsid w:val="00175B4F"/>
    <w:rsid w:val="00176493"/>
    <w:rsid w:val="00183BC3"/>
    <w:rsid w:val="00196248"/>
    <w:rsid w:val="001B3611"/>
    <w:rsid w:val="001E5A8B"/>
    <w:rsid w:val="00214D7E"/>
    <w:rsid w:val="002174D7"/>
    <w:rsid w:val="00225B8D"/>
    <w:rsid w:val="002307F4"/>
    <w:rsid w:val="00245552"/>
    <w:rsid w:val="0025204E"/>
    <w:rsid w:val="002526E7"/>
    <w:rsid w:val="002774DD"/>
    <w:rsid w:val="002833BD"/>
    <w:rsid w:val="002A09F5"/>
    <w:rsid w:val="002A0EDD"/>
    <w:rsid w:val="002A2821"/>
    <w:rsid w:val="002C100C"/>
    <w:rsid w:val="002D3EAA"/>
    <w:rsid w:val="002E0FAD"/>
    <w:rsid w:val="002E15D7"/>
    <w:rsid w:val="0030322F"/>
    <w:rsid w:val="003109A1"/>
    <w:rsid w:val="00321647"/>
    <w:rsid w:val="00322B3C"/>
    <w:rsid w:val="003359D5"/>
    <w:rsid w:val="003552C8"/>
    <w:rsid w:val="003670A4"/>
    <w:rsid w:val="00373DAC"/>
    <w:rsid w:val="0037547D"/>
    <w:rsid w:val="00383A7C"/>
    <w:rsid w:val="00385B23"/>
    <w:rsid w:val="0038794A"/>
    <w:rsid w:val="003901FC"/>
    <w:rsid w:val="003A37EC"/>
    <w:rsid w:val="003C4BC8"/>
    <w:rsid w:val="003E01DC"/>
    <w:rsid w:val="003E5333"/>
    <w:rsid w:val="00402A38"/>
    <w:rsid w:val="0043052B"/>
    <w:rsid w:val="004522AE"/>
    <w:rsid w:val="00453B1E"/>
    <w:rsid w:val="004558EB"/>
    <w:rsid w:val="00464E86"/>
    <w:rsid w:val="00493C8C"/>
    <w:rsid w:val="004955D5"/>
    <w:rsid w:val="0049670C"/>
    <w:rsid w:val="004A7C53"/>
    <w:rsid w:val="004B085A"/>
    <w:rsid w:val="004B51F3"/>
    <w:rsid w:val="004B72CE"/>
    <w:rsid w:val="004C0F67"/>
    <w:rsid w:val="004D243B"/>
    <w:rsid w:val="004E1B53"/>
    <w:rsid w:val="004E2F5D"/>
    <w:rsid w:val="00535BC0"/>
    <w:rsid w:val="00540148"/>
    <w:rsid w:val="00545185"/>
    <w:rsid w:val="00574399"/>
    <w:rsid w:val="005B5338"/>
    <w:rsid w:val="005B78A3"/>
    <w:rsid w:val="005B79AE"/>
    <w:rsid w:val="005D0D0C"/>
    <w:rsid w:val="005D42DB"/>
    <w:rsid w:val="005E384F"/>
    <w:rsid w:val="005F53D8"/>
    <w:rsid w:val="005F6180"/>
    <w:rsid w:val="0061293B"/>
    <w:rsid w:val="00631C83"/>
    <w:rsid w:val="00674E53"/>
    <w:rsid w:val="00675D2E"/>
    <w:rsid w:val="00691027"/>
    <w:rsid w:val="00694F90"/>
    <w:rsid w:val="00695600"/>
    <w:rsid w:val="006A0B74"/>
    <w:rsid w:val="006A330F"/>
    <w:rsid w:val="006C2C78"/>
    <w:rsid w:val="006D1FD7"/>
    <w:rsid w:val="00706966"/>
    <w:rsid w:val="00713CB6"/>
    <w:rsid w:val="00715611"/>
    <w:rsid w:val="00724D47"/>
    <w:rsid w:val="00724DA0"/>
    <w:rsid w:val="00726BC5"/>
    <w:rsid w:val="007329B2"/>
    <w:rsid w:val="00752BC7"/>
    <w:rsid w:val="00753A97"/>
    <w:rsid w:val="00782D6F"/>
    <w:rsid w:val="00787569"/>
    <w:rsid w:val="007A413B"/>
    <w:rsid w:val="007A679A"/>
    <w:rsid w:val="007B2953"/>
    <w:rsid w:val="007C7182"/>
    <w:rsid w:val="007D7A9B"/>
    <w:rsid w:val="00805057"/>
    <w:rsid w:val="00807B96"/>
    <w:rsid w:val="00813EB3"/>
    <w:rsid w:val="00814A64"/>
    <w:rsid w:val="00815E88"/>
    <w:rsid w:val="00823C11"/>
    <w:rsid w:val="0083160C"/>
    <w:rsid w:val="0083287D"/>
    <w:rsid w:val="00851166"/>
    <w:rsid w:val="008733C9"/>
    <w:rsid w:val="008765FA"/>
    <w:rsid w:val="008911FB"/>
    <w:rsid w:val="00892EC8"/>
    <w:rsid w:val="008B2BFB"/>
    <w:rsid w:val="008B62DB"/>
    <w:rsid w:val="008C4F27"/>
    <w:rsid w:val="008D19E6"/>
    <w:rsid w:val="008E21B9"/>
    <w:rsid w:val="008E6066"/>
    <w:rsid w:val="00900873"/>
    <w:rsid w:val="009102B2"/>
    <w:rsid w:val="00911FB6"/>
    <w:rsid w:val="00914019"/>
    <w:rsid w:val="00916026"/>
    <w:rsid w:val="00922E56"/>
    <w:rsid w:val="0093601D"/>
    <w:rsid w:val="00943467"/>
    <w:rsid w:val="00954559"/>
    <w:rsid w:val="009549AF"/>
    <w:rsid w:val="0095659B"/>
    <w:rsid w:val="00963AC1"/>
    <w:rsid w:val="009679A8"/>
    <w:rsid w:val="00970AD2"/>
    <w:rsid w:val="009A0E73"/>
    <w:rsid w:val="009B1D48"/>
    <w:rsid w:val="009C3191"/>
    <w:rsid w:val="009E0137"/>
    <w:rsid w:val="009F26EA"/>
    <w:rsid w:val="00A076A2"/>
    <w:rsid w:val="00A07A46"/>
    <w:rsid w:val="00A11882"/>
    <w:rsid w:val="00A6289D"/>
    <w:rsid w:val="00A64BE0"/>
    <w:rsid w:val="00A967AF"/>
    <w:rsid w:val="00A97ECE"/>
    <w:rsid w:val="00AA1BC0"/>
    <w:rsid w:val="00AA507D"/>
    <w:rsid w:val="00AA74C0"/>
    <w:rsid w:val="00AC4129"/>
    <w:rsid w:val="00AD05CE"/>
    <w:rsid w:val="00AE200A"/>
    <w:rsid w:val="00AF4C11"/>
    <w:rsid w:val="00B05EDB"/>
    <w:rsid w:val="00B50544"/>
    <w:rsid w:val="00B50E6F"/>
    <w:rsid w:val="00B54DDF"/>
    <w:rsid w:val="00B66218"/>
    <w:rsid w:val="00B677E7"/>
    <w:rsid w:val="00B713A0"/>
    <w:rsid w:val="00B83A45"/>
    <w:rsid w:val="00BA25E5"/>
    <w:rsid w:val="00BB6DBF"/>
    <w:rsid w:val="00BC0F34"/>
    <w:rsid w:val="00BC56F8"/>
    <w:rsid w:val="00BE15B2"/>
    <w:rsid w:val="00BE3F9F"/>
    <w:rsid w:val="00BE55CC"/>
    <w:rsid w:val="00C040E7"/>
    <w:rsid w:val="00C1365E"/>
    <w:rsid w:val="00C65578"/>
    <w:rsid w:val="00C6626F"/>
    <w:rsid w:val="00C72548"/>
    <w:rsid w:val="00C83D35"/>
    <w:rsid w:val="00C94267"/>
    <w:rsid w:val="00CA4E14"/>
    <w:rsid w:val="00CD5E5F"/>
    <w:rsid w:val="00CD7525"/>
    <w:rsid w:val="00CE4123"/>
    <w:rsid w:val="00CE6A65"/>
    <w:rsid w:val="00D100BA"/>
    <w:rsid w:val="00D3055F"/>
    <w:rsid w:val="00D44B7A"/>
    <w:rsid w:val="00D7743A"/>
    <w:rsid w:val="00D84733"/>
    <w:rsid w:val="00D847B8"/>
    <w:rsid w:val="00DA0CAD"/>
    <w:rsid w:val="00DA1F51"/>
    <w:rsid w:val="00DF00D0"/>
    <w:rsid w:val="00DF20D6"/>
    <w:rsid w:val="00E04F7B"/>
    <w:rsid w:val="00E106F4"/>
    <w:rsid w:val="00E20A0F"/>
    <w:rsid w:val="00E44DBC"/>
    <w:rsid w:val="00E46FF8"/>
    <w:rsid w:val="00E52092"/>
    <w:rsid w:val="00E70169"/>
    <w:rsid w:val="00E763D7"/>
    <w:rsid w:val="00EA068D"/>
    <w:rsid w:val="00EA0FEF"/>
    <w:rsid w:val="00EA35E5"/>
    <w:rsid w:val="00EA3A23"/>
    <w:rsid w:val="00EB3FB3"/>
    <w:rsid w:val="00EB583E"/>
    <w:rsid w:val="00EC1BA4"/>
    <w:rsid w:val="00EC351C"/>
    <w:rsid w:val="00EC4BC5"/>
    <w:rsid w:val="00EC546C"/>
    <w:rsid w:val="00ED3135"/>
    <w:rsid w:val="00ED7F54"/>
    <w:rsid w:val="00EE3A66"/>
    <w:rsid w:val="00EF5782"/>
    <w:rsid w:val="00F06AEB"/>
    <w:rsid w:val="00F11668"/>
    <w:rsid w:val="00F41676"/>
    <w:rsid w:val="00F467B9"/>
    <w:rsid w:val="00F714E7"/>
    <w:rsid w:val="00F77921"/>
    <w:rsid w:val="00FB6EBF"/>
    <w:rsid w:val="00FC3327"/>
    <w:rsid w:val="00FD58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137"/>
    <w:rPr>
      <w:sz w:val="24"/>
      <w:szCs w:val="24"/>
    </w:rPr>
  </w:style>
  <w:style w:type="paragraph" w:styleId="Ttulo1">
    <w:name w:val="heading 1"/>
    <w:basedOn w:val="Normal"/>
    <w:next w:val="Normal"/>
    <w:link w:val="Ttulo1Car"/>
    <w:qFormat/>
    <w:rsid w:val="001223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1223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12235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4DA0"/>
    <w:pPr>
      <w:ind w:left="720"/>
      <w:contextualSpacing/>
    </w:pPr>
  </w:style>
  <w:style w:type="paragraph" w:styleId="Textonotapie">
    <w:name w:val="footnote text"/>
    <w:basedOn w:val="Normal"/>
    <w:link w:val="TextonotapieCar"/>
    <w:rsid w:val="004E1B53"/>
    <w:rPr>
      <w:sz w:val="20"/>
      <w:szCs w:val="20"/>
    </w:rPr>
  </w:style>
  <w:style w:type="character" w:customStyle="1" w:styleId="TextonotapieCar">
    <w:name w:val="Texto nota pie Car"/>
    <w:basedOn w:val="Fuentedeprrafopredeter"/>
    <w:link w:val="Textonotapie"/>
    <w:rsid w:val="004E1B53"/>
  </w:style>
  <w:style w:type="character" w:styleId="Refdenotaalpie">
    <w:name w:val="footnote reference"/>
    <w:basedOn w:val="Fuentedeprrafopredeter"/>
    <w:uiPriority w:val="99"/>
    <w:rsid w:val="004E1B53"/>
    <w:rPr>
      <w:vertAlign w:val="superscript"/>
    </w:rPr>
  </w:style>
  <w:style w:type="paragraph" w:styleId="Textonotaalfinal">
    <w:name w:val="endnote text"/>
    <w:basedOn w:val="Normal"/>
    <w:link w:val="TextonotaalfinalCar"/>
    <w:rsid w:val="00DF00D0"/>
    <w:rPr>
      <w:sz w:val="20"/>
      <w:szCs w:val="20"/>
    </w:rPr>
  </w:style>
  <w:style w:type="character" w:customStyle="1" w:styleId="TextonotaalfinalCar">
    <w:name w:val="Texto nota al final Car"/>
    <w:basedOn w:val="Fuentedeprrafopredeter"/>
    <w:link w:val="Textonotaalfinal"/>
    <w:rsid w:val="00DF00D0"/>
  </w:style>
  <w:style w:type="character" w:styleId="Refdenotaalfinal">
    <w:name w:val="endnote reference"/>
    <w:basedOn w:val="Fuentedeprrafopredeter"/>
    <w:rsid w:val="00DF00D0"/>
    <w:rPr>
      <w:vertAlign w:val="superscript"/>
    </w:rPr>
  </w:style>
  <w:style w:type="paragraph" w:styleId="Textosinformato">
    <w:name w:val="Plain Text"/>
    <w:basedOn w:val="Normal"/>
    <w:link w:val="TextosinformatoCar"/>
    <w:rsid w:val="002A09F5"/>
    <w:rPr>
      <w:rFonts w:ascii="Consolas" w:hAnsi="Consolas"/>
      <w:sz w:val="21"/>
      <w:szCs w:val="21"/>
    </w:rPr>
  </w:style>
  <w:style w:type="character" w:customStyle="1" w:styleId="TextosinformatoCar">
    <w:name w:val="Texto sin formato Car"/>
    <w:basedOn w:val="Fuentedeprrafopredeter"/>
    <w:link w:val="Textosinformato"/>
    <w:rsid w:val="002A09F5"/>
    <w:rPr>
      <w:rFonts w:ascii="Consolas" w:hAnsi="Consolas"/>
      <w:sz w:val="21"/>
      <w:szCs w:val="21"/>
    </w:rPr>
  </w:style>
  <w:style w:type="paragraph" w:customStyle="1" w:styleId="Prrafodelista1">
    <w:name w:val="Párrafo de lista1"/>
    <w:basedOn w:val="Normal"/>
    <w:uiPriority w:val="99"/>
    <w:rsid w:val="00B50E6F"/>
    <w:pPr>
      <w:suppressAutoHyphens/>
      <w:spacing w:line="100" w:lineRule="atLeast"/>
      <w:ind w:left="720"/>
    </w:pPr>
    <w:rPr>
      <w:color w:val="000000"/>
      <w:kern w:val="2"/>
      <w:lang w:val="es-SV" w:eastAsia="hi-IN" w:bidi="hi-IN"/>
    </w:rPr>
  </w:style>
  <w:style w:type="paragraph" w:customStyle="1" w:styleId="Default">
    <w:name w:val="Default"/>
    <w:rsid w:val="00B50E6F"/>
    <w:pPr>
      <w:autoSpaceDE w:val="0"/>
      <w:autoSpaceDN w:val="0"/>
      <w:adjustRightInd w:val="0"/>
    </w:pPr>
    <w:rPr>
      <w:rFonts w:eastAsiaTheme="minorHAnsi"/>
      <w:color w:val="000000"/>
      <w:sz w:val="24"/>
      <w:szCs w:val="24"/>
      <w:lang w:val="es-ES" w:eastAsia="en-US"/>
    </w:rPr>
  </w:style>
  <w:style w:type="paragraph" w:styleId="Encabezado">
    <w:name w:val="header"/>
    <w:basedOn w:val="Normal"/>
    <w:link w:val="EncabezadoCar"/>
    <w:rsid w:val="003E5333"/>
    <w:pPr>
      <w:tabs>
        <w:tab w:val="center" w:pos="4252"/>
        <w:tab w:val="right" w:pos="8504"/>
      </w:tabs>
    </w:pPr>
  </w:style>
  <w:style w:type="character" w:customStyle="1" w:styleId="EncabezadoCar">
    <w:name w:val="Encabezado Car"/>
    <w:basedOn w:val="Fuentedeprrafopredeter"/>
    <w:link w:val="Encabezado"/>
    <w:rsid w:val="003E5333"/>
    <w:rPr>
      <w:sz w:val="24"/>
      <w:szCs w:val="24"/>
    </w:rPr>
  </w:style>
  <w:style w:type="paragraph" w:styleId="Piedepgina">
    <w:name w:val="footer"/>
    <w:basedOn w:val="Normal"/>
    <w:link w:val="PiedepginaCar"/>
    <w:uiPriority w:val="99"/>
    <w:rsid w:val="003E5333"/>
    <w:pPr>
      <w:tabs>
        <w:tab w:val="center" w:pos="4252"/>
        <w:tab w:val="right" w:pos="8504"/>
      </w:tabs>
    </w:pPr>
  </w:style>
  <w:style w:type="character" w:customStyle="1" w:styleId="PiedepginaCar">
    <w:name w:val="Pie de página Car"/>
    <w:basedOn w:val="Fuentedeprrafopredeter"/>
    <w:link w:val="Piedepgina"/>
    <w:uiPriority w:val="99"/>
    <w:rsid w:val="003E5333"/>
    <w:rPr>
      <w:sz w:val="24"/>
      <w:szCs w:val="24"/>
    </w:rPr>
  </w:style>
  <w:style w:type="paragraph" w:styleId="Textodeglobo">
    <w:name w:val="Balloon Text"/>
    <w:basedOn w:val="Normal"/>
    <w:link w:val="TextodegloboCar"/>
    <w:rsid w:val="003E5333"/>
    <w:rPr>
      <w:rFonts w:ascii="Tahoma" w:hAnsi="Tahoma" w:cs="Tahoma"/>
      <w:sz w:val="16"/>
      <w:szCs w:val="16"/>
    </w:rPr>
  </w:style>
  <w:style w:type="character" w:customStyle="1" w:styleId="TextodegloboCar">
    <w:name w:val="Texto de globo Car"/>
    <w:basedOn w:val="Fuentedeprrafopredeter"/>
    <w:link w:val="Textodeglobo"/>
    <w:rsid w:val="003E5333"/>
    <w:rPr>
      <w:rFonts w:ascii="Tahoma" w:hAnsi="Tahoma" w:cs="Tahoma"/>
      <w:sz w:val="16"/>
      <w:szCs w:val="16"/>
    </w:rPr>
  </w:style>
  <w:style w:type="character" w:customStyle="1" w:styleId="Ttulo1Car">
    <w:name w:val="Título 1 Car"/>
    <w:basedOn w:val="Fuentedeprrafopredeter"/>
    <w:link w:val="Ttulo1"/>
    <w:rsid w:val="00122356"/>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122356"/>
    <w:pPr>
      <w:spacing w:line="276" w:lineRule="auto"/>
      <w:outlineLvl w:val="9"/>
    </w:pPr>
    <w:rPr>
      <w:lang w:val="es-ES" w:eastAsia="en-US"/>
    </w:rPr>
  </w:style>
  <w:style w:type="paragraph" w:styleId="TDC2">
    <w:name w:val="toc 2"/>
    <w:basedOn w:val="Normal"/>
    <w:next w:val="Normal"/>
    <w:autoRedefine/>
    <w:uiPriority w:val="39"/>
    <w:unhideWhenUsed/>
    <w:qFormat/>
    <w:rsid w:val="00122356"/>
    <w:pPr>
      <w:spacing w:after="100" w:line="276" w:lineRule="auto"/>
      <w:ind w:left="220"/>
    </w:pPr>
    <w:rPr>
      <w:rFonts w:asciiTheme="minorHAnsi" w:eastAsiaTheme="minorEastAsia" w:hAnsiTheme="minorHAnsi" w:cstheme="minorBidi"/>
      <w:sz w:val="22"/>
      <w:szCs w:val="22"/>
      <w:lang w:val="es-ES" w:eastAsia="en-US"/>
    </w:rPr>
  </w:style>
  <w:style w:type="paragraph" w:styleId="TDC1">
    <w:name w:val="toc 1"/>
    <w:basedOn w:val="Normal"/>
    <w:next w:val="Normal"/>
    <w:autoRedefine/>
    <w:uiPriority w:val="39"/>
    <w:unhideWhenUsed/>
    <w:qFormat/>
    <w:rsid w:val="003109A1"/>
    <w:pPr>
      <w:tabs>
        <w:tab w:val="right" w:leader="dot" w:pos="8789"/>
      </w:tabs>
      <w:spacing w:after="100" w:line="276" w:lineRule="auto"/>
    </w:pPr>
    <w:rPr>
      <w:rFonts w:ascii="Century Gothic" w:eastAsiaTheme="minorEastAsia" w:hAnsi="Century Gothic" w:cstheme="minorBidi"/>
      <w:b/>
      <w:noProof/>
      <w:sz w:val="22"/>
      <w:szCs w:val="22"/>
      <w:lang w:val="es-ES" w:eastAsia="en-US"/>
    </w:rPr>
  </w:style>
  <w:style w:type="paragraph" w:styleId="TDC3">
    <w:name w:val="toc 3"/>
    <w:basedOn w:val="Normal"/>
    <w:next w:val="Normal"/>
    <w:autoRedefine/>
    <w:uiPriority w:val="39"/>
    <w:unhideWhenUsed/>
    <w:qFormat/>
    <w:rsid w:val="00122356"/>
    <w:pPr>
      <w:spacing w:after="100" w:line="276" w:lineRule="auto"/>
      <w:ind w:left="440"/>
    </w:pPr>
    <w:rPr>
      <w:rFonts w:asciiTheme="minorHAnsi" w:eastAsiaTheme="minorEastAsia" w:hAnsiTheme="minorHAnsi" w:cstheme="minorBidi"/>
      <w:sz w:val="22"/>
      <w:szCs w:val="22"/>
      <w:lang w:val="es-ES" w:eastAsia="en-US"/>
    </w:rPr>
  </w:style>
  <w:style w:type="character" w:styleId="Hipervnculo">
    <w:name w:val="Hyperlink"/>
    <w:basedOn w:val="Fuentedeprrafopredeter"/>
    <w:uiPriority w:val="99"/>
    <w:unhideWhenUsed/>
    <w:rsid w:val="00122356"/>
    <w:rPr>
      <w:color w:val="0000FF" w:themeColor="hyperlink"/>
      <w:u w:val="single"/>
    </w:rPr>
  </w:style>
  <w:style w:type="character" w:customStyle="1" w:styleId="Ttulo2Car">
    <w:name w:val="Título 2 Car"/>
    <w:basedOn w:val="Fuentedeprrafopredeter"/>
    <w:link w:val="Ttulo2"/>
    <w:semiHidden/>
    <w:rsid w:val="0012235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semiHidden/>
    <w:rsid w:val="00122356"/>
    <w:rPr>
      <w:rFonts w:asciiTheme="majorHAnsi" w:eastAsiaTheme="majorEastAsia" w:hAnsiTheme="majorHAnsi" w:cstheme="majorBidi"/>
      <w:b/>
      <w:bCs/>
      <w:color w:val="4F81BD" w:themeColor="accent1"/>
      <w:sz w:val="24"/>
      <w:szCs w:val="24"/>
    </w:rPr>
  </w:style>
  <w:style w:type="paragraph" w:styleId="Sinespaciado">
    <w:name w:val="No Spacing"/>
    <w:link w:val="SinespaciadoCar"/>
    <w:uiPriority w:val="1"/>
    <w:qFormat/>
    <w:rsid w:val="00EA35E5"/>
    <w:rPr>
      <w:rFonts w:asciiTheme="minorHAnsi" w:eastAsiaTheme="minorEastAsia"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EA35E5"/>
    <w:rPr>
      <w:rFonts w:asciiTheme="minorHAnsi" w:eastAsiaTheme="minorEastAsia" w:hAnsiTheme="minorHAnsi" w:cstheme="minorBidi"/>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657342394">
      <w:bodyDiv w:val="1"/>
      <w:marLeft w:val="0"/>
      <w:marRight w:val="0"/>
      <w:marTop w:val="0"/>
      <w:marBottom w:val="0"/>
      <w:divBdr>
        <w:top w:val="none" w:sz="0" w:space="0" w:color="auto"/>
        <w:left w:val="none" w:sz="0" w:space="0" w:color="auto"/>
        <w:bottom w:val="none" w:sz="0" w:space="0" w:color="auto"/>
        <w:right w:val="none" w:sz="0" w:space="0" w:color="auto"/>
      </w:divBdr>
    </w:div>
    <w:div w:id="988360930">
      <w:bodyDiv w:val="1"/>
      <w:marLeft w:val="0"/>
      <w:marRight w:val="0"/>
      <w:marTop w:val="0"/>
      <w:marBottom w:val="0"/>
      <w:divBdr>
        <w:top w:val="none" w:sz="0" w:space="0" w:color="auto"/>
        <w:left w:val="none" w:sz="0" w:space="0" w:color="auto"/>
        <w:bottom w:val="none" w:sz="0" w:space="0" w:color="auto"/>
        <w:right w:val="none" w:sz="0" w:space="0" w:color="auto"/>
      </w:divBdr>
    </w:div>
    <w:div w:id="1069113600">
      <w:bodyDiv w:val="1"/>
      <w:marLeft w:val="0"/>
      <w:marRight w:val="0"/>
      <w:marTop w:val="0"/>
      <w:marBottom w:val="0"/>
      <w:divBdr>
        <w:top w:val="none" w:sz="0" w:space="0" w:color="auto"/>
        <w:left w:val="none" w:sz="0" w:space="0" w:color="auto"/>
        <w:bottom w:val="none" w:sz="0" w:space="0" w:color="auto"/>
        <w:right w:val="none" w:sz="0" w:space="0" w:color="auto"/>
      </w:divBdr>
    </w:div>
    <w:div w:id="17495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647E8-E46A-418B-A8BA-E8E6E46F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14</Pages>
  <Words>4182</Words>
  <Characters>23002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115</cp:revision>
  <cp:lastPrinted>2012-05-26T00:54:00Z</cp:lastPrinted>
  <dcterms:created xsi:type="dcterms:W3CDTF">2012-05-23T13:33:00Z</dcterms:created>
  <dcterms:modified xsi:type="dcterms:W3CDTF">2012-06-13T04:00:00Z</dcterms:modified>
</cp:coreProperties>
</file>