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7A" w:rsidRPr="00DA3808" w:rsidRDefault="0073097A" w:rsidP="0073097A">
      <w:pPr>
        <w:spacing w:after="0" w:line="360" w:lineRule="auto"/>
        <w:jc w:val="both"/>
        <w:rPr>
          <w:rFonts w:ascii="Arial" w:eastAsia="Times New Roman" w:hAnsi="Arial" w:cs="Arial"/>
          <w:b/>
          <w:bCs/>
          <w:color w:val="FF0000"/>
          <w:sz w:val="36"/>
          <w:szCs w:val="36"/>
          <w:lang w:eastAsia="es-CR"/>
        </w:rPr>
      </w:pPr>
      <w:r w:rsidRPr="00DA3808">
        <w:rPr>
          <w:rFonts w:ascii="Arial" w:eastAsia="Times New Roman" w:hAnsi="Arial" w:cs="Arial"/>
          <w:b/>
          <w:bCs/>
          <w:color w:val="FF0000"/>
          <w:sz w:val="36"/>
          <w:szCs w:val="36"/>
          <w:lang w:eastAsia="es-CR"/>
        </w:rPr>
        <w:t>LA PENA DE PRISION EN EL CODIGO PENAL DE EL SALVADOR</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Flores Acosta,  Claus Arthur</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Penal</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La pena de prisión en el Código Penal de El Salvador</w:t>
      </w: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Claus arthur flores acosta*</w:t>
      </w:r>
    </w:p>
    <w:p w:rsidR="0073097A" w:rsidRPr="006A356C" w:rsidRDefault="0073097A" w:rsidP="0073097A">
      <w:pPr>
        <w:spacing w:after="0" w:line="360" w:lineRule="auto"/>
        <w:ind w:left="360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*Becario de la Tercera Promoción del Programa de Formación Inicial para Jueces-PFI</w:t>
      </w:r>
    </w:p>
    <w:p w:rsidR="0073097A" w:rsidRPr="006A356C" w:rsidRDefault="0073097A" w:rsidP="0073097A">
      <w:pPr>
        <w:spacing w:after="0" w:line="360" w:lineRule="auto"/>
        <w:ind w:left="2160"/>
        <w:jc w:val="both"/>
        <w:rPr>
          <w:rFonts w:ascii="Arial" w:eastAsia="Times New Roman" w:hAnsi="Arial" w:cs="Arial"/>
          <w:sz w:val="24"/>
          <w:szCs w:val="24"/>
          <w:lang w:eastAsia="es-CR"/>
        </w:rPr>
      </w:pPr>
      <w:r w:rsidRPr="006A356C">
        <w:rPr>
          <w:rFonts w:ascii="Arial" w:eastAsia="Times New Roman" w:hAnsi="Arial" w:cs="Arial"/>
          <w:i/>
          <w:iCs/>
          <w:sz w:val="24"/>
          <w:szCs w:val="24"/>
          <w:lang w:eastAsia="es-CR"/>
        </w:rPr>
        <w:t xml:space="preserve">“No es la crueldad de las penas uno de los más grandes frenos al delito, sino la infalibilidad de ellas”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Beccaria.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ABREVIATURAS Y SIGLAS UTILIZADAS</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Cn. Constitución de la República de El Salvador.</w:t>
      </w:r>
      <w:r w:rsidRPr="006A356C">
        <w:rPr>
          <w:rFonts w:ascii="Arial" w:eastAsia="Times New Roman" w:hAnsi="Arial" w:cs="Arial"/>
          <w:sz w:val="24"/>
          <w:szCs w:val="24"/>
          <w:lang w:eastAsia="es-CR"/>
        </w:rPr>
        <w:br/>
        <w:t xml:space="preserve">C. Pn. Código Penal de la República de El Salvador. </w:t>
      </w:r>
    </w:p>
    <w:p w:rsidR="0073097A" w:rsidRPr="006A356C" w:rsidRDefault="0073097A" w:rsidP="0073097A">
      <w:pPr>
        <w:spacing w:after="0" w:line="360" w:lineRule="auto"/>
        <w:ind w:left="216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DADH Declaración Americana de los Derechos y Deberes del </w:t>
      </w:r>
      <w:r w:rsidRPr="006A356C">
        <w:rPr>
          <w:rFonts w:ascii="Arial" w:eastAsia="Times New Roman" w:hAnsi="Arial" w:cs="Arial"/>
          <w:sz w:val="24"/>
          <w:szCs w:val="24"/>
          <w:lang w:eastAsia="es-CR"/>
        </w:rPr>
        <w:br/>
        <w:t>Hombre.</w:t>
      </w:r>
      <w:r w:rsidRPr="006A356C">
        <w:rPr>
          <w:rFonts w:ascii="Arial" w:eastAsia="Times New Roman" w:hAnsi="Arial" w:cs="Arial"/>
          <w:sz w:val="24"/>
          <w:szCs w:val="24"/>
          <w:lang w:eastAsia="es-CR"/>
        </w:rPr>
        <w:br/>
        <w:t>F.G.R. Fiscalía General de la República.</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PIDCP Pacto Internacional de Derechos Civiles y Políticos.</w:t>
      </w:r>
      <w:r w:rsidRPr="006A356C">
        <w:rPr>
          <w:rFonts w:ascii="Arial" w:eastAsia="Times New Roman" w:hAnsi="Arial" w:cs="Arial"/>
          <w:sz w:val="24"/>
          <w:szCs w:val="24"/>
          <w:lang w:eastAsia="es-CR"/>
        </w:rPr>
        <w:br/>
        <w:t xml:space="preserve">P.N.C. Policía Nacional Civil. </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lastRenderedPageBreak/>
        <w:br/>
      </w:r>
      <w:r w:rsidRPr="006A356C">
        <w:rPr>
          <w:rFonts w:ascii="Arial" w:eastAsia="Times New Roman" w:hAnsi="Arial" w:cs="Arial"/>
          <w:b/>
          <w:bCs/>
          <w:sz w:val="24"/>
          <w:szCs w:val="24"/>
          <w:lang w:eastAsia="es-CR"/>
        </w:rPr>
        <w:t>CAPITULO UNO</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SUMARIO</w:t>
      </w:r>
      <w:r w:rsidRPr="006A356C">
        <w:rPr>
          <w:rFonts w:ascii="Arial" w:eastAsia="Times New Roman" w:hAnsi="Arial" w:cs="Arial"/>
          <w:sz w:val="24"/>
          <w:szCs w:val="24"/>
          <w:lang w:eastAsia="es-CR"/>
        </w:rPr>
        <w:br/>
        <w:t xml:space="preserve">Introducción 1. Consideraciones Previas 2. La Determinación de la Pena 2.1 Principios 2.2 Reglas </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b/>
          <w:bCs/>
          <w:sz w:val="24"/>
          <w:szCs w:val="24"/>
          <w:lang w:eastAsia="es-CR"/>
        </w:rPr>
        <w:t>Introducción</w:t>
      </w: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1. Consideraciones previas</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Ante las noticias cada vez mas insistentes sobre la creación de nueva legislación penal no he podido mas que recurrir a los aspectos expresados en los considerandos I, II y III del Código penal actual, que específicamente son: “...no se guardaba concordancia con el texto de la Constitución de la República...que debía considerarse al Derecho Penal como último recurso para resolver las conflictos sociales...y que con el objeto de orientar la normativa penal dentro de una concepción garantista, de alta efectividad para restringir la violencia social y con una amplia proyección de función punitiva no selectivísta...” </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En ese orden de ideas y para introducirnos al tema de este trabajo, nuestra Constitución en el Art. 27 inc 3º. expresa “…El Estado organizará los centros penitenciarios a fin de corregir, educar y formar hábitos de trabajo en las personas sometidas a esta ley, procurando su readaptación y la prevención de delitos”. </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 lo expuesto, en un Estado de Derecho como el nuestro, es imperativo que, ante la gravedad que significa la posibilidad de la pérdida de la libertad por la comisión de un delito, se le ofrezcan al justiciable todas las garantías, como la presunción de inocencia, que impide la aplicación de una pena sin una sentencia condenatoria firme que destruya el estado jurídico de inocencia del que goza toda persona, la garantía de audiencia, etc., todas las posibilidades de defensa técnica y material y se actúe con los medios que la ley franquea para respetar su dignidad humana y oportunamente se determine la responsabilidad penal del acusado a través de las </w:t>
      </w:r>
      <w:r w:rsidRPr="006A356C">
        <w:rPr>
          <w:rFonts w:ascii="Arial" w:eastAsia="Times New Roman" w:hAnsi="Arial" w:cs="Arial"/>
          <w:sz w:val="24"/>
          <w:szCs w:val="24"/>
          <w:lang w:eastAsia="es-CR"/>
        </w:rPr>
        <w:lastRenderedPageBreak/>
        <w:t>herramientas que otorga la ley, imponiendo la sanción que ésta contemple en la norma que se ha transgredido.</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 La Determinación de la Pena</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 lo considerado anteriormente, es necesario traer a cuenta los principios que inspiran la determinación de la pena en general como consecuencia jurídica del delito, contenidos en la Constitución de la República y en el Código Penal. </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2.1 Principios</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Nuestra Constitución brinda las pautas explícitas que se deben de tomar en cuenta por el aplicador de la norma al momento de seleccionar y cuantificar las consecuencias jurídicas del delito los cuales están incorporados en el Código Penal, consagrando los siguientes principios: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a) Principio de Legalidad, “nulla crimen, nulla poena, sine previa lege”</w:t>
      </w:r>
      <w:r w:rsidRPr="006A356C">
        <w:rPr>
          <w:rFonts w:ascii="Arial" w:eastAsia="Times New Roman" w:hAnsi="Arial" w:cs="Arial"/>
          <w:sz w:val="24"/>
          <w:szCs w:val="24"/>
          <w:vertAlign w:val="superscript"/>
          <w:lang w:eastAsia="es-CR"/>
        </w:rPr>
        <w:t xml:space="preserve"> 1</w:t>
      </w:r>
      <w:r w:rsidRPr="006A356C">
        <w:rPr>
          <w:rFonts w:ascii="Arial" w:eastAsia="Times New Roman" w:hAnsi="Arial" w:cs="Arial"/>
          <w:sz w:val="24"/>
          <w:szCs w:val="24"/>
          <w:lang w:eastAsia="es-CR"/>
        </w:rPr>
        <w:t xml:space="preserve"> , en relación a este principio se asegura a los destinatarios de la ley que sus conductas no pueden ser sancionadas sino en virtud de una ley dictada y promulgada con anterioridad al hecho considerado como infracción. Este principio por una parte constituye una exigencia de seguridad jurídica que requiere el conocimiento previo de los delitos y las penas o sanciones y por otra parte, es una garantía política hacia el ciudadano, que no puede ser sometido a una sanción que no haya sido promulgada previamente, evitando con esto los abusos de poder. Art.1 C. Pn.</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1</w:t>
      </w:r>
      <w:r w:rsidRPr="006A356C">
        <w:rPr>
          <w:rFonts w:ascii="Arial" w:eastAsia="Times New Roman" w:hAnsi="Arial" w:cs="Arial"/>
          <w:sz w:val="24"/>
          <w:szCs w:val="24"/>
          <w:lang w:eastAsia="es-CR"/>
        </w:rPr>
        <w:t>Clásica formulación latina acuñada por Von Feurbach, en su Lehrbuch de 1801 y que actualmente representa uno de los principios básicos del derecho penal moderno, surgido de la Revolución francesa y que hoy esta contenido prácticamente en todas las constituciones y textos internacionales.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b) Principio de Dignidad Personal: Este guarda relación con la prohibición </w:t>
      </w:r>
      <w:r w:rsidRPr="006A356C">
        <w:rPr>
          <w:rFonts w:ascii="Arial" w:eastAsia="Times New Roman" w:hAnsi="Arial" w:cs="Arial"/>
          <w:sz w:val="24"/>
          <w:szCs w:val="24"/>
          <w:lang w:eastAsia="es-CR"/>
        </w:rPr>
        <w:lastRenderedPageBreak/>
        <w:t>constitucional de penas infamantes, perpetuas y proscriptivas Art. 27 inc. 2º. Cn. Y obliga al juzgador a abstenerse de imponer sanciones que en su ejecución tengan ese carácter.</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Lo anterior se extiende a la vigilancia y control en la práctica real de las penas o medidas de seguridad impuestas para no ser transformadas en tratos inhumanos o degradantes. Art. 2 C. Pn.</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c) Principio de Proporcionalidad: Este principio se manifiesta en la predeterminación legislativa y la aplicación judicial de la pena a imponer en la medida y grados necesarios para que la pena cumpla con su fines esenciales: el de prevención especial y prevención general, sin desnaturalizar su carácter utilitario o instrumental en relación a tales fines. El juez debe ser garante del respeto a la proporcionalidad, basándose en este principio al momento de determinar la pena, la cual debe ser coherente y congruente a la gravedad del hecho realizado Art. 5 C. Pn. </w:t>
      </w:r>
      <w:r w:rsidRPr="006A356C">
        <w:rPr>
          <w:rFonts w:ascii="Arial" w:eastAsia="Times New Roman" w:hAnsi="Arial" w:cs="Arial"/>
          <w:sz w:val="24"/>
          <w:szCs w:val="24"/>
          <w:vertAlign w:val="superscript"/>
          <w:lang w:eastAsia="es-CR"/>
        </w:rPr>
        <w:t>2</w:t>
      </w:r>
      <w:r w:rsidRPr="006A356C">
        <w:rPr>
          <w:rFonts w:ascii="Arial" w:eastAsia="Times New Roman" w:hAnsi="Arial" w:cs="Arial"/>
          <w:sz w:val="24"/>
          <w:szCs w:val="24"/>
          <w:lang w:eastAsia="es-CR"/>
        </w:rPr>
        <w:t xml:space="preserve">. Son tres las manifestaciones de este principio: </w:t>
      </w:r>
    </w:p>
    <w:p w:rsidR="0073097A" w:rsidRPr="006A356C" w:rsidRDefault="0073097A" w:rsidP="0073097A">
      <w:pPr>
        <w:spacing w:before="100" w:beforeAutospacing="1" w:after="100" w:afterAutospacing="1" w:line="360" w:lineRule="auto"/>
        <w:ind w:left="144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Necesidad: La sanción (pena o medida de seguridad), solo se impondrá en la medida que sea imprescindible para el logro de sus fines (readaptación, prevención), se debe apreciar la posibilidad de suspender su ejecución si ésta no es necesaria. Moreno-Rueda</w:t>
      </w:r>
      <w:r w:rsidRPr="006A356C">
        <w:rPr>
          <w:rFonts w:ascii="Arial" w:eastAsia="Times New Roman" w:hAnsi="Arial" w:cs="Arial"/>
          <w:sz w:val="24"/>
          <w:szCs w:val="24"/>
          <w:vertAlign w:val="superscript"/>
          <w:lang w:eastAsia="es-CR"/>
        </w:rPr>
        <w:t>3</w:t>
      </w:r>
      <w:r w:rsidRPr="006A356C">
        <w:rPr>
          <w:rFonts w:ascii="Arial" w:eastAsia="Times New Roman" w:hAnsi="Arial" w:cs="Arial"/>
          <w:sz w:val="24"/>
          <w:szCs w:val="24"/>
          <w:lang w:eastAsia="es-CR"/>
        </w:rPr>
        <w:t>, argumentan que de imponerse la pena, (como ultima ratio), ésta debe graduarse ajustándola cualitativa y cuantitativamente al mínimo necesario para lograr la finalidad preventiva, tanto de</w:t>
      </w:r>
      <w:r w:rsidRPr="006A356C">
        <w:rPr>
          <w:rFonts w:ascii="Arial" w:eastAsia="Times New Roman" w:hAnsi="Arial" w:cs="Arial"/>
          <w:b/>
          <w:bCs/>
          <w:sz w:val="24"/>
          <w:szCs w:val="24"/>
          <w:lang w:eastAsia="es-CR"/>
        </w:rPr>
        <w:t xml:space="preserve"> </w:t>
      </w:r>
      <w:r w:rsidRPr="006A356C">
        <w:rPr>
          <w:rFonts w:ascii="Arial" w:eastAsia="Times New Roman" w:hAnsi="Arial" w:cs="Arial"/>
          <w:sz w:val="24"/>
          <w:szCs w:val="24"/>
          <w:lang w:eastAsia="es-CR"/>
        </w:rPr>
        <w:t>prevención general como especial. Art. 5 C. Pn</w:t>
      </w:r>
      <w:r w:rsidRPr="006A356C">
        <w:rPr>
          <w:rFonts w:ascii="Arial" w:eastAsia="Times New Roman" w:hAnsi="Arial" w:cs="Arial"/>
          <w:b/>
          <w:bCs/>
          <w:sz w:val="24"/>
          <w:szCs w:val="24"/>
          <w:lang w:eastAsia="es-CR"/>
        </w:rPr>
        <w:t>.</w:t>
      </w:r>
      <w:r w:rsidRPr="006A356C">
        <w:rPr>
          <w:rFonts w:ascii="Arial" w:eastAsia="Times New Roman" w:hAnsi="Arial" w:cs="Arial"/>
          <w:sz w:val="24"/>
          <w:szCs w:val="24"/>
          <w:lang w:eastAsia="es-CR"/>
        </w:rPr>
        <w:t xml:space="preserve"> considerable este subprincipio, también ha sido llamado de "excepcionalidad" y está vinculado con el de "subsidiariedad" cuando se plantea la necesidad de recurrir a medios menos gravosos. </w:t>
      </w:r>
    </w:p>
    <w:p w:rsidR="0073097A" w:rsidRDefault="0073097A" w:rsidP="0073097A">
      <w:pPr>
        <w:spacing w:before="100" w:beforeAutospacing="1" w:after="100" w:afterAutospacing="1" w:line="360" w:lineRule="auto"/>
        <w:ind w:left="144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Idoneidad: La pena de prisión es idónea cuando resulta apta para alcanzar el fin perseguido que las Constitución y la ley contempla, este es un criterio fáctico en virtud del cual debe existir un cierto </w:t>
      </w:r>
      <w:r w:rsidRPr="006A356C">
        <w:rPr>
          <w:rFonts w:ascii="Arial" w:eastAsia="Times New Roman" w:hAnsi="Arial" w:cs="Arial"/>
          <w:sz w:val="24"/>
          <w:szCs w:val="24"/>
          <w:lang w:eastAsia="es-CR"/>
        </w:rPr>
        <w:lastRenderedPageBreak/>
        <w:t xml:space="preserve">grado de posibilidad que mediante esta medida será logrado el fin u objetivo establecido. </w:t>
      </w:r>
    </w:p>
    <w:p w:rsidR="0073097A" w:rsidRPr="006A356C" w:rsidRDefault="0073097A" w:rsidP="0073097A">
      <w:pPr>
        <w:spacing w:before="100" w:beforeAutospacing="1" w:after="100" w:afterAutospacing="1" w:line="360" w:lineRule="auto"/>
        <w:ind w:left="144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Proporcionalidad en sentido estricto: Esta manifestación conduce a un examen de la razonabilidad de la medida legalmente prevista, considerada en su globalidad mediante la ponderación de la limitación o restricción al derecho a la libertad ambulatoria por un lado y del fin que se pretende alcanzar por el otro, después de haberse constatado la idoneidad y la necesidad de la medida, debe determinarse en relación con el objetivo propuesto si la medida es desproporcionada y por ende ilícita, es decir, la relación medios/fines, debe ser balanceada o proporcionada.</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2</w:t>
      </w:r>
      <w:r w:rsidRPr="006A356C">
        <w:rPr>
          <w:rFonts w:ascii="Arial" w:eastAsia="Times New Roman" w:hAnsi="Arial" w:cs="Arial"/>
          <w:sz w:val="24"/>
          <w:szCs w:val="24"/>
          <w:lang w:eastAsia="es-CR"/>
        </w:rPr>
        <w:t xml:space="preserve">Aunque se remonta a la antigüedad, este principio solo pudo afirmarse en la época de la ilustración al llegar a madurar todos los de más presupuestos del derecho penal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moderno: el de legalidad, certeza, igualdad, lo que conllevo a la mensurabilidad y la calculabilidad de las penas. </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3</w:t>
      </w:r>
      <w:r w:rsidRPr="006A356C">
        <w:rPr>
          <w:rFonts w:ascii="Arial" w:eastAsia="Times New Roman" w:hAnsi="Arial" w:cs="Arial"/>
          <w:sz w:val="24"/>
          <w:szCs w:val="24"/>
          <w:lang w:eastAsia="es-CR"/>
        </w:rPr>
        <w:t xml:space="preserve">Moreno Carrasco-Rueda García “Código Penal de El Salvador comentado, San Salvador, 1999. </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 Principio de Culpabilidad: Art. 4 C. Pn. De acuerdo con este principio, se requiere </w:t>
      </w:r>
      <w:r w:rsidRPr="006A356C">
        <w:rPr>
          <w:rFonts w:ascii="Arial" w:eastAsia="Times New Roman" w:hAnsi="Arial" w:cs="Arial"/>
          <w:sz w:val="24"/>
          <w:szCs w:val="24"/>
          <w:lang w:eastAsia="es-CR"/>
        </w:rPr>
        <w:br/>
        <w:t>que la aplicación de una pena este condicionada por la existencia de dolo o culpa, de conciencia de la antijuridicidad o de la punibilidad, capacidad para comportarse de acuerdo con las exigencias del Derecho (imputabilidad) y al igual que el principio anterior, éste exige que al momento de la individualización de la pena, ésta sea congruente con el hecho cometido.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Los anteriores principios, establecen preceptos de Derecho Positivo a los que no puede sustraerse la labor del Juzgador. </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lastRenderedPageBreak/>
        <w:br/>
      </w:r>
      <w:r w:rsidRPr="006A356C">
        <w:rPr>
          <w:rFonts w:ascii="Arial" w:eastAsia="Times New Roman" w:hAnsi="Arial" w:cs="Arial"/>
          <w:b/>
          <w:bCs/>
          <w:sz w:val="24"/>
          <w:szCs w:val="24"/>
          <w:lang w:eastAsia="es-CR"/>
        </w:rPr>
        <w:t xml:space="preserve">2.2 Reglas </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t xml:space="preserve">El Art. 62 C. Pn., señala que el Juez debe fijar la medida de la pena que debe imponerse sin pasar de los límites mínimo y máximo establecidos en la ley para cada delito y al dictar sentencia, razonará los motivos que justifican la medida de la sanción impuesta, las reglas especificas de determinación de la pena solo en los casos previstos en la ley, se puede exceder de los límites de la pena fijada por la ley para cada delito, pero no debe sobrepasarse del límite máximo de la pena de prisión que la ley determina y el Art. 63 C. Pn., concreta los principios antes mencionados como reglas especificas de determinación de la pena, al disponer que ésta no podrá exceder el desvalor que corresponda al hecho realizado por el autor y será proporcional a su culpabilidad, las cuales son: “1) La extensión del daño y el peligro efectivo provocados, el cual responde fundamentalmente al grado de afección al bien jurídico tutelado. 2) La calidad de los motivos que impulsaron al hecho, los cuales forman parte del juicio de culpabilidad que hace el juzgador. 3) La mayor o menor comprensión del carácter ilícito del hecho, se trata de la conciencia de la antijuridicidad sobre la que se estructura la motivación normativa. 4) Las circunstancias que rodearon al hecho y en especial las económicas, sociales y culturales, del autor se deben valorar las circunstancias personales, ya que éstas inciden en la medida de la pena y de su entidad dependerá en buena parte las posibilidades reales de reinserción, una vez cumplida la pena y 5) Las circunstancias atenuantes o agravantes, no consideradas como elementos del delito o como circunstancias especiales y el Juzgador las valorara tomando en cuenta su numero, intensidad e importancia, sin compensaciones matemáticas, obligado nada mas a moverse de conformidad con el principio de proporcionalidad, de modo que la pena se adecue al desvalor del hecho, dato que fijará el límite punitivo máximo y a la vez se considerará las circunstancias subjetivas en cuya virtud pueda fundamentarse el juicio de culpabilidad, el reproche, basado en </w:t>
      </w:r>
      <w:r w:rsidRPr="006A356C">
        <w:rPr>
          <w:rFonts w:ascii="Arial" w:eastAsia="Times New Roman" w:hAnsi="Arial" w:cs="Arial"/>
          <w:sz w:val="24"/>
          <w:szCs w:val="24"/>
          <w:lang w:eastAsia="es-CR"/>
        </w:rPr>
        <w:lastRenderedPageBreak/>
        <w:t>la motivalidad del sujeto respecto al hecho concreto realizado.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CAPITULO DOS</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1. La Pena de Prisión en el Código Penal de El Salvador 2. El Límite Máximo de la Pena de Prisión 3. El Derecho Penal de Dos Velocidades (o de Tres?) 4. Derecho Penal del Enemigo 5. Conclusiones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i/>
          <w:iCs/>
          <w:sz w:val="24"/>
          <w:szCs w:val="24"/>
          <w:lang w:eastAsia="es-CR"/>
        </w:rPr>
        <w:t xml:space="preserve">“La pena será más justa y útil, cuanto más pronta y vecina fuere al delito cometido” </w:t>
      </w:r>
      <w:r w:rsidRPr="006A356C">
        <w:rPr>
          <w:rFonts w:ascii="Arial" w:eastAsia="Times New Roman" w:hAnsi="Arial" w:cs="Arial"/>
          <w:sz w:val="24"/>
          <w:szCs w:val="24"/>
          <w:lang w:eastAsia="es-CR"/>
        </w:rPr>
        <w:t>Beccaria.</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1. La Pena de Prisión en el Código Penal de El Salvador</w:t>
      </w:r>
      <w:r w:rsidRPr="006A356C">
        <w:rPr>
          <w:rFonts w:ascii="Arial" w:eastAsia="Times New Roman" w:hAnsi="Arial" w:cs="Arial"/>
          <w:sz w:val="24"/>
          <w:szCs w:val="24"/>
          <w:lang w:eastAsia="es-CR"/>
        </w:rPr>
        <w:br/>
        <w:t>Ya expuestos los principios y reglas que rigen la determinación de la pena, que conforman un todo, refirámonos entonces a las clases de penas que menciona nuestro Código Penal, expresando éste en el Art. 44, que las penas se clasifican en: 1) Penas principales y 2) Penas Accesorias y en el Art. 45, dentro de las penas principales se encuentra en primer lugar: LA PENA DE PRISION, siendo la mas gravosa en nuestro ordenamiento penal, pues como ya hemos visto están prohibidas las penas infamantes, las perpetuas, las proscriptivas y toda clase de tormento, cual se ejecuta al quedar firme la sentencia que la pronunció y en el centro penal destinado para tal fin.</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El Art. 47 C. Pn., nos indica que “la pena de prisión es una limitación a la libertad ambulatoria de la persona, cuya magnitud dependerá del régimen de cumplimiento”, conservando todos los demás derechos no afectados con esta pena directa o indirectamente.</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Al regular la pena de prisión en nuestro Código Penal</w:t>
      </w:r>
      <w:r w:rsidRPr="006A356C">
        <w:rPr>
          <w:rFonts w:ascii="Arial" w:eastAsia="Times New Roman" w:hAnsi="Arial" w:cs="Arial"/>
          <w:sz w:val="24"/>
          <w:szCs w:val="24"/>
          <w:vertAlign w:val="superscript"/>
          <w:lang w:eastAsia="es-CR"/>
        </w:rPr>
        <w:t>4</w:t>
      </w:r>
      <w:r w:rsidRPr="006A356C">
        <w:rPr>
          <w:rFonts w:ascii="Arial" w:eastAsia="Times New Roman" w:hAnsi="Arial" w:cs="Arial"/>
          <w:sz w:val="24"/>
          <w:szCs w:val="24"/>
          <w:lang w:eastAsia="es-CR"/>
        </w:rPr>
        <w:t xml:space="preserve">, se debe haber tomado en cuenta que ésta persigue determinados fines preventivos: general, entendido como la ratificación de la confianza en el derecho, constatando con la imposición de la pena la existencia del Estado, su presencia y su poder y la especial que trata sobre la readaptación y </w:t>
      </w:r>
      <w:r w:rsidRPr="006A356C">
        <w:rPr>
          <w:rFonts w:ascii="Arial" w:eastAsia="Times New Roman" w:hAnsi="Arial" w:cs="Arial"/>
          <w:sz w:val="24"/>
          <w:szCs w:val="24"/>
          <w:lang w:eastAsia="es-CR"/>
        </w:rPr>
        <w:lastRenderedPageBreak/>
        <w:t>reinserción del justiciable y que ésta se debe aplicar por el juzgador de acuerdo a la legislación, para los delitos que la tengan señalada como sanción, como última medida, pues existen formas sustitutivas a la ejecución de las penas privativas de libertad contempladas en el Capitulo IV Arts. 74 y s.s. C. Pn.</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4</w:t>
      </w:r>
      <w:r w:rsidRPr="006A356C">
        <w:rPr>
          <w:rFonts w:ascii="Arial" w:eastAsia="Times New Roman" w:hAnsi="Arial" w:cs="Arial"/>
          <w:sz w:val="24"/>
          <w:szCs w:val="24"/>
          <w:lang w:eastAsia="es-CR"/>
        </w:rPr>
        <w:t>La pena de prisión se encuentra regulada en el Art.9 del PIDCP y en el Art.25 de la DADH.</w:t>
      </w:r>
    </w:p>
    <w:p w:rsidR="0073097A" w:rsidRDefault="0073097A" w:rsidP="0073097A">
      <w:pPr>
        <w:spacing w:after="0"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 El Límite Máximo de la Pena de Prisión</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Antes de la reforma promulgada el 31 de Julio de 2001 al Código Penal, en su Art. 45 No. 1, se establecía que la pena de prisión tenía como límite mínimo seis meses y como máximo treinta y cinco años, apartándose así de las recomendaciones de importantes sectores científicos que en base a investigaciones criminológicas venían sosteniendo que el límite máximo de privación de libertad no debería superar los 15 años de prisión efectiva, sin embargo esto resulto irrelevante y hasta violatorio de lo consagrado en el Art. 27 Inc. 2º Cn., pero luego con la reforma antes aludida se incremento el límite máximo hasta ¡75 años !</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Para lo anterior, no encuentro sinónimo de trasgresión o violación a la norma constitucional en grado superlativo y obedece a lo que se vive y se percibe en toda la sociedad, en todos sus niveles (empleados, obreros jornaleros, profesionales, empresarios, etc.): una creciente inseguridad</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 xml:space="preserve">derivada a su vez por el incremento de la ola de violencia delictiva. </w:t>
      </w:r>
      <w:r w:rsidRPr="006A356C">
        <w:rPr>
          <w:rFonts w:ascii="Arial" w:eastAsia="Times New Roman" w:hAnsi="Arial" w:cs="Arial"/>
          <w:sz w:val="24"/>
          <w:szCs w:val="24"/>
          <w:lang w:eastAsia="es-CR"/>
        </w:rPr>
        <w:br/>
        <w:t xml:space="preserve">La transmisión de este fenómeno a través de los medios de comunicación (radio, televisión, prensa escrita, etc.) y el recurso a las encuestas de opinión pública, traen como consecuencia que las posibilidades de dramatizar la violencia y hacer política por medio de ella son buenas: los medios (algunos coloreados de amarillo), atribuyen al ejercicio de la violencia un alto valor como noticia e informan sobre ella y a la vez es un regulador mediante el cual pueden ser fomentadas medidas paliativas </w:t>
      </w:r>
      <w:r w:rsidRPr="006A356C">
        <w:rPr>
          <w:rFonts w:ascii="Arial" w:eastAsia="Times New Roman" w:hAnsi="Arial" w:cs="Arial"/>
          <w:sz w:val="24"/>
          <w:szCs w:val="24"/>
          <w:lang w:eastAsia="es-CR"/>
        </w:rPr>
        <w:lastRenderedPageBreak/>
        <w:t>contra la violencia (que acá en el país surgen como “medicina emergente”, como la reforma antes mencionada), es decir, por un lado se encuentran los que generan este ambiente (maras o pandillas, crimen organizado, etc.) y por el otro, los que se lucran y ven incrementado sus negocios de “informar” a la población sobre este ambiente de inseguridad, y mientras, la sociedad esta puesta contra la pared, por la amenaza del delito, de la violencia, exigiendo mayor eficacia de las Instituciones que tienen a su cargo la persecución punitiva (P.N.C., F.G.R., etc.), el ciudadano común expresa que no puede seguir el país dándose el lujo de tener un derecho penal como lo describieron nuestros legisladores en los considerandos ya mencionados, pues lo que se necesita es volver según las encuestas de opinión pública a la época en que fue presidente de la Republica el General Maximiliano Hernández Martínez, en donde se aplicaba una ley similar a la del Talión5, o a la época de los extintos cuerpos de seguridad como la Guardia Nacional, como instrumentos eficaces de lucha contra el delito, dando lugar a “políticas criminales” –si se les puede llamar así- de “seguridad</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ciudadana”</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−que antes de el código penal actual ya hubo un debut con la creación de la “Ley Transitoria de Emergencia contra la Delincuencia y el Crimen Organizado”</w:t>
      </w:r>
      <w:r w:rsidRPr="006A356C">
        <w:rPr>
          <w:rFonts w:ascii="Arial" w:eastAsia="Times New Roman" w:hAnsi="Arial" w:cs="Arial"/>
          <w:sz w:val="24"/>
          <w:szCs w:val="24"/>
          <w:vertAlign w:val="superscript"/>
          <w:lang w:eastAsia="es-CR"/>
        </w:rPr>
        <w:t>6</w:t>
      </w:r>
      <w:r w:rsidRPr="006A356C">
        <w:rPr>
          <w:rFonts w:ascii="Arial" w:eastAsia="Times New Roman" w:hAnsi="Arial" w:cs="Arial"/>
          <w:sz w:val="24"/>
          <w:szCs w:val="24"/>
          <w:lang w:eastAsia="es-CR"/>
        </w:rPr>
        <w:t xml:space="preserve"> ,las que se dan a conocer casi al termino de periodo presidencial y en víspera del año electoral, como la del presidente Francisco Flores y su plan “Mano Dura” acompañada con la creación de la “Ley antimaras”</w:t>
      </w:r>
      <w:r w:rsidRPr="006A356C">
        <w:rPr>
          <w:rFonts w:ascii="Arial" w:eastAsia="Times New Roman" w:hAnsi="Arial" w:cs="Arial"/>
          <w:sz w:val="24"/>
          <w:szCs w:val="24"/>
          <w:vertAlign w:val="superscript"/>
          <w:lang w:eastAsia="es-CR"/>
        </w:rPr>
        <w:t>7</w:t>
      </w:r>
      <w:r w:rsidRPr="006A356C">
        <w:rPr>
          <w:rFonts w:ascii="Arial" w:eastAsia="Times New Roman" w:hAnsi="Arial" w:cs="Arial"/>
          <w:sz w:val="24"/>
          <w:szCs w:val="24"/>
          <w:lang w:eastAsia="es-CR"/>
        </w:rPr>
        <w:t xml:space="preserve"> , y con algunas propuestas como la dotación de mas recursos a los organismos policiales −no sólo en cuanto al incremento de recursos económicos que les permitirían contar con mayores y mejores elementos técnicos y humanos− a la par de reformas a Ley del Menor Infractor</w:t>
      </w:r>
      <w:r w:rsidRPr="006A356C">
        <w:rPr>
          <w:rFonts w:ascii="Arial" w:eastAsia="Times New Roman" w:hAnsi="Arial" w:cs="Arial"/>
          <w:sz w:val="24"/>
          <w:szCs w:val="24"/>
          <w:vertAlign w:val="superscript"/>
          <w:lang w:eastAsia="es-CR"/>
        </w:rPr>
        <w:t>8</w:t>
      </w:r>
      <w:r w:rsidRPr="006A356C">
        <w:rPr>
          <w:rFonts w:ascii="Arial" w:eastAsia="Times New Roman" w:hAnsi="Arial" w:cs="Arial"/>
          <w:sz w:val="24"/>
          <w:szCs w:val="24"/>
          <w:lang w:eastAsia="es-CR"/>
        </w:rPr>
        <w:t xml:space="preserve"> , elevar la severidad de las penas de prisión como ya lo vimos, la creación de nuevos tipos penales, recurrir a testigos de identidad reservada, agentes encubiertos, informantes estimulados por recompensas económicas; admitir la validez de pruebas obtenidas en violación de garantías constitucionales, etc., o en campañas electorales, como la que llevo a cabo el actual presidente de la Republica, cuando aspiraba a serlo, </w:t>
      </w:r>
      <w:r w:rsidRPr="006A356C">
        <w:rPr>
          <w:rFonts w:ascii="Arial" w:eastAsia="Times New Roman" w:hAnsi="Arial" w:cs="Arial"/>
          <w:sz w:val="24"/>
          <w:szCs w:val="24"/>
          <w:lang w:eastAsia="es-CR"/>
        </w:rPr>
        <w:lastRenderedPageBreak/>
        <w:t>con su plan “Súper mano dura” –que solo en su denominación ya adolece de error pues se comete un pleonasmo- las cuales y en su momento no han servido mas que solo para calificarlas de inconstitucionales o no aplicarlas en sede judicial, al igual que con la creación de la Ley Especial Contra Actos de Terrorismo, que tipifica actos que no pueden considerarse como tales ni tampoco sancionarse con las exageradas penas que prescribe y de igual forma la creación de la Ley Contra el Crimen Organizado y Delitos de Realización Compleja, que no reprime ni el crimen organizado ni delitos de realización compleja, sino que tiene la intención de juzgar por tribunales especiales y especialmente creados para esta función y aumentar las penas de los delitos ya contemplados en el Código Penal y este último, con cada reforma se parezca cada vez mas a un rompecabezas, compuesto de innumerables piezas de diversa procedencia e ideología, difícilmente reducibles a un denominador común que represente el pensamiento de la ley penal, y con sus efectos</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simbólicos</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 xml:space="preserve">que proporcionan a la opinión pública la ilusión de que la ley penal puede resolver o reducir el problema de la criminalidad, haciéndola ver como la forma de control social, formal o jurídica por excelencia, cuando su actuación debe ser posterior a las otras modalidades de control social no formales o no jurídicas, tales como las pautas de conductas derivadas de instancias familiares, educativas, culturales, profesionales, religiosas, políticas, económicas, etc. De esto deviene, el carácter de </w:t>
      </w:r>
      <w:r w:rsidRPr="006A356C">
        <w:rPr>
          <w:rFonts w:ascii="Arial" w:eastAsia="Times New Roman" w:hAnsi="Arial" w:cs="Arial"/>
          <w:i/>
          <w:iCs/>
          <w:sz w:val="24"/>
          <w:szCs w:val="24"/>
          <w:lang w:eastAsia="es-CR"/>
        </w:rPr>
        <w:t>ultima ratio</w:t>
      </w:r>
      <w:r w:rsidRPr="006A356C">
        <w:rPr>
          <w:rFonts w:ascii="Arial" w:eastAsia="Times New Roman" w:hAnsi="Arial" w:cs="Arial"/>
          <w:sz w:val="24"/>
          <w:szCs w:val="24"/>
          <w:lang w:eastAsia="es-CR"/>
        </w:rPr>
        <w:t xml:space="preserve"> del Derecho Penal, que comprende que la represión penal sólo debe funcionar cuando han fracasado las demás barreras protectoras del bien jurídico, previstas en otras ramas del ordenamiento jurídico (contravencionales, administrativas, civiles, etc.), y no de </w:t>
      </w:r>
      <w:r w:rsidRPr="006A356C">
        <w:rPr>
          <w:rFonts w:ascii="Arial" w:eastAsia="Times New Roman" w:hAnsi="Arial" w:cs="Arial"/>
          <w:i/>
          <w:iCs/>
          <w:sz w:val="24"/>
          <w:szCs w:val="24"/>
          <w:lang w:eastAsia="es-CR"/>
        </w:rPr>
        <w:t>prima ratio</w:t>
      </w:r>
      <w:r w:rsidRPr="006A356C">
        <w:rPr>
          <w:rFonts w:ascii="Arial" w:eastAsia="Times New Roman" w:hAnsi="Arial" w:cs="Arial"/>
          <w:sz w:val="24"/>
          <w:szCs w:val="24"/>
          <w:lang w:eastAsia="es-CR"/>
        </w:rPr>
        <w:t xml:space="preserve"> como lo hace ver nuestro gobierno y que ante la lesión al bien jurídico, el Derecho Penal responda con su cumplimiento y sancionando con la pena, porque lo importante es que la ley se cumpla no que la pena se haga mas severa.</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5</w:t>
      </w:r>
      <w:r w:rsidRPr="006A356C">
        <w:rPr>
          <w:rFonts w:ascii="Arial" w:eastAsia="Times New Roman" w:hAnsi="Arial" w:cs="Arial"/>
          <w:sz w:val="24"/>
          <w:szCs w:val="24"/>
          <w:lang w:eastAsia="es-CR"/>
        </w:rPr>
        <w:t>El General Maximiliano Hernández Martínez gobernó nuestro país desde 1932 hasta 1944.</w:t>
      </w:r>
    </w:p>
    <w:p w:rsidR="0073097A"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vertAlign w:val="superscript"/>
          <w:lang w:eastAsia="es-CR"/>
        </w:rPr>
        <w:t>6</w:t>
      </w:r>
      <w:r w:rsidRPr="006A356C">
        <w:rPr>
          <w:rFonts w:ascii="Arial" w:eastAsia="Times New Roman" w:hAnsi="Arial" w:cs="Arial"/>
          <w:sz w:val="24"/>
          <w:szCs w:val="24"/>
          <w:lang w:eastAsia="es-CR"/>
        </w:rPr>
        <w:t>Creada por decreto legislativo No.668 de fecha diecinueve de Marzo de 1996, que fue declarada inconstitucional en sus Arts.2,4,6,12,14 15 y 22 mediante sentencia pronunciada por la Sala de lo Constitucional el día catorce de Febrero de mil novecientos noventa y siete.-</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7</w:t>
      </w:r>
      <w:r w:rsidRPr="006A356C">
        <w:rPr>
          <w:rFonts w:ascii="Arial" w:eastAsia="Times New Roman" w:hAnsi="Arial" w:cs="Arial"/>
          <w:sz w:val="24"/>
          <w:szCs w:val="24"/>
          <w:lang w:eastAsia="es-CR"/>
        </w:rPr>
        <w:t>La Sala de lo Constitucional de la Corte Suprema de Justicia por Sentencia pronunciada el 1-04-2004, declaró la inconstitucionalidad de disposiciones legales contenidas en el decreto legislativo No.158 de fecha 9-10-2003 que contenía la “Ley Antimaras”.</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vertAlign w:val="superscript"/>
          <w:lang w:eastAsia="es-CR"/>
        </w:rPr>
        <w:t>8</w:t>
      </w:r>
      <w:r w:rsidRPr="006A356C">
        <w:rPr>
          <w:rFonts w:ascii="Arial" w:eastAsia="Times New Roman" w:hAnsi="Arial" w:cs="Arial"/>
          <w:sz w:val="24"/>
          <w:szCs w:val="24"/>
          <w:lang w:eastAsia="es-CR"/>
        </w:rPr>
        <w:t>Entre esas reformas se encontraba el cambio a “Ley Penal Juvenil”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Ni siquiera en la época de la guerra civil en que presuntamente se vivió mas inseguridad, se llegó siquiera a proponer, mucho menos aprobar una prolongación de la duración de la pena de prisión de treinta años, que regulaba el anterior código penal y mucho menos que hasta cumplida la mitad de la pena o las dos terceras partes de esta pudiera aspirar a libertad condicional o Libertad condicional anticipada, regulados en los Arts. 85 y 86 C. Pn.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Resulta verdaderamente difícil de comprender para personas como el suscrito, que me considero un estudiante de derecho, la introducción de reformas a la legislación penal, tan incompatibles con normas y principios garantístas, tanto de Derecho Nacional como Internacional, de los cuales es parte el país y que se precia de ser un Estado democrático, de derecho, como la antes referida, ni tampoco parece que la misma que se precia de ser severa, rígida y contundente hasta límites que rayan o son similares que la prisión perpetua, y que erradique completamente o haya reducido de forma importante la violencia.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En relación a lo anterior, considero importante mencionar otra reforma que se introdujo el 31 de Julio de 2001 en La Ley Penitenciaria, en el Art. 103, bajo el acápite de “Régimen de Internamiento Especial”, norma que violenta los derechos del interno durante la ejecución de la pena de prisión, estableciendo limitaciones a la persona sometida a este régimen ya que ésta debe conservar todos los demás derechos no afectados con esta pena directa o indirectamente y además que no beneficia en nada a la reinserción social, aumentando mas el ocio carcelario. </w:t>
      </w:r>
      <w:r w:rsidRPr="006A356C">
        <w:rPr>
          <w:rFonts w:ascii="Arial" w:eastAsia="Times New Roman" w:hAnsi="Arial" w:cs="Arial"/>
          <w:sz w:val="24"/>
          <w:szCs w:val="24"/>
          <w:lang w:eastAsia="es-CR"/>
        </w:rPr>
        <w:br/>
        <w:t xml:space="preserve">La quiebra que lo anterior representa para los principios jurídico penales establecidos en la citada ley, como el de legalidad, humanidad e igualdad, etc., es evidente y fue denunciada desde el primer momento por muchos de sus primeros comentaristas e instituciones que velan por la tutela de los derechos humanos en del país.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Autores como Jesús María Silva Sánchez, ha externado sus ideas en cuanto a esta búsqueda de respuestas en el Derecho Penal y el aumento de los límites de la pena de prisión, veamos a continuación parte de sus ideas. </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3. Derecho Penal de Dos Velocidades ( o de Tres?)</w:t>
      </w:r>
      <w:r w:rsidRPr="006A356C">
        <w:rPr>
          <w:rFonts w:ascii="Arial" w:eastAsia="Times New Roman" w:hAnsi="Arial" w:cs="Arial"/>
          <w:sz w:val="24"/>
          <w:szCs w:val="24"/>
          <w:lang w:eastAsia="es-CR"/>
        </w:rPr>
        <w:br/>
        <w:t xml:space="preserve">El profesor español Silva Sánchez, manifiesta que en la sociedad actual ante la presencia de una serie de fenómenos sociales, jurídicos y políticos que representan un catalogo de exigencias al Derecho Penal, entre los que podemos mencionar la aparición de nuevos bienes jurídicos o el aumento de valor de algunos existentes, como el terrorismo y la criminalidad organizada y otras, el aumento de la delincuencia callejera, la inmigración ilegal y la marginalidad, la institucionalización y la sensación social de inseguridad (al respecto, no puede dejarse de mencionar según él, la tarea de los medios de comunicación que muchas veces “transmiten una imagen de la realidad en la que lo lejano y lo cercano tienen una presencia casi idéntica en la representación del mensaje del receptor del mensaje”, que </w:t>
      </w:r>
      <w:r w:rsidRPr="006A356C">
        <w:rPr>
          <w:rFonts w:ascii="Arial" w:eastAsia="Times New Roman" w:hAnsi="Arial" w:cs="Arial"/>
          <w:sz w:val="24"/>
          <w:szCs w:val="24"/>
          <w:lang w:eastAsia="es-CR"/>
        </w:rPr>
        <w:lastRenderedPageBreak/>
        <w:t xml:space="preserve">conducen a la sociedad a pedir respuestas, al Derecho Penal, al que lo ven como a un instrumento capaz de generar consenso y reforzar la comunidad lo que trae como consecuencia el fenómeno de “expansión del Derecho Penal” y a través de éste, procura dar una respuesta a estas exigencias. </w:t>
      </w:r>
      <w:r w:rsidRPr="006A356C">
        <w:rPr>
          <w:rFonts w:ascii="Arial" w:eastAsia="Times New Roman" w:hAnsi="Arial" w:cs="Arial"/>
          <w:sz w:val="24"/>
          <w:szCs w:val="24"/>
          <w:lang w:eastAsia="es-CR"/>
        </w:rPr>
        <w:br/>
        <w:t xml:space="preserve">Ante esta realidad, el catedrático español, opina que resulta imposible </w:t>
      </w:r>
      <w:r w:rsidRPr="006A356C">
        <w:rPr>
          <w:rFonts w:ascii="Arial" w:eastAsia="Times New Roman" w:hAnsi="Arial" w:cs="Arial"/>
          <w:i/>
          <w:iCs/>
          <w:sz w:val="24"/>
          <w:szCs w:val="24"/>
          <w:lang w:eastAsia="es-CR"/>
        </w:rPr>
        <w:t>“</w:t>
      </w:r>
      <w:r w:rsidRPr="006A356C">
        <w:rPr>
          <w:rFonts w:ascii="Arial" w:eastAsia="Times New Roman" w:hAnsi="Arial" w:cs="Arial"/>
          <w:sz w:val="24"/>
          <w:szCs w:val="24"/>
          <w:lang w:eastAsia="es-CR"/>
        </w:rPr>
        <w:t>volver al viejo y buen derecho penal</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 xml:space="preserve">liberal”, Así ante el conflicto entre un Derecho Penal amplio y flexible y un Derecho Penal mínimo y rígido, se debe hallar un “punto medio”, y partiendo de las calidades de las penas existentes, sostiene que dentro de las funciones del Estado sobre una demanda social de punición, se puede llegar a un producto que resulte, funcional y garantísta. Así se tratará de salvaguardar el modelo clásico de imputación y de principios para el núcleo duro de los delitos que tienen asignada una pena de prisión, como también de los principios políticos criminales, como los que hemos citado: el principio de legalidad, el mandato de determinación o el principio de culpabilidad etc. </w:t>
      </w:r>
      <w:r w:rsidRPr="006A356C">
        <w:rPr>
          <w:rFonts w:ascii="Arial" w:eastAsia="Times New Roman" w:hAnsi="Arial" w:cs="Arial"/>
          <w:sz w:val="24"/>
          <w:szCs w:val="24"/>
          <w:lang w:eastAsia="es-CR"/>
        </w:rPr>
        <w:br/>
        <w:t>En ese orden de ideas, si la pena es de prisión, se debe mantener el sistema rígido de garantías del Derecho Penal clásico; y si la pena es privativa de derechos o pecuniaria, se permitiría la flexibilización de criterios, que resulten más cercano al Derecho Penal moderno; quedando así caracterizadas a juicio del autor las “dos velocidades” del Derecho Penal, una primera velocidad representada por el “Derecho penal de la cárcel” y una segunda velocidad, para los delitos de “penas privativas de derechos o pecuniarias”.</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Este autor, habla también de un derecho que de a poco va tendiendo a estabilizarse y crecer y el cual ha llamado</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derecho Penal de “Tercera Velocidad’ y es conocido como “Derecho Penal del Enemigo”, al cual parece que nos acercamos cada vez mas por la tendencia que lleva nuestro legislador en materia penal.</w:t>
      </w:r>
    </w:p>
    <w:p w:rsidR="0073097A" w:rsidRDefault="0073097A" w:rsidP="0073097A">
      <w:pPr>
        <w:spacing w:before="100" w:beforeAutospacing="1" w:after="100" w:afterAutospacing="1" w:line="360" w:lineRule="auto"/>
        <w:ind w:left="720"/>
        <w:jc w:val="both"/>
        <w:rPr>
          <w:rFonts w:ascii="Arial" w:eastAsia="Times New Roman" w:hAnsi="Arial" w:cs="Arial"/>
          <w:b/>
          <w:bCs/>
          <w:sz w:val="24"/>
          <w:szCs w:val="24"/>
          <w:lang w:eastAsia="es-CR"/>
        </w:rPr>
      </w:pPr>
      <w:r w:rsidRPr="006A356C">
        <w:rPr>
          <w:rFonts w:ascii="Arial" w:eastAsia="Times New Roman" w:hAnsi="Arial" w:cs="Arial"/>
          <w:b/>
          <w:bCs/>
          <w:sz w:val="24"/>
          <w:szCs w:val="24"/>
          <w:lang w:eastAsia="es-CR"/>
        </w:rPr>
        <w:t>4. Derecho Penal del Enemigo</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Su máximo exponente es Günther Jakobs, ex catedrático de la Universidad de Bonn (Alemania), acreditado penalista, quien preocupado por los peligros de la nueva sociedad de riesgos, y partiendo de las construcciones contractualitas del Estado de Hobbes y Kant, propone el Derecho Penal del Enemigo (</w:t>
      </w:r>
      <w:r w:rsidRPr="006A356C">
        <w:rPr>
          <w:rFonts w:ascii="Arial" w:eastAsia="Times New Roman" w:hAnsi="Arial" w:cs="Arial"/>
          <w:i/>
          <w:iCs/>
          <w:sz w:val="24"/>
          <w:szCs w:val="24"/>
          <w:lang w:eastAsia="es-CR"/>
        </w:rPr>
        <w:t>Feindstrafrecht</w:t>
      </w:r>
      <w:r w:rsidRPr="006A356C">
        <w:rPr>
          <w:rFonts w:ascii="Arial" w:eastAsia="Times New Roman" w:hAnsi="Arial" w:cs="Arial"/>
          <w:sz w:val="24"/>
          <w:szCs w:val="24"/>
          <w:lang w:eastAsia="es-CR"/>
        </w:rPr>
        <w:t>), en oposición al de los ciudadanos (</w:t>
      </w:r>
      <w:r w:rsidRPr="006A356C">
        <w:rPr>
          <w:rFonts w:ascii="Arial" w:eastAsia="Times New Roman" w:hAnsi="Arial" w:cs="Arial"/>
          <w:i/>
          <w:iCs/>
          <w:sz w:val="24"/>
          <w:szCs w:val="24"/>
          <w:lang w:eastAsia="es-CR"/>
        </w:rPr>
        <w:t>Bürgerstrafrecht</w:t>
      </w:r>
      <w:r w:rsidRPr="006A356C">
        <w:rPr>
          <w:rFonts w:ascii="Arial" w:eastAsia="Times New Roman" w:hAnsi="Arial" w:cs="Arial"/>
          <w:sz w:val="24"/>
          <w:szCs w:val="24"/>
          <w:lang w:eastAsia="es-CR"/>
        </w:rPr>
        <w:t xml:space="preserve">). Según este autor, con este derecho, el legislador no dialoga con sus ciudadanos, sino que amenaza a sus enemigos, conminando sus delitos con penas draconianas, recortando las garantías procesales y ampliando las posibilidades de sancionar el </w:t>
      </w:r>
      <w:r w:rsidRPr="006A356C">
        <w:rPr>
          <w:rFonts w:ascii="Arial" w:eastAsia="Times New Roman" w:hAnsi="Arial" w:cs="Arial"/>
          <w:i/>
          <w:iCs/>
          <w:sz w:val="24"/>
          <w:szCs w:val="24"/>
          <w:lang w:eastAsia="es-CR"/>
        </w:rPr>
        <w:t xml:space="preserve">“enemigo” </w:t>
      </w:r>
      <w:r w:rsidRPr="006A356C">
        <w:rPr>
          <w:rFonts w:ascii="Arial" w:eastAsia="Times New Roman" w:hAnsi="Arial" w:cs="Arial"/>
          <w:sz w:val="24"/>
          <w:szCs w:val="24"/>
          <w:lang w:eastAsia="es-CR"/>
        </w:rPr>
        <w:t xml:space="preserve">quien es un individuo que, mediante su comportamiento individual o como parte de una organización, ha abandonado el Derecho, de modo supuestamente duradero y no sólo de manera incidental; es alguien que no garantiza la mínima seguridad cognitiva de su comportamiento personal y manifiesta ese déficit a través de su conducta. El tránsito del </w:t>
      </w:r>
      <w:r w:rsidRPr="006A356C">
        <w:rPr>
          <w:rFonts w:ascii="Arial" w:eastAsia="Times New Roman" w:hAnsi="Arial" w:cs="Arial"/>
          <w:i/>
          <w:iCs/>
          <w:sz w:val="24"/>
          <w:szCs w:val="24"/>
          <w:lang w:eastAsia="es-CR"/>
        </w:rPr>
        <w:t>“</w:t>
      </w:r>
      <w:r w:rsidRPr="006A356C">
        <w:rPr>
          <w:rFonts w:ascii="Arial" w:eastAsia="Times New Roman" w:hAnsi="Arial" w:cs="Arial"/>
          <w:sz w:val="24"/>
          <w:szCs w:val="24"/>
          <w:lang w:eastAsia="es-CR"/>
        </w:rPr>
        <w:t>ciudadano” al “enemigo</w:t>
      </w:r>
      <w:r w:rsidRPr="006A356C">
        <w:rPr>
          <w:rFonts w:ascii="Arial" w:eastAsia="Times New Roman" w:hAnsi="Arial" w:cs="Arial"/>
          <w:i/>
          <w:iCs/>
          <w:sz w:val="24"/>
          <w:szCs w:val="24"/>
          <w:lang w:eastAsia="es-CR"/>
        </w:rPr>
        <w:t>”</w:t>
      </w:r>
      <w:r w:rsidRPr="006A356C">
        <w:rPr>
          <w:rFonts w:ascii="Arial" w:eastAsia="Times New Roman" w:hAnsi="Arial" w:cs="Arial"/>
          <w:sz w:val="24"/>
          <w:szCs w:val="24"/>
          <w:lang w:eastAsia="es-CR"/>
        </w:rPr>
        <w:t xml:space="preserve"> se iría produciendo mediante la reincidencia, la habitualidad, la profesionalidad delictiva y, finalmente, la integración en organizaciones delictivas estructuradas. Y en ese tránsito, más allá del significado de cada hecho delictivo concreto, se manifestaría una dimensión fáctica de peligrosida</w:t>
      </w:r>
      <w:r w:rsidRPr="006A356C">
        <w:rPr>
          <w:rFonts w:ascii="Arial" w:eastAsia="Times New Roman" w:hAnsi="Arial" w:cs="Arial"/>
          <w:i/>
          <w:iCs/>
          <w:sz w:val="24"/>
          <w:szCs w:val="24"/>
          <w:lang w:eastAsia="es-CR"/>
        </w:rPr>
        <w:t>d</w:t>
      </w:r>
      <w:r w:rsidRPr="006A356C">
        <w:rPr>
          <w:rFonts w:ascii="Arial" w:eastAsia="Times New Roman" w:hAnsi="Arial" w:cs="Arial"/>
          <w:sz w:val="24"/>
          <w:szCs w:val="24"/>
          <w:lang w:eastAsia="es-CR"/>
        </w:rPr>
        <w:t xml:space="preserve">, a la que habría que hacer frente de modo expeditivo, a través de un ordenamiento jurídico especial: recortando las garantías procesales y ampliando las posibilidades de sancionar conductas muy alejadas de la lesión de un bien jurídico. </w:t>
      </w:r>
    </w:p>
    <w:p w:rsidR="0073097A" w:rsidRDefault="0073097A" w:rsidP="0073097A">
      <w:pPr>
        <w:spacing w:before="100" w:beforeAutospacing="1" w:after="100" w:afterAutospacing="1" w:line="360" w:lineRule="auto"/>
        <w:ind w:left="720"/>
        <w:jc w:val="both"/>
        <w:rPr>
          <w:rFonts w:ascii="Arial" w:eastAsia="Times New Roman" w:hAnsi="Arial" w:cs="Arial"/>
          <w:i/>
          <w:iCs/>
          <w:sz w:val="24"/>
          <w:szCs w:val="24"/>
          <w:lang w:eastAsia="es-CR"/>
        </w:rPr>
      </w:pPr>
      <w:r w:rsidRPr="006A356C">
        <w:rPr>
          <w:rFonts w:ascii="Arial" w:eastAsia="Times New Roman" w:hAnsi="Arial" w:cs="Arial"/>
          <w:sz w:val="24"/>
          <w:szCs w:val="24"/>
          <w:lang w:eastAsia="es-CR"/>
        </w:rPr>
        <w:t>Jakobs, afirma que “un Derecho penal del enemigo claramente delimitado es menos peligroso, desde la perspectiva del Estado de Derecho, que</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entremezclar todo el Derecho penal con fragmentos de regulaciones propias del Derecho penal del enemigo”.</w:t>
      </w:r>
      <w:r w:rsidRPr="006A356C">
        <w:rPr>
          <w:rFonts w:ascii="Arial" w:eastAsia="Times New Roman" w:hAnsi="Arial" w:cs="Arial"/>
          <w:i/>
          <w:iCs/>
          <w:sz w:val="24"/>
          <w:szCs w:val="24"/>
          <w:lang w:eastAsia="es-CR"/>
        </w:rPr>
        <w:t xml:space="preserve"> </w:t>
      </w:r>
    </w:p>
    <w:p w:rsidR="0073097A" w:rsidRDefault="0073097A" w:rsidP="0073097A">
      <w:pPr>
        <w:spacing w:before="100" w:beforeAutospacing="1" w:after="100" w:afterAutospacing="1" w:line="360" w:lineRule="auto"/>
        <w:ind w:left="720"/>
        <w:jc w:val="both"/>
        <w:rPr>
          <w:rFonts w:ascii="Arial" w:eastAsia="Times New Roman" w:hAnsi="Arial" w:cs="Arial"/>
          <w:b/>
          <w:bCs/>
          <w:sz w:val="24"/>
          <w:szCs w:val="24"/>
          <w:lang w:eastAsia="es-CR"/>
        </w:rPr>
      </w:pPr>
      <w:r w:rsidRPr="006A356C">
        <w:rPr>
          <w:rFonts w:ascii="Arial" w:eastAsia="Times New Roman" w:hAnsi="Arial" w:cs="Arial"/>
          <w:b/>
          <w:bCs/>
          <w:sz w:val="24"/>
          <w:szCs w:val="24"/>
          <w:lang w:eastAsia="es-CR"/>
        </w:rPr>
        <w:t>5. Conclusiones</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El delito, como fenómeno es complejo y obedece a muchas causas por lo que se debe estudiar cada una de ellas y poner en prácticas programas de prevención y no políticas criminales de represión.</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La solución al problema de la violencia e inseguridad no viene por la “inflación penal” o por el “endurecimiento de la pena de prisión”, éste vendrá dado en la medida en que el Derecho Penal, responda con su cumplimiento y sancionando con la pena, porque lo importante es que la ley se cumpla no que la pena se haga mas severa.</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El Derecho Penal, como sistema de control social, sólo podrá tener eficacia, si va acompañado y apoyado por otros sistemas de control social, los informales, que tiene su inicio en el núcleo familiar, en la comunidad educativa, en las asociaciones civiles (clubes, centros vecinales, etc.), en las asociaciones profesionales, religiosas, etc. </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Se deben fortalecer mediante recursos materiales y humanos a los organismos de seguridad y de justicia que trabajan contra el delito, (PNC, FGR etc.), fomentar su capacitación profesional.</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Considero que todo esto se puede hacer dentro de los principios de un Estado de Derecho, -que nuestros gobernantes se precian de tener-, dentro de los postulados que nos da la democracia, como forma de vida y gobierno que hemos elegido vivir.</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La solución no debe venir de las directrices de un Derecho Penal de Dos Velocidades o de Tres o de un Derecho Penal del Enemigo, aunque esta pareciera ser la tendencia mundial y a la que, tal como estamos caminando, difícilmente podamos sustraernos.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El aumento desmedido de las penas de prisión, no ha podido demostrar su eficacia para disminuir la criminalidad, al contrario, aparte de lesionar </w:t>
      </w:r>
      <w:r w:rsidRPr="006A356C">
        <w:rPr>
          <w:rFonts w:ascii="Arial" w:eastAsia="Times New Roman" w:hAnsi="Arial" w:cs="Arial"/>
          <w:sz w:val="24"/>
          <w:szCs w:val="24"/>
          <w:lang w:eastAsia="es-CR"/>
        </w:rPr>
        <w:lastRenderedPageBreak/>
        <w:t xml:space="preserve">también principios fundamentales como el de la dignidad humana, mantiene saturado el sistema penitenciario.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La historia ha demostrado que los sistemas penales más represivos, caracterizados por desconocer los derechos de los acusados, lejos de haber sido eficientes para tutelar derechos fundamentales, produjeron un aumento de la criminalidad y de la impunidad por lo que se debe aprender de ésta.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u w:val="single"/>
          <w:lang w:eastAsia="es-CR"/>
        </w:rPr>
        <w:t>BIBLIOGRAFÍA</w:t>
      </w:r>
    </w:p>
    <w:p w:rsidR="0073097A" w:rsidRPr="006A356C" w:rsidRDefault="0073097A" w:rsidP="0073097A">
      <w:pPr>
        <w:spacing w:after="0" w:line="360" w:lineRule="auto"/>
        <w:ind w:left="720"/>
        <w:jc w:val="both"/>
        <w:rPr>
          <w:rFonts w:ascii="Arial" w:eastAsia="Times New Roman" w:hAnsi="Arial" w:cs="Arial"/>
          <w:sz w:val="24"/>
          <w:szCs w:val="24"/>
          <w:lang w:eastAsia="es-CR"/>
        </w:rPr>
      </w:pP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Anaya Barraza, Salvador y otros. “Teoría de la Constitución Salvadoreña”. 1ª. Edición, Proyecto de Reforma Judicial, San Salvador.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Bertrand Galindo, Francisco y otros. “Manual de Derecho Constitucional” 1ª. Edición, Proyecto de Reforma Judicial, San Salvador, 1992. </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Larrauri Pijoan, Elena y otros. “Ciencias Penales. Monografías”. 1ª. Edición. C.N.J. San Salvador, 2000.</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 Vicente Martínez, Rosario. “El Principio de Legalidad Penal”. Tirant lo Blanch, Colección Los Delitos, 2004. </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Ferrajoli, Luigi. “Derecho y Razón, Teoría del Garantísmo Penal” Edición Trota, 1989.</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González Bonilla, Rodolfo Ernesto. “Constitución y Jurisprudencia Constitucional”. 1ª. Edición. Sección de Publicaciones de la Corte Suprema de Justicia, San Salvador, 2003.</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Jakobs, Günther - Cancio Melia Manuel. “</w:t>
      </w:r>
      <w:r w:rsidRPr="006A356C">
        <w:rPr>
          <w:rFonts w:ascii="Arial" w:eastAsia="Times New Roman" w:hAnsi="Arial" w:cs="Arial"/>
          <w:i/>
          <w:iCs/>
          <w:sz w:val="24"/>
          <w:szCs w:val="24"/>
          <w:lang w:eastAsia="es-CR"/>
        </w:rPr>
        <w:t>Derecho Penal del Enemigo”.</w:t>
      </w:r>
      <w:r w:rsidRPr="006A356C">
        <w:rPr>
          <w:rFonts w:ascii="Arial" w:eastAsia="Times New Roman" w:hAnsi="Arial" w:cs="Arial"/>
          <w:sz w:val="24"/>
          <w:szCs w:val="24"/>
          <w:lang w:eastAsia="es-CR"/>
        </w:rPr>
        <w:t xml:space="preserve"> Thomson-Civitas, Madrid, 2003.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Jaén Vallejos, Manuel “Los Principios Superiores del Derecho Penal”. Dykinson 1999.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Líneas y Criterios Jurisprudenciales de la Sala de lo Constitucional 1ª. Edición, Sección de Publicaciones de la Corte Suprema de Justicia. San Salvador 2003.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Moreno Carrasco-Rueda García. “Código Penal de El Salvador Comentado”. San Salvador, 1999.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Pérez Luño, Antonio Enrique: “Derechos Humanos, Estado de Derecho y Constitución”. 5ª. Edición, Editorial Tecnos. Madrid. 1995. </w:t>
      </w:r>
    </w:p>
    <w:p w:rsidR="0073097A"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Dr. Francisco Muñoz Conde.</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Revista Electrónica de Ciencias Jurídicas. RECJ.02.01/05 1</w:t>
      </w:r>
      <w:r w:rsidRPr="006A356C">
        <w:rPr>
          <w:rFonts w:ascii="Arial" w:eastAsia="Times New Roman" w:hAnsi="Arial" w:cs="Arial"/>
          <w:sz w:val="24"/>
          <w:szCs w:val="24"/>
          <w:lang w:eastAsia="es-CR"/>
        </w:rPr>
        <w:br/>
        <w:t>www.pgj.ma.gov.br/ampem/ampem1.asp</w:t>
      </w:r>
      <w:r w:rsidRPr="006A356C">
        <w:rPr>
          <w:rFonts w:ascii="Arial" w:eastAsia="Times New Roman" w:hAnsi="Arial" w:cs="Arial"/>
          <w:sz w:val="24"/>
          <w:szCs w:val="24"/>
          <w:lang w:eastAsia="es-CR"/>
        </w:rPr>
        <w:br/>
      </w:r>
      <w:hyperlink r:id="rId4" w:history="1">
        <w:r w:rsidRPr="006A356C">
          <w:rPr>
            <w:rFonts w:ascii="Arial" w:eastAsia="Times New Roman" w:hAnsi="Arial" w:cs="Arial"/>
            <w:sz w:val="24"/>
            <w:szCs w:val="24"/>
            <w:u w:val="single"/>
            <w:lang w:eastAsia="es-CR"/>
          </w:rPr>
          <w:t>http://www.carlosparma.com.ar/nunez2003.http</w:t>
        </w:r>
      </w:hyperlink>
      <w:r w:rsidRPr="006A356C">
        <w:rPr>
          <w:rFonts w:ascii="Arial" w:eastAsia="Times New Roman" w:hAnsi="Arial" w:cs="Arial"/>
          <w:sz w:val="24"/>
          <w:szCs w:val="24"/>
          <w:lang w:eastAsia="es-CR"/>
        </w:rPr>
        <w:t xml:space="preserve">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u w:val="single"/>
          <w:lang w:eastAsia="es-CR"/>
        </w:rPr>
        <w:t>LEGISLACIÓN</w:t>
      </w:r>
    </w:p>
    <w:p w:rsidR="0073097A" w:rsidRPr="006A356C" w:rsidRDefault="0073097A" w:rsidP="0073097A">
      <w:pPr>
        <w:spacing w:after="0" w:line="360" w:lineRule="auto"/>
        <w:ind w:left="720"/>
        <w:jc w:val="both"/>
        <w:rPr>
          <w:rFonts w:ascii="Arial" w:eastAsia="Times New Roman" w:hAnsi="Arial" w:cs="Arial"/>
          <w:sz w:val="24"/>
          <w:szCs w:val="24"/>
          <w:lang w:eastAsia="es-CR"/>
        </w:rPr>
      </w:pP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CONSTITUCION DE LA REPÚBLICA DE EL SALVADOR.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CONVENCIÓN AMERICANA SOBRE DERECHOS HUMANOS.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CÓDIGO PENAL SALVADOREÑO.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CÓDIGO PROCESAL PENAL SALVADOREÑO.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-DECLARACIÓN AMERICANA DE LOS DERECHOS Y DEBERES DEL HOMBRE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LEY PENITENCIARIA. </w:t>
      </w:r>
    </w:p>
    <w:p w:rsidR="0073097A" w:rsidRPr="006A356C" w:rsidRDefault="0073097A" w:rsidP="0073097A">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PACTO INTERNACIONAL DE DERECHOS CIVILES Y POLÍTICOS.</w:t>
      </w:r>
    </w:p>
    <w:tbl>
      <w:tblPr>
        <w:tblW w:w="5000" w:type="pct"/>
        <w:tblCellSpacing w:w="0" w:type="dxa"/>
        <w:tblCellMar>
          <w:left w:w="0" w:type="dxa"/>
          <w:right w:w="0" w:type="dxa"/>
        </w:tblCellMar>
        <w:tblLook w:val="04A0"/>
      </w:tblPr>
      <w:tblGrid>
        <w:gridCol w:w="8838"/>
      </w:tblGrid>
      <w:tr w:rsidR="0073097A" w:rsidRPr="006A356C" w:rsidTr="002B4915">
        <w:trPr>
          <w:tblCellSpacing w:w="0" w:type="dxa"/>
        </w:trPr>
        <w:tc>
          <w:tcPr>
            <w:tcW w:w="5000" w:type="pct"/>
            <w:shd w:val="clear" w:color="auto" w:fill="EFEFEF"/>
            <w:hideMark/>
          </w:tcPr>
          <w:p w:rsidR="0073097A" w:rsidRPr="006A356C" w:rsidRDefault="0073097A" w:rsidP="002B4915">
            <w:pPr>
              <w:spacing w:after="0" w:line="360" w:lineRule="auto"/>
              <w:jc w:val="both"/>
              <w:rPr>
                <w:rFonts w:ascii="Arial" w:eastAsia="Times New Roman" w:hAnsi="Arial" w:cs="Arial"/>
                <w:sz w:val="24"/>
                <w:szCs w:val="24"/>
                <w:lang w:eastAsia="es-CR"/>
              </w:rPr>
            </w:pPr>
          </w:p>
        </w:tc>
      </w:tr>
      <w:tr w:rsidR="0073097A" w:rsidRPr="006A356C" w:rsidTr="002B4915">
        <w:trPr>
          <w:tblCellSpacing w:w="0" w:type="dxa"/>
        </w:trPr>
        <w:tc>
          <w:tcPr>
            <w:tcW w:w="5000" w:type="pct"/>
            <w:shd w:val="clear" w:color="auto" w:fill="ECF7FF"/>
            <w:hideMark/>
          </w:tcPr>
          <w:p w:rsidR="0073097A" w:rsidRPr="006A356C" w:rsidRDefault="0073097A" w:rsidP="002B4915">
            <w:pPr>
              <w:spacing w:after="0" w:line="360" w:lineRule="auto"/>
              <w:jc w:val="both"/>
              <w:rPr>
                <w:rFonts w:ascii="Arial" w:eastAsia="Times New Roman" w:hAnsi="Arial" w:cs="Arial"/>
                <w:sz w:val="24"/>
                <w:szCs w:val="24"/>
                <w:lang w:eastAsia="es-CR"/>
              </w:rPr>
            </w:pPr>
          </w:p>
        </w:tc>
      </w:tr>
    </w:tbl>
    <w:p w:rsidR="0073097A" w:rsidRDefault="0073097A" w:rsidP="0073097A">
      <w:pPr>
        <w:spacing w:after="0" w:line="360" w:lineRule="auto"/>
        <w:jc w:val="both"/>
        <w:rPr>
          <w:rFonts w:ascii="Arial" w:eastAsia="Times New Roman" w:hAnsi="Arial" w:cs="Arial"/>
          <w:b/>
          <w:bCs/>
          <w:color w:val="FF0000"/>
          <w:sz w:val="36"/>
          <w:szCs w:val="36"/>
          <w:lang w:eastAsia="es-CR"/>
        </w:rPr>
      </w:pPr>
    </w:p>
    <w:p w:rsidR="0073097A" w:rsidRDefault="0073097A" w:rsidP="0073097A">
      <w:pPr>
        <w:spacing w:after="0" w:line="360" w:lineRule="auto"/>
        <w:jc w:val="both"/>
        <w:rPr>
          <w:rFonts w:ascii="Arial" w:eastAsia="Times New Roman" w:hAnsi="Arial" w:cs="Arial"/>
          <w:b/>
          <w:bCs/>
          <w:color w:val="FF0000"/>
          <w:sz w:val="36"/>
          <w:szCs w:val="36"/>
          <w:lang w:eastAsia="es-CR"/>
        </w:rPr>
      </w:pPr>
    </w:p>
    <w:p w:rsidR="0073097A" w:rsidRDefault="0073097A" w:rsidP="0073097A">
      <w:pPr>
        <w:spacing w:after="0" w:line="360" w:lineRule="auto"/>
        <w:jc w:val="both"/>
        <w:rPr>
          <w:rFonts w:ascii="Arial" w:eastAsia="Times New Roman" w:hAnsi="Arial" w:cs="Arial"/>
          <w:b/>
          <w:bCs/>
          <w:color w:val="FF0000"/>
          <w:sz w:val="36"/>
          <w:szCs w:val="36"/>
          <w:lang w:eastAsia="es-CR"/>
        </w:rPr>
      </w:pPr>
    </w:p>
    <w:p w:rsidR="0073097A" w:rsidRDefault="0073097A" w:rsidP="0073097A">
      <w:pPr>
        <w:spacing w:after="0" w:line="360" w:lineRule="auto"/>
        <w:jc w:val="both"/>
        <w:rPr>
          <w:rFonts w:ascii="Arial" w:eastAsia="Times New Roman" w:hAnsi="Arial" w:cs="Arial"/>
          <w:b/>
          <w:bCs/>
          <w:color w:val="FF0000"/>
          <w:sz w:val="36"/>
          <w:szCs w:val="36"/>
          <w:lang w:eastAsia="es-CR"/>
        </w:rPr>
      </w:pPr>
    </w:p>
    <w:p w:rsidR="0073097A" w:rsidRPr="00DA3808" w:rsidRDefault="0073097A" w:rsidP="0073097A">
      <w:pPr>
        <w:spacing w:after="0" w:line="360" w:lineRule="auto"/>
        <w:jc w:val="both"/>
        <w:rPr>
          <w:rFonts w:ascii="Arial" w:eastAsia="Times New Roman" w:hAnsi="Arial" w:cs="Arial"/>
          <w:b/>
          <w:bCs/>
          <w:color w:val="FF0000"/>
          <w:sz w:val="36"/>
          <w:szCs w:val="36"/>
          <w:lang w:eastAsia="es-CR"/>
        </w:rPr>
      </w:pPr>
      <w:r w:rsidRPr="00DA3808">
        <w:rPr>
          <w:rFonts w:ascii="Arial" w:eastAsia="Times New Roman" w:hAnsi="Arial" w:cs="Arial"/>
          <w:b/>
          <w:bCs/>
          <w:color w:val="FF0000"/>
          <w:sz w:val="36"/>
          <w:szCs w:val="36"/>
          <w:lang w:eastAsia="es-CR"/>
        </w:rPr>
        <w:t>DEBIDO PROCESO Y DERECHO DE DEFENSA FRENTE A LA LEY PARA LA PROTECCION DE VICTIMAS Y TESTIGOS.-</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Flores Acosta,  Claus Arthur</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Penal.-</w:t>
      </w: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p>
    <w:p w:rsidR="0073097A" w:rsidRDefault="0073097A" w:rsidP="0073097A">
      <w:pPr>
        <w:spacing w:after="0" w:line="360" w:lineRule="auto"/>
        <w:jc w:val="both"/>
        <w:rPr>
          <w:rFonts w:ascii="Arial" w:eastAsia="Times New Roman" w:hAnsi="Arial" w:cs="Arial"/>
          <w:b/>
          <w:bCs/>
          <w:sz w:val="24"/>
          <w:szCs w:val="24"/>
          <w:lang w:eastAsia="es-CR"/>
        </w:rPr>
      </w:pP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73097A" w:rsidRPr="006A356C" w:rsidRDefault="0073097A" w:rsidP="0073097A">
      <w:pPr>
        <w:spacing w:after="0" w:line="360" w:lineRule="auto"/>
        <w:ind w:left="720"/>
        <w:jc w:val="both"/>
        <w:rPr>
          <w:rFonts w:ascii="Arial" w:eastAsia="Times New Roman" w:hAnsi="Arial" w:cs="Arial"/>
          <w:sz w:val="24"/>
          <w:szCs w:val="24"/>
          <w:lang w:eastAsia="es-CR"/>
        </w:rPr>
      </w:pP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Debido Proceso y Derecho de Defensa frente a la Ley Especial para la Protección de Víctimas y Testigos</w:t>
      </w: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Claus Arthur Flores Acosta*</w:t>
      </w:r>
    </w:p>
    <w:p w:rsidR="0073097A" w:rsidRPr="006A356C" w:rsidRDefault="0073097A" w:rsidP="0073097A">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*Becario de la Tercera Promoción del Programa de Formación Inicial para Jueces-PFI</w:t>
      </w:r>
    </w:p>
    <w:p w:rsidR="0073097A" w:rsidRPr="006A356C" w:rsidRDefault="0073097A" w:rsidP="0073097A">
      <w:pPr>
        <w:spacing w:after="24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r>
      <w:r w:rsidRPr="006A356C">
        <w:rPr>
          <w:rFonts w:ascii="Arial" w:eastAsia="Times New Roman" w:hAnsi="Arial" w:cs="Arial"/>
          <w:b/>
          <w:bCs/>
          <w:sz w:val="24"/>
          <w:szCs w:val="24"/>
          <w:lang w:eastAsia="es-CR"/>
        </w:rPr>
        <w:t>ABREVIATURAS UTILIZADAS</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Art. Artículo</w:t>
      </w: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Cn Constitución de la República de El Salvador</w:t>
      </w:r>
      <w:r w:rsidRPr="006A356C">
        <w:rPr>
          <w:rFonts w:ascii="Arial" w:eastAsia="Times New Roman" w:hAnsi="Arial" w:cs="Arial"/>
          <w:sz w:val="24"/>
          <w:szCs w:val="24"/>
          <w:lang w:eastAsia="es-CR"/>
        </w:rPr>
        <w:br/>
        <w:t>- CPP Código Procesal Penal de la República de El Salvador</w:t>
      </w:r>
      <w:r w:rsidRPr="006A356C">
        <w:rPr>
          <w:rFonts w:ascii="Arial" w:eastAsia="Times New Roman" w:hAnsi="Arial" w:cs="Arial"/>
          <w:sz w:val="24"/>
          <w:szCs w:val="24"/>
          <w:lang w:eastAsia="es-CR"/>
        </w:rPr>
        <w:br/>
        <w:t xml:space="preserve">- Inc. Inciso </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Sumario. Introducción. 1. Consideraciones Previas. 2. Aplicación de las Medidas de Protección. 2.1 Ámbito Subjetivo. 2.2 Ámbito objetivo. 2.2.1 El Peligro Grave. 2.2.2 Juicio de Proporcionalidad. 3. Principio de Unidad y Exclusividad de la Jurisdicción.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Introducción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En un Estado de Derecho como el nuestro, cabe preguntarse: ¿Es posible la convivencia de procesos penales eficaces y garantistas y el respeto de las garantías fundamentales como la vida y la integridad física?</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Y es que ésta surge en la mente de este servidor, al leer la actual Ley Especial para la Protección de Víctimas y Testigos, y compararla recordando los objetivos esenciales de nuestro Código Procesal Penal, cuando entró en vigencia, dentro de los cuales están: el contribuir a la eficacia de la persecución penal, y el respeto de los derechos de los ciudadanos involucrados en un hecho que reviste características de delito. </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Es por lo anterior, que el presente trabajo versara sobre los derechos constitucionales de defensa y debido proceso, (no de conceptos o definiciones de éstos) frente a los derechos también constitucionales de vida e integridad física, que se pretenden proteger en la Ley Especial para la Protección de Víctimas y Testigos, en donde se provoca forzosamente el debate con relación al enfrentamiento entre el debido proceso y derecho de defensa del imputado, con </w:t>
      </w:r>
      <w:r w:rsidRPr="006A356C">
        <w:rPr>
          <w:rFonts w:ascii="Arial" w:eastAsia="Times New Roman" w:hAnsi="Arial" w:cs="Arial"/>
          <w:sz w:val="24"/>
          <w:szCs w:val="24"/>
          <w:lang w:eastAsia="es-CR"/>
        </w:rPr>
        <w:lastRenderedPageBreak/>
        <w:t>derechos fundamentales como la vida o la integridad física de las personas, que por razones circunstanciales han asumido las calidades procesales de víctima o testigo de delitos.</w:t>
      </w:r>
    </w:p>
    <w:p w:rsidR="0073097A" w:rsidRDefault="0073097A" w:rsidP="0073097A">
      <w:pPr>
        <w:spacing w:after="0" w:line="360" w:lineRule="auto"/>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1. Consideraciones Previas</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necesario partir de la consideración de que ningún derecho fundamental puede alcanzar un carácter absoluto; tal cosa sería incompatible con el carácter universal de esa clase de derechos, pues ello supone el reconocimiento de los mismos a todas las personas por igual, de tal forma que al enfrentarse esos derechos, concebidos como absolutos, resultaría un conflicto carente de solución que no sea por la anulación completa de uno de ellos que cede frente al otro, lo cual es ilegítimo. Mientras que, al entender que esos derechos admiten algunas restricciones sin que eso suponga su total anulación, estaríamos en condiciones de entender que bajo ciertas circunstancias, algunas formas de ejercicio de un derecho, que no el derecho mismo, pueden verse comprimidas con el propósito de que otro derecho fundamental se mantenga indemne y alejado del peligro de conculcación, que el ejercicio pleno y absoluto del derecho comprimido representaría para él, de no establecer aquellos límites. Eso precisamente es lo que ocurre con el derecho de defensa, cuando se ve frente al derecho a la vida y a la integridad física de las personas, ambos derechos fundamentales reconocidos en el Art. 2 Cn. Si en el ejercicio irrestricto de este derecho, puede llegar a tener origen un peligro para la vida o la integridad física de testigos o víctimas, por supuesto que la norma constitucional ha de aconsejar una reducción en alguna forma de ejercicio de la defensa en juicio, que resulte tolerable en un Estado de Derecho. Recordemos que el Art. 2 Cn., no solo reconoce aquellos derechos, sino que además establece la correlativa obligación del Estado de protegerlos, con lo cual el mismo Estado, que tiene obligación de asegurar todas las garantías necesarias para la defensa en juicio-conforme al Art. 12 Cn., tiene el deber de proteger los derechos a la vida y a la integridad física de personas que los ven amenazados por su participación como testigos o víctimas en un proceso penal.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t>Resultaría, pues, ilegítimo que se imponga el deber de colaborar con la administración de justicia, sin que a cambio se garantice la incolumidad de aquellos derechos. Es ese papel de protección, el que juega cualquier régimen de protección de testigos. Es decir, el fin inmediato de ese régimen ha de ser dar satisfacción a la obligación que tiene el Estado de empeñarse en la preservación de los derechos fundamentales de las personas que los ven amenazados y solo mediatamente proteger al testigo en tanto órgano de prueba inalterado y con ello el destierro de la impunidad. Esto es, la eficacia procesal, no puede ser el fin último del régimen de protección, pues de lo contrario podría introducirse cualquier clase de mecanismos de protección, que bajo pretexto de lograr aquella, pretendida eficacia procesal, resulten en injerencias ilegítimas en derechos fundamentales o garantías procesales importantes. Para evitar esto, es necesario identificar adecuadamente los presupuestos que legitiman la aplicación de medidas de protección.</w:t>
      </w: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 Aplicación de las Medidas de Protección</w:t>
      </w:r>
    </w:p>
    <w:p w:rsidR="0073097A" w:rsidRPr="006A356C" w:rsidRDefault="0073097A" w:rsidP="0073097A">
      <w:pPr>
        <w:spacing w:after="0" w:line="360" w:lineRule="auto"/>
        <w:ind w:left="216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2.1 Ámbito Subjetivo de aplicación de las medidas de protección</w:t>
      </w:r>
    </w:p>
    <w:p w:rsidR="0073097A" w:rsidRDefault="0073097A" w:rsidP="0073097A">
      <w:pPr>
        <w:spacing w:after="0" w:line="360" w:lineRule="auto"/>
        <w:jc w:val="both"/>
        <w:rPr>
          <w:rFonts w:ascii="Arial" w:eastAsia="Times New Roman" w:hAnsi="Arial" w:cs="Arial"/>
          <w:sz w:val="24"/>
          <w:szCs w:val="24"/>
          <w:vertAlign w:val="superscript"/>
          <w:lang w:eastAsia="es-CR"/>
        </w:rPr>
      </w:pPr>
      <w:r w:rsidRPr="006A356C">
        <w:rPr>
          <w:rFonts w:ascii="Arial" w:eastAsia="Times New Roman" w:hAnsi="Arial" w:cs="Arial"/>
          <w:sz w:val="24"/>
          <w:szCs w:val="24"/>
          <w:lang w:eastAsia="es-CR"/>
        </w:rPr>
        <w:br/>
        <w:t xml:space="preserve">En la Ley Especial para la Protección de Víctimas y Testigos; se expresa que son sujetos de protección no solo las víctimas y los testigos, sino “...cualquier otra persona que se encuentre en situación de riesgo o peligro por su intervención directa o indirecta en la investigación de un delito, en un proceso judicial o por su relación familiar, con la persona que interviene en estos...”. </w:t>
      </w:r>
      <w:r w:rsidRPr="006A356C">
        <w:rPr>
          <w:rFonts w:ascii="Arial" w:eastAsia="Times New Roman" w:hAnsi="Arial" w:cs="Arial"/>
          <w:sz w:val="24"/>
          <w:szCs w:val="24"/>
          <w:vertAlign w:val="superscript"/>
          <w:lang w:eastAsia="es-CR"/>
        </w:rPr>
        <w:t>1</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1</w:t>
      </w:r>
      <w:r w:rsidRPr="006A356C">
        <w:rPr>
          <w:rFonts w:ascii="Arial" w:eastAsia="Times New Roman" w:hAnsi="Arial" w:cs="Arial"/>
          <w:sz w:val="24"/>
          <w:szCs w:val="24"/>
          <w:lang w:eastAsia="es-CR"/>
        </w:rPr>
        <w:t>Así lo expresa el Art. 2 de la citada ley.</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De lo anterior, se determina que no existe, pues, en la ley una demarcación precisa del ámbito subjetivo de aplicación de las medidas de protección, en cuanto a las personas que realizan alguna actividad dentro del proceso, pero tampoco de </w:t>
      </w:r>
      <w:r w:rsidRPr="006A356C">
        <w:rPr>
          <w:rFonts w:ascii="Arial" w:eastAsia="Times New Roman" w:hAnsi="Arial" w:cs="Arial"/>
          <w:sz w:val="24"/>
          <w:szCs w:val="24"/>
          <w:lang w:eastAsia="es-CR"/>
        </w:rPr>
        <w:lastRenderedPageBreak/>
        <w:t>aquellas que se encuentran desvinculadas del mismo, aunque unidas por lazos familiares con los primeros.</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Esa falta de precisión, podría conducir a legitimar la aplicación del régimen de protección, no solo a testigos y víctimas, sino además a los peritos (respecto de los cuales entendemos que puede resultar legítimo, por lo que ha de expresarse más adelante), a los asistentes técnicos de las partes (Art.117 CPP), sus asistentes no Letrados (Art.116 CPP), a los asesores de los Jueces, a los que se refiere el Art. 162 CPP y finalmente a los propios jueces y secretarios. Todos ellos tienen una intervención directa o indirecta en el proceso penal y por tanto quedan comprendidos dentro del contenido del Art. 2 de la ley.</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Luego resulta completamente irrelevante cuál sea el grado de parentesco con una víctima o testigo o cualquier otra persona que cumpla el criterio (..?) establecido en la disposición citada, para que una persona pueda ser sujeto de protección. Sin embargo, tomando en cuenta los aspectos que han de ser valorados para acordar o no una medida de protección, podemos concluir que al igual que en la regulación vigente, en la ley aprobada, primordialmente han de ser sujetos de protección los testigo (dentro de los que debe incluirse a la víctima, por supuesto) y los peritos. </w:t>
      </w:r>
      <w:r w:rsidRPr="006A356C">
        <w:rPr>
          <w:rFonts w:ascii="Arial" w:eastAsia="Times New Roman" w:hAnsi="Arial" w:cs="Arial"/>
          <w:sz w:val="24"/>
          <w:szCs w:val="24"/>
          <w:lang w:eastAsia="es-CR"/>
        </w:rPr>
        <w:br/>
        <w:t>Antes hemos dicho, que sí estimamos legítimo incluir como sujeto de protección al perito y esto porque aún cuando la información que ha de ofrecer esta persona resulta menos vulnerable frente a condiciones subjetivas del mismo, pues su dictamen se basa en un conocimiento sistemático, científico o empírico del cual él es poseedor, sí está plenamente expuesto, como el testigo, a influencias externas que lo hagan reticente a ofrecer su colaboración al proceso penal o que lo induzcan a falsear su dictamen. Ello justificaría su inclusión como sujeto de protección dentro de la ley. Si la información del perito puede estimarse como importante dentro del proceso, quien se vea afectado por ello puede verse motivado a colocar en riesgo o peligro a ese perito y la salvaguarda de sus derechos fundamentales, entonces, se antoja obligada.</w:t>
      </w:r>
    </w:p>
    <w:p w:rsidR="0073097A"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Con lo anterior, hemos podido delimitar, de alguna forma, el ámbito subjetivo de aplicación de las medidas de protección, pero además empezar a bosquejar uno </w:t>
      </w:r>
      <w:r w:rsidRPr="006A356C">
        <w:rPr>
          <w:rFonts w:ascii="Arial" w:eastAsia="Times New Roman" w:hAnsi="Arial" w:cs="Arial"/>
          <w:sz w:val="24"/>
          <w:szCs w:val="24"/>
          <w:lang w:eastAsia="es-CR"/>
        </w:rPr>
        <w:lastRenderedPageBreak/>
        <w:t>de los presupuestos necesarios en la aplicación de las medidas previstas por la Ley: el peligro al que se exponen aquellas personas.</w:t>
      </w:r>
    </w:p>
    <w:p w:rsidR="0073097A" w:rsidRPr="006A356C" w:rsidRDefault="0073097A" w:rsidP="0073097A">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2.2 Ámbito Objetivo de aplicación de las medidas de protección</w:t>
      </w:r>
    </w:p>
    <w:p w:rsidR="0073097A" w:rsidRPr="006A356C" w:rsidRDefault="0073097A" w:rsidP="0073097A">
      <w:pPr>
        <w:spacing w:after="0" w:line="360" w:lineRule="auto"/>
        <w:ind w:left="216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2.2.1 El Peligro Grave</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necesario distinguir entre el temor, como condición anímica interna del testigo o cualquier otro sujeto de protección, de lo que constituye el peligro como condición de adopción de las medidas, porque el temor puede residir en razones de la más amplia diversidad, pero solo resulta relevante, para el objeto de la ley, aquel que se tiene frente al peligro de sufrir represalias procedente de las personas a las que puede afectar su testimonio, dictamen o en definitiva, su intervención de cualquier otra forma en el proceso penal. Ese peligro debe ser objetivamente constatable; sin embargo, que digamos que ese peligro debe ser constatable, no significa imponer requisitos extremos como que el testigo o perito haya introducido denuncia e iniciado proceso por amenazas o coacciones</w:t>
      </w:r>
      <w:r w:rsidRPr="006A356C">
        <w:rPr>
          <w:rFonts w:ascii="Arial" w:eastAsia="Times New Roman" w:hAnsi="Arial" w:cs="Arial"/>
          <w:sz w:val="24"/>
          <w:szCs w:val="24"/>
          <w:vertAlign w:val="superscript"/>
          <w:lang w:eastAsia="es-CR"/>
        </w:rPr>
        <w:t>2</w:t>
      </w:r>
      <w:r w:rsidRPr="006A356C">
        <w:rPr>
          <w:rFonts w:ascii="Arial" w:eastAsia="Times New Roman" w:hAnsi="Arial" w:cs="Arial"/>
          <w:sz w:val="24"/>
          <w:szCs w:val="24"/>
          <w:lang w:eastAsia="es-CR"/>
        </w:rPr>
        <w:t xml:space="preserve">, pues bastaría la existencia de indicios, en la misma causa en la que aquella persona interviene de manera directa o indirecta, que hagan verosímil ese peligro. </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2</w:t>
      </w:r>
      <w:r w:rsidRPr="006A356C">
        <w:rPr>
          <w:rFonts w:ascii="Arial" w:eastAsia="Times New Roman" w:hAnsi="Arial" w:cs="Arial"/>
          <w:sz w:val="24"/>
          <w:szCs w:val="24"/>
          <w:lang w:eastAsia="es-CR"/>
        </w:rPr>
        <w:t xml:space="preserve">Pareciera que algunos autores españoles sí exigen la condición de que se haya incoado diligencias por coacciones o amenazas; ver por ejemplo en García Quesada, María, El Miedo de los Testigos, Cuadernos de Derecho Judicial, Edición Electrónica 2002. </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Entonces, el temor de las personas que son potencialmente sujetos del régimen de protección, no puede considerarse como suficiente para dictar medidas de las que establece la ley; éstas no pueden buscar el solo propósito de impregnar a las personas objeto de protección de un sentimiento de seguridad, sino de mantener incólumes sus derechos. Como contraposición, piénsese en el caso de un testigo o perito que a pesar de estar plenamente convencido de que con su intervención en el proceso, se coloca en un peligro grave él o aquellas personas a las que le </w:t>
      </w:r>
      <w:r w:rsidRPr="006A356C">
        <w:rPr>
          <w:rFonts w:ascii="Arial" w:eastAsia="Times New Roman" w:hAnsi="Arial" w:cs="Arial"/>
          <w:sz w:val="24"/>
          <w:szCs w:val="24"/>
          <w:lang w:eastAsia="es-CR"/>
        </w:rPr>
        <w:lastRenderedPageBreak/>
        <w:t>une un vínculo afectivo-familiar y que son sujetos de protección conforme a la ley, y a pesar de ello su ánimo no se ve afectado por el temor, por el contrario está completamente determinado a colaborar con la administración de justicia; o aquella persona a la que no le invade ningún temor, porque nunca se ha fijado la posibilidad de sufrir ataque alguno como respuesta a su colaboración como testigo o perito. La ausencia de temor (por el valor o coraje en el primer caso y por la ignorancia del peligro en el segundo caso) no eximen de la obligación de acordar medidas de protección respecto de esas personas, una vez que se haya constatado el peligro.</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Las medidas de protección previstas por la ley, pues, reaccionan frente a factores externos a testigos y peritos, que puedan afectar bienes jurídicos de éstos (y como consecuencia su colaboración en el proceso). Por otro lado, el temor en sí mismo es difícil de ponderar, solo puede advertirse su racionalidad a partir de peligros o riesgos reales.</w:t>
      </w:r>
    </w:p>
    <w:p w:rsidR="0073097A" w:rsidRDefault="0073097A" w:rsidP="0073097A">
      <w:pPr>
        <w:spacing w:line="360" w:lineRule="auto"/>
        <w:jc w:val="both"/>
        <w:rPr>
          <w:rFonts w:ascii="Arial" w:eastAsia="Times New Roman" w:hAnsi="Arial" w:cs="Arial"/>
          <w:sz w:val="24"/>
          <w:szCs w:val="24"/>
          <w:vertAlign w:val="superscript"/>
          <w:lang w:eastAsia="es-CR"/>
        </w:rPr>
      </w:pPr>
      <w:r w:rsidRPr="006A356C">
        <w:rPr>
          <w:rFonts w:ascii="Arial" w:eastAsia="Times New Roman" w:hAnsi="Arial" w:cs="Arial"/>
          <w:sz w:val="24"/>
          <w:szCs w:val="24"/>
          <w:lang w:eastAsia="es-CR"/>
        </w:rPr>
        <w:t>Ello obliga a desechar al temor como un presupuesto de las medidas de protección, por su carácter eminentemente subjetivo. Una decisión que acuerde medidas de protección fundadas en el temor del testigo o perito, poca o ninguna posibilidad de control impugnativo ofrecería a las partes, haciendo nugatorio, de alguna manera, el principio de contradicción. El presupuesto, entonces, es la existencia de un peligro real o cuando menos verosímil.</w:t>
      </w:r>
      <w:r w:rsidRPr="006A356C">
        <w:rPr>
          <w:rFonts w:ascii="Arial" w:eastAsia="Times New Roman" w:hAnsi="Arial" w:cs="Arial"/>
          <w:sz w:val="24"/>
          <w:szCs w:val="24"/>
          <w:vertAlign w:val="superscript"/>
          <w:lang w:eastAsia="es-CR"/>
        </w:rPr>
        <w:t>3</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3</w:t>
      </w:r>
      <w:r w:rsidRPr="006A356C">
        <w:rPr>
          <w:rFonts w:ascii="Arial" w:eastAsia="Times New Roman" w:hAnsi="Arial" w:cs="Arial"/>
          <w:sz w:val="24"/>
          <w:szCs w:val="24"/>
          <w:lang w:eastAsia="es-CR"/>
        </w:rPr>
        <w:t>La jurisprudencia española así lo ha reconocido: la sentencia del Tribunal Supremo Español de fecha nueve de marzo de 1999 dice en lo que nos interesa: “...la resolución que se adopte estará basada en la existencia de un peligro grave para la persona, libertad o bienes de quien puede ser amparado por la ley...”</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El primer presupuesto legitimador de las medidas de protección, y que es reconocido en los Arts. 1, 2, 4 letra “a”, 18 Inc. 2° y 20 de la Ley, es pues, el peligro. Tanto peritos como testigos pueden verse afectados por factores anímicos </w:t>
      </w:r>
      <w:r w:rsidRPr="006A356C">
        <w:rPr>
          <w:rFonts w:ascii="Arial" w:eastAsia="Times New Roman" w:hAnsi="Arial" w:cs="Arial"/>
          <w:sz w:val="24"/>
          <w:szCs w:val="24"/>
          <w:lang w:eastAsia="es-CR"/>
        </w:rPr>
        <w:lastRenderedPageBreak/>
        <w:t>(como el temor, con o sin fundamento); pero eso escapa a los fines protectores de la ley.</w:t>
      </w:r>
    </w:p>
    <w:p w:rsidR="0073097A" w:rsidRDefault="0073097A" w:rsidP="0073097A">
      <w:pPr>
        <w:spacing w:line="360" w:lineRule="auto"/>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2.2.2 Juicio de Proporcionalidad</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Antes hemos hablado del peligro como presupuesto de la aplicación de medidas de protección; pero, a partir de ese presupuesto, podemos desentrañar la finalidad inmediata de la ley: Mantener intacta la integridad de la persona del testigo o perito, de su libertad o de sus bienes. Entendemos el interés del Estado en lograr la eficacia del sistema de justicia penal y la evitación de la impunidad, solo como un fin mediato de la ley y siempre dependiente del primero que hemos señalado; una medida de protección encaminada a asegurar una administración de justicia sana, solo se legitimaría cuando sea previsible que ésta se vea afectada por el peligro en que puedan encontrarse peritos y testigos o cualquier otra persona que intervenga en el proceso de manera directa o indirecta…</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Las medidas previstas en la ley, suponen la reducción de algunos derechos fundamentales y de principios sustentadores del proceso penal; eso hace imperativa la previa valoración del fin que se pretende alcanzar con la medida, ya que “...si el fin hacia el que las medidas se orientan es ilegítimo o irrelevante no resulta necesario descender al estudio de las medidas empleadas. La medida ha de reputarse de antemano inadmisible por ser absolutamente arbitraria...” y contraria, por ello, al principio de proporcionalidad.</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Así, una injerencia en el derecho de defensa o una limitación a los principios de publicidad, inmediación y contradicción, solo pueden entenderse legítimas si se encuentran previstas en la Ley (principio de legalidad) y si atienden a los fines que la misma les asigna (principio de justificación teleológica). No puede obviarse la previa valoración del fin que se pretende alcanzar con las medidas y su legitimidad, realizando simplemente un contrapeso entre la medida adoptada y el </w:t>
      </w:r>
      <w:r w:rsidRPr="006A356C">
        <w:rPr>
          <w:rFonts w:ascii="Arial" w:eastAsia="Times New Roman" w:hAnsi="Arial" w:cs="Arial"/>
          <w:sz w:val="24"/>
          <w:szCs w:val="24"/>
          <w:lang w:eastAsia="es-CR"/>
        </w:rPr>
        <w:lastRenderedPageBreak/>
        <w:t>derecho fundamental que se vea comprimido por ella, para justificar la intensidad de la injerencia.</w:t>
      </w:r>
    </w:p>
    <w:p w:rsidR="0073097A" w:rsidRDefault="0073097A" w:rsidP="0073097A">
      <w:pPr>
        <w:spacing w:line="360" w:lineRule="auto"/>
        <w:jc w:val="both"/>
        <w:rPr>
          <w:rFonts w:ascii="Arial" w:eastAsia="Times New Roman" w:hAnsi="Arial" w:cs="Arial"/>
          <w:sz w:val="24"/>
          <w:szCs w:val="24"/>
          <w:vertAlign w:val="superscript"/>
          <w:lang w:eastAsia="es-CR"/>
        </w:rPr>
      </w:pPr>
      <w:r w:rsidRPr="006A356C">
        <w:rPr>
          <w:rFonts w:ascii="Arial" w:eastAsia="Times New Roman" w:hAnsi="Arial" w:cs="Arial"/>
          <w:sz w:val="24"/>
          <w:szCs w:val="24"/>
          <w:lang w:eastAsia="es-CR"/>
        </w:rPr>
        <w:t>El juicio de proporcionalidad, exige el cumplimiento de requisitos que están vinculados (en su valoración) a cada caso concreto y que están constituidos en su contenido, por los subprincipios de idoneidad, necesidad y proporcionalidad en estricto sentido. El Art. 3 letra “b” de la ley, es un reflejo de esos requisitos.</w:t>
      </w:r>
      <w:r w:rsidRPr="006A356C">
        <w:rPr>
          <w:rFonts w:ascii="Arial" w:eastAsia="Times New Roman" w:hAnsi="Arial" w:cs="Arial"/>
          <w:sz w:val="24"/>
          <w:szCs w:val="24"/>
          <w:lang w:eastAsia="es-CR"/>
        </w:rPr>
        <w:br/>
        <w:t>Aún cuando se acepte el carácter inabsoluto de los derechos fundamentales, todas aquellas injerencias que les fijan límites deben resultar proporcionales respecto del fin que se pretende alcanzar; de ahí la obligación ineludible de la autoridad, que acuerde la medida de protección que implique una restricción a un derecho fundamental, de realizar un juicio de proporcionalidad. No basta, pues, la sola constatación del peligro. En jurisprudencia foránea se exige, por ejemplo, la ponderación de los intereses en conflicto, como manifestación de ese juicio de proporcionalidad.</w:t>
      </w:r>
      <w:r w:rsidRPr="006A356C">
        <w:rPr>
          <w:rFonts w:ascii="Arial" w:eastAsia="Times New Roman" w:hAnsi="Arial" w:cs="Arial"/>
          <w:sz w:val="24"/>
          <w:szCs w:val="24"/>
          <w:vertAlign w:val="superscript"/>
          <w:lang w:eastAsia="es-CR"/>
        </w:rPr>
        <w:t>4</w:t>
      </w:r>
      <w:r w:rsidRPr="006A356C">
        <w:rPr>
          <w:rFonts w:ascii="Arial" w:eastAsia="Times New Roman" w:hAnsi="Arial" w:cs="Arial"/>
          <w:sz w:val="24"/>
          <w:szCs w:val="24"/>
          <w:lang w:eastAsia="es-CR"/>
        </w:rPr>
        <w:b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4</w:t>
      </w:r>
      <w:r w:rsidRPr="006A356C">
        <w:rPr>
          <w:rFonts w:ascii="Arial" w:eastAsia="Times New Roman" w:hAnsi="Arial" w:cs="Arial"/>
          <w:sz w:val="24"/>
          <w:szCs w:val="24"/>
          <w:lang w:eastAsia="es-CR"/>
        </w:rPr>
        <w:t>STS de fecha tres de marzo de 1999: “... la objetivización de ese peligro, que lógicamente aparece teñido de subjetivización por quien lo siente, ha de realizarse el Juez o Tribunal que acuerde la medida. Debe apreciarse racionalmente la existencia del peligro...el Juez debe ponderar el riesgo o peligro que la intervención del testigo o perito en el juicio oral puede conllevar y valorar los bienes en conflicto; entre ellos y de forma principal, el derecho a un juicio justo, a un proceso justo, la seguridad de los testigos y la efectividad de la prueba testifical o pericial como prueba de cargo o de descargo...” y la STS de fecha nueve de marzo de 1999: “...las medidas no pueden violar los principios del proceso penal. La ley debe hacer posible un equilibrio entre un proceso con todas las garantías y la tutela de los derechos fundamentales de testigos y peritos...el Juez debe ponderar el grado de riesgo y peligro con relación a la causa en la que se pide su testimonio...”.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Finalmente, es necesario decir, que no debe apartarse al principio de proporcionalidad del propósito con el cual se pensó en sus orígenes, esto es: no </w:t>
      </w:r>
      <w:r w:rsidRPr="006A356C">
        <w:rPr>
          <w:rFonts w:ascii="Arial" w:eastAsia="Times New Roman" w:hAnsi="Arial" w:cs="Arial"/>
          <w:sz w:val="24"/>
          <w:szCs w:val="24"/>
          <w:lang w:eastAsia="es-CR"/>
        </w:rPr>
        <w:lastRenderedPageBreak/>
        <w:t>puede limitarse las injerencias en los derechos fundamentales que el proceso penal supone haciendo simplemente un ejercicio de contrapeso entre los intereses en conflicto, sin atender a la legitimidad de los fines que se procuran y a la necesidad de las medidas que se acuerden, hacerlo supondría la violación del derecho de defensa, el juicio de proporcionalidad debe quedar evidenciado en la motivación de la decisión que se emita adoptando o rechazando las medidas de protección, es decir, la decisión que imponga medidas de protección urgentes debe, no obstante la provisionalidad de las mismas, estar adecuadamente motivada.</w:t>
      </w:r>
      <w:r w:rsidRPr="006A356C">
        <w:rPr>
          <w:rFonts w:ascii="Arial" w:eastAsia="Times New Roman" w:hAnsi="Arial" w:cs="Arial"/>
          <w:sz w:val="24"/>
          <w:szCs w:val="24"/>
          <w:lang w:eastAsia="es-CR"/>
        </w:rPr>
        <w:br/>
        <w:t>Antes hemos dicho, que no debía ser condición necesaria para emitir una decisión por medio de la cual se adopte el régimen de protección, que el interesado, víctima, testigo o perito, haya interpuesto denuncia e iniciado proceso por amenazas o coacciones, sino que basta con que el peligro se acredite de manera indiciaria al interior del proceso donde sirve aquella persona; y eso porque tanto la reticencia del testigo o perito, motivada por el peligro en que se les ha colocado, como la adopción del régimen de protección, van a provocar efectos al interior de ese mismo proceso; lo primero afectando el descubrimiento de la verdad y por tanto afectando uno de los fines del proceso y lo segundo, porque la adopción del régimen de protección puede reducir algunas garantías y principios fundamentales del proceso penal, que puede ser legítimo o no, según se constate en la motivación de la decisión que acuerde tal régimen.</w:t>
      </w:r>
      <w:r w:rsidRPr="006A356C">
        <w:rPr>
          <w:rFonts w:ascii="Arial" w:eastAsia="Times New Roman" w:hAnsi="Arial" w:cs="Arial"/>
          <w:sz w:val="24"/>
          <w:szCs w:val="24"/>
          <w:vertAlign w:val="superscript"/>
          <w:lang w:eastAsia="es-CR"/>
        </w:rPr>
        <w:t>5</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5</w:t>
      </w:r>
      <w:r w:rsidRPr="006A356C">
        <w:rPr>
          <w:rFonts w:ascii="Arial" w:eastAsia="Times New Roman" w:hAnsi="Arial" w:cs="Arial"/>
          <w:sz w:val="24"/>
          <w:szCs w:val="24"/>
          <w:lang w:eastAsia="es-CR"/>
        </w:rPr>
        <w:t xml:space="preserve">A modo de ejemplo de lo anterior : El tribunal Tercero de Sentencia de San Salvador, en resolución pronunciada a las dieciséis horas y quince minutos del día veintiocho de Abril de dos mil cinco, expresó “...Por Tanto Conforme a las razones expuestas, normas legales invocadas y Arts (...) Fallamos : Absuélvase de la Acusación Fiscal al imputado Rolando Antonio Díaz López, por la comisión del delito de Homicidio Simple, en perjuicio de Henri Omar Ramos ...” ya que el único testigo de cargo que se tenia estaba bajo el régimen de protección, los jueces resolvieron quitárselo, lo que motivo a la representación fiscal a exponer de este proceso que se solicitaba que se recibiera la declaración, de modo que no fuere </w:t>
      </w:r>
      <w:r w:rsidRPr="006A356C">
        <w:rPr>
          <w:rFonts w:ascii="Arial" w:eastAsia="Times New Roman" w:hAnsi="Arial" w:cs="Arial"/>
          <w:sz w:val="24"/>
          <w:szCs w:val="24"/>
          <w:lang w:eastAsia="es-CR"/>
        </w:rPr>
        <w:lastRenderedPageBreak/>
        <w:t xml:space="preserve">visto frente a frente con el acusado y al declarar, sin lugar la petición, la Fiscalía opto por no dejar que el testigo declarara lo que motivo el fallo de absolución. </w:t>
      </w:r>
      <w:r w:rsidRPr="006A356C">
        <w:rPr>
          <w:rFonts w:ascii="Arial" w:eastAsia="Times New Roman" w:hAnsi="Arial" w:cs="Arial"/>
          <w:sz w:val="24"/>
          <w:szCs w:val="24"/>
          <w:lang w:eastAsia="es-CR"/>
        </w:rPr>
        <w:br/>
        <w:t>La anterior Sentencia, fue impugnada por la representación fiscal mediante el recurso de casación y la Sala de lo Penal, de la Corte Suprema de Justicia, en la resolución dictada a las diez horas del día veintinueve de Noviembre de dos mil cinco, en conclusión expreso: ” Esta Sala encuentra que el sentenciador hizo una aplicación incorrecta de las reglas de la sana critica, al haber excluido de forma arbitraria elementos probatorios de carácter decisivo, que de haberse admitido y valorado el fallo, pudo haber sido diferente lo que lleva a considerar que el vicio denunciado es de tal relevancia que la Sentencia impugnada deberá anularse, de igual forma el juicio que le precedió y ordenarse el reenvió a efecto de celebrarse otra vista pública por un tribunal diferente, en donde se observen las prescripciones legales pertinentes...” Tribunal Tercero de Sentencia, San Salvador Ref. 88-05-1.</w:t>
      </w:r>
    </w:p>
    <w:p w:rsidR="0073097A" w:rsidRDefault="0073097A" w:rsidP="0073097A">
      <w:pPr>
        <w:spacing w:line="360" w:lineRule="auto"/>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3. Principio de Unidad y Exclusividad de la Jurisdicción</w:t>
      </w:r>
    </w:p>
    <w:p w:rsidR="0073097A"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Las palabras anteriores, también nos guían hacia la afirmación de que resulta difícil reconocer que la forma bajo la cual se ha diseñado el procedimiento para acordar medidas de protección esté en consonancia con los principios de Unidad y Exclusividad de la Jurisdicción, en tanto que eso debía ser una facultad otorgada al Juez, por las implicaciones que al interior del proceso provoca la adopción de medidas de protección; sin embargo, se ha confiado a un organismo estatal distinto. Estos principios, reconocidos en los Arts. 172 y 216, ambos de la Constitución de la República, determinan que la potestad de juzgar y hacer ejecutar lo juzgado, es de exclusivo dominio del Órgano Judicial. Con lo cual se proscribe, entre otras cosas los Tribunales y comisiones Ad Hoc; así, ha dicho la Sala de lo Constitucional de la Corte Suprema de Justicia, que “...la potestad jurisdiccional, tanto en la fase declarativa o cognoscitiva-“juzgar”- como en la ejecutiva-“hacer ejecutar lo juzgado”-, así como la producción de cosa juzgada, sea atribuida como monopolio a los miembros que integran el Órgano Judicial, </w:t>
      </w:r>
      <w:r w:rsidRPr="006A356C">
        <w:rPr>
          <w:rFonts w:ascii="Arial" w:eastAsia="Times New Roman" w:hAnsi="Arial" w:cs="Arial"/>
          <w:sz w:val="24"/>
          <w:szCs w:val="24"/>
          <w:lang w:eastAsia="es-CR"/>
        </w:rPr>
        <w:lastRenderedPageBreak/>
        <w:t xml:space="preserve">vedando a los demás órganos de gobierno la asunción de las funciones jurisdiccionales...” </w:t>
      </w:r>
      <w:r w:rsidRPr="006A356C">
        <w:rPr>
          <w:rFonts w:ascii="Arial" w:eastAsia="Times New Roman" w:hAnsi="Arial" w:cs="Arial"/>
          <w:sz w:val="24"/>
          <w:szCs w:val="24"/>
          <w:vertAlign w:val="superscript"/>
          <w:lang w:eastAsia="es-CR"/>
        </w:rPr>
        <w:t>6</w:t>
      </w:r>
      <w:r w:rsidRPr="006A356C">
        <w:rPr>
          <w:rFonts w:ascii="Arial" w:eastAsia="Times New Roman" w:hAnsi="Arial" w:cs="Arial"/>
          <w:sz w:val="24"/>
          <w:szCs w:val="24"/>
          <w:lang w:eastAsia="es-CR"/>
        </w:rPr>
        <w:t>, el otorgamiento de aquellas facultades de adopción de un régimen de protección a testigos, que en esencia constituyen decisiones jurisdiccionales, a un ente estatal distinto, es violatorio de los principios constitucionales apuntados.</w:t>
      </w:r>
    </w:p>
    <w:p w:rsidR="0073097A" w:rsidRPr="006A356C" w:rsidRDefault="0073097A" w:rsidP="0073097A">
      <w:pPr>
        <w:spacing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__________</w:t>
      </w:r>
      <w:r w:rsidRPr="006A356C">
        <w:rPr>
          <w:rFonts w:ascii="Arial" w:eastAsia="Times New Roman" w:hAnsi="Arial" w:cs="Arial"/>
          <w:sz w:val="24"/>
          <w:szCs w:val="24"/>
          <w:lang w:eastAsia="es-CR"/>
        </w:rPr>
        <w:br/>
      </w:r>
      <w:r w:rsidRPr="006A356C">
        <w:rPr>
          <w:rFonts w:ascii="Arial" w:eastAsia="Times New Roman" w:hAnsi="Arial" w:cs="Arial"/>
          <w:sz w:val="24"/>
          <w:szCs w:val="24"/>
          <w:vertAlign w:val="superscript"/>
          <w:lang w:eastAsia="es-CR"/>
        </w:rPr>
        <w:t>6</w:t>
      </w:r>
      <w:r w:rsidRPr="006A356C">
        <w:rPr>
          <w:rFonts w:ascii="Arial" w:eastAsia="Times New Roman" w:hAnsi="Arial" w:cs="Arial"/>
          <w:sz w:val="24"/>
          <w:szCs w:val="24"/>
          <w:lang w:eastAsia="es-CR"/>
        </w:rPr>
        <w:t>Sentencia de Inconstitucionalidad pronunciada en fecha 20 de julio de 1999, en el proceso de inconstitucionalidad número 5-99.</w:t>
      </w:r>
    </w:p>
    <w:p w:rsidR="0055512A" w:rsidRDefault="0055512A"/>
    <w:p w:rsidR="0073097A" w:rsidRDefault="0073097A"/>
    <w:sectPr w:rsidR="0073097A" w:rsidSect="0055512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097A"/>
    <w:rsid w:val="0055512A"/>
    <w:rsid w:val="0073097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losparma.com.ar/nunez2003.htt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7762</Words>
  <Characters>42693</Characters>
  <Application>Microsoft Office Word</Application>
  <DocSecurity>0</DocSecurity>
  <Lines>355</Lines>
  <Paragraphs>100</Paragraphs>
  <ScaleCrop>false</ScaleCrop>
  <Company>uReloaded.com</Company>
  <LinksUpToDate>false</LinksUpToDate>
  <CharactersWithSpaces>50355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cp:revision>
  <dcterms:created xsi:type="dcterms:W3CDTF">2010-04-12T18:19:00Z</dcterms:created>
  <dcterms:modified xsi:type="dcterms:W3CDTF">2010-04-12T18:19:00Z</dcterms:modified>
</cp:coreProperties>
</file>