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64" w:rsidRPr="00DA3808" w:rsidRDefault="00C21A64" w:rsidP="00C21A64">
      <w:pPr>
        <w:spacing w:after="0" w:line="360" w:lineRule="auto"/>
        <w:jc w:val="both"/>
        <w:rPr>
          <w:rFonts w:ascii="Arial" w:eastAsia="Times New Roman" w:hAnsi="Arial" w:cs="Arial"/>
          <w:b/>
          <w:bCs/>
          <w:color w:val="FF0000"/>
          <w:sz w:val="36"/>
          <w:szCs w:val="36"/>
          <w:lang w:eastAsia="es-CR"/>
        </w:rPr>
      </w:pPr>
      <w:r w:rsidRPr="00DA3808">
        <w:rPr>
          <w:rFonts w:ascii="Arial" w:eastAsia="Times New Roman" w:hAnsi="Arial" w:cs="Arial"/>
          <w:b/>
          <w:bCs/>
          <w:color w:val="FF0000"/>
          <w:sz w:val="36"/>
          <w:szCs w:val="36"/>
          <w:lang w:eastAsia="es-CR"/>
        </w:rPr>
        <w:t>LA PRISION PREVENTIVA Y SU UTILIZACION EN EL PROCESO PENAL</w:t>
      </w:r>
      <w:r>
        <w:rPr>
          <w:rFonts w:ascii="Arial" w:eastAsia="Times New Roman" w:hAnsi="Arial" w:cs="Arial"/>
          <w:b/>
          <w:bCs/>
          <w:color w:val="FF0000"/>
          <w:sz w:val="36"/>
          <w:szCs w:val="36"/>
          <w:lang w:eastAsia="es-CR"/>
        </w:rPr>
        <w:t xml:space="preserve"> SALVADOREÑO</w:t>
      </w:r>
    </w:p>
    <w:p w:rsidR="00C21A64" w:rsidRDefault="00C21A64" w:rsidP="00C21A64">
      <w:pPr>
        <w:spacing w:after="0" w:line="360" w:lineRule="auto"/>
        <w:jc w:val="both"/>
        <w:rPr>
          <w:rFonts w:ascii="Arial" w:eastAsia="Times New Roman" w:hAnsi="Arial" w:cs="Arial"/>
          <w:b/>
          <w:bCs/>
          <w:sz w:val="24"/>
          <w:szCs w:val="24"/>
          <w:lang w:eastAsia="es-CR"/>
        </w:rPr>
      </w:pPr>
    </w:p>
    <w:p w:rsidR="00C21A64" w:rsidRDefault="00C21A64" w:rsidP="00C21A6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w:t>
      </w:r>
      <w:proofErr w:type="gramStart"/>
      <w:r>
        <w:rPr>
          <w:rFonts w:ascii="Arial" w:eastAsia="Times New Roman" w:hAnsi="Arial" w:cs="Arial"/>
          <w:b/>
          <w:bCs/>
          <w:sz w:val="24"/>
          <w:szCs w:val="24"/>
          <w:lang w:eastAsia="es-CR"/>
        </w:rPr>
        <w:t>:  Gonzalez</w:t>
      </w:r>
      <w:proofErr w:type="gramEnd"/>
      <w:r>
        <w:rPr>
          <w:rFonts w:ascii="Arial" w:eastAsia="Times New Roman" w:hAnsi="Arial" w:cs="Arial"/>
          <w:b/>
          <w:bCs/>
          <w:sz w:val="24"/>
          <w:szCs w:val="24"/>
          <w:lang w:eastAsia="es-CR"/>
        </w:rPr>
        <w:t xml:space="preserve"> Alvarez, Daniel Y Mora Mora, Luis Paulino</w:t>
      </w:r>
    </w:p>
    <w:p w:rsidR="00C21A64" w:rsidRDefault="00C21A64" w:rsidP="00C21A64">
      <w:pPr>
        <w:spacing w:after="0" w:line="360" w:lineRule="auto"/>
        <w:jc w:val="both"/>
        <w:rPr>
          <w:rFonts w:ascii="Arial" w:eastAsia="Times New Roman" w:hAnsi="Arial" w:cs="Arial"/>
          <w:b/>
          <w:bCs/>
          <w:sz w:val="24"/>
          <w:szCs w:val="24"/>
          <w:lang w:eastAsia="es-CR"/>
        </w:rPr>
      </w:pPr>
    </w:p>
    <w:p w:rsidR="00C21A64" w:rsidRDefault="00C21A64" w:rsidP="00C21A6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Categoria</w:t>
      </w:r>
      <w:proofErr w:type="gramStart"/>
      <w:r>
        <w:rPr>
          <w:rFonts w:ascii="Arial" w:eastAsia="Times New Roman" w:hAnsi="Arial" w:cs="Arial"/>
          <w:b/>
          <w:bCs/>
          <w:sz w:val="24"/>
          <w:szCs w:val="24"/>
          <w:lang w:eastAsia="es-CR"/>
        </w:rPr>
        <w:t>:  Penal</w:t>
      </w:r>
      <w:proofErr w:type="gramEnd"/>
      <w:r>
        <w:rPr>
          <w:rFonts w:ascii="Arial" w:eastAsia="Times New Roman" w:hAnsi="Arial" w:cs="Arial"/>
          <w:b/>
          <w:bCs/>
          <w:sz w:val="24"/>
          <w:szCs w:val="24"/>
          <w:lang w:eastAsia="es-CR"/>
        </w:rPr>
        <w:t xml:space="preserve"> y Constitucional.-</w:t>
      </w:r>
    </w:p>
    <w:p w:rsidR="00C21A64" w:rsidRDefault="00C21A64" w:rsidP="00C21A64">
      <w:pPr>
        <w:spacing w:after="0" w:line="360" w:lineRule="auto"/>
        <w:jc w:val="both"/>
        <w:rPr>
          <w:rFonts w:ascii="Arial" w:eastAsia="Times New Roman" w:hAnsi="Arial" w:cs="Arial"/>
          <w:b/>
          <w:bCs/>
          <w:sz w:val="24"/>
          <w:szCs w:val="24"/>
          <w:lang w:eastAsia="es-CR"/>
        </w:rPr>
      </w:pPr>
    </w:p>
    <w:p w:rsidR="00C21A64" w:rsidRPr="006A356C" w:rsidRDefault="00C21A64" w:rsidP="00C21A64">
      <w:pPr>
        <w:spacing w:after="0" w:line="360" w:lineRule="auto"/>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Contenido</w:t>
      </w:r>
      <w:r w:rsidRPr="006A356C">
        <w:rPr>
          <w:rFonts w:ascii="Arial" w:eastAsia="Times New Roman" w:hAnsi="Arial" w:cs="Arial"/>
          <w:sz w:val="24"/>
          <w:szCs w:val="24"/>
          <w:lang w:eastAsia="es-CR"/>
        </w:rPr>
        <w:t xml:space="preserve"> </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I.- Principios Generales.-</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La prisión preventiva es una institución sobradamente utilizada en los sistemas procesales penales de la América Latina, autorizada por todas las legislaciones con fines procesales, pero sirve principalmente para otros, como adelantar el cumplimiento de un fallo condenatorio seguro, como medida de seguridad adelantada, para llevar tranquilidad a los ciudadanos, o para asegurar la integridad física del procesado.</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Es una medida cautelar típica del procedimiento penal y tiende a evitar que el responsable de un hecho delictivo eluda la acción de la justicia, aprovechando el estado de inocencia de que goza durante el proceso. Mediante ella el imputado debe permanecer en detención durante la instrucción del proceso, en espera de que su situación jurídica sea definitivamente resuelta en sentencia firme. Se encuentra íntimamente relacionada con la excarcelación, instituto que con la misma finalidad -evitar se eluda la acción de la justicia- reconoce el derecho a permanecer en libertad durante el proceso, mediante caución real, personal o juratoria.</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La detención provisional resulta una necesidad para garantizar las resultas del proceso, pues de reconocer la libertad ambulatoria sin restricción alguna, una importante cantidad de sujetos sometidos a proceso no se </w:t>
      </w:r>
      <w:r w:rsidRPr="006A356C">
        <w:rPr>
          <w:rFonts w:ascii="Arial" w:eastAsia="Times New Roman" w:hAnsi="Arial" w:cs="Arial"/>
          <w:sz w:val="24"/>
          <w:szCs w:val="24"/>
          <w:lang w:eastAsia="es-CR"/>
        </w:rPr>
        <w:lastRenderedPageBreak/>
        <w:t xml:space="preserve">pondrían a la orden del órgano jurisdiccional en el momento oportuno, cuando fuere necesaria su comparecencia según las necesidades del proceso, o sentenciados no comparecerían a cumplir la sanción, cuando ésta hubiere sido acordada en sentencia firme. </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Se encuentra reconocida como excepción, constitucional y convencionalmente. Así la Declaración de derechos del Hombre y del Ciudadano, en el artículo 9o. dispone:</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“Presumiéndose inocente a todo hombre hasta que haya sido declarado culpable, si se juzga indispensable arrestarlo, todo rigor que no sea necesario para asegurar su persona debe ser severamente reprimido por la ley”.</w:t>
      </w:r>
      <w:r w:rsidRPr="006A356C">
        <w:rPr>
          <w:rFonts w:ascii="Arial" w:eastAsia="Times New Roman" w:hAnsi="Arial" w:cs="Arial"/>
          <w:sz w:val="24"/>
          <w:szCs w:val="24"/>
          <w:lang w:eastAsia="es-CR"/>
        </w:rPr>
        <w:br/>
        <w:t>En ámbito continental la Convención Americana sobre Derechos Humanos se preocupa por desarrollar los principios a aplicar cuando se deba restringir la libertad de una persona sometida a juicio, así en su artículo 7, en relación con el derecho a la libertad personal se dispone:</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“1.-Toda persona tiene derecho a la libertad y a la seguridad personales.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2.-Nadie puede ser privado de su libertad física, salvo por las causas y en las condiciones fijadas de antemano por las Constituciones Políticas de los Estados o por las leyes dictadas conforme a ellas. </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3.-Nadie puede ser sometido a detención o encarcelamiento arbitrarios.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4.-Toda persona detenida o retenida debe ser informada de las razones de su detención y notificada, sin demora, del cargo o cargos formulados contra ella.</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5.-Toda persona detenida o retenida debe ser llevada, sin demora, ante un </w:t>
      </w:r>
      <w:r w:rsidRPr="006A356C">
        <w:rPr>
          <w:rFonts w:ascii="Arial" w:eastAsia="Times New Roman" w:hAnsi="Arial" w:cs="Arial"/>
          <w:sz w:val="24"/>
          <w:szCs w:val="24"/>
          <w:lang w:eastAsia="es-CR"/>
        </w:rPr>
        <w:lastRenderedPageBreak/>
        <w:t>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juicio.”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Desdichadamente los principios contenidos en la última de las normas convencionales transcritas no son de aplicación directa -como deberían serlo- por los jueces latinoamericanos, quienes en su mayoría ven en el compromiso adquirido al ratificar el Pacto de San José de Costa Rica -como también se le llama- sólo la obligación para los Estados Partes, de adoptar, con arreglo a sus procedimientos constitucionales y a las disposiciones de la propia Convención, las medidas legislativas o de otro carácter que fuesen necesarias para hacer efectivos tales derechos y libertades1. Aún en los casos en que en la legislación interna cuenta con normas similares o de igual contenido, es lo cierto que la detención provisional no se acuerda siguiendo sus pautas, como excepción, sino que constituye la regla.</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Sin el carácter vinculante de la Convención, pero si con la fuerza que conlleva el hecho de haber sido redactado y aprobado por los procesalistas más representativos de la región, el Código Procesal Penal Modelo para Iberoamérica contiene los señalados principios de la Convención, los que deben ser aplicados con criterio restrictivo según se señala en su artículo 3, en el que se dispone:</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“3.- Tratamiento del imputado como inocente. El imputado o acusado debe ser tratado como inocente durante el procedimiento, hasta tanto una sentencia firme le imponga una pena o una medida de seguridad y corrección.</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Las disposiciones de esta ley que restringen la libertad del imputado o limitan el ejercicio de sus facultades serán interpretadas restrictivamente; en esta materia, la interpretación extensiva y la analogía quedan prohibidas, </w:t>
      </w:r>
      <w:r w:rsidRPr="006A356C">
        <w:rPr>
          <w:rFonts w:ascii="Arial" w:eastAsia="Times New Roman" w:hAnsi="Arial" w:cs="Arial"/>
          <w:sz w:val="24"/>
          <w:szCs w:val="24"/>
          <w:lang w:eastAsia="es-CR"/>
        </w:rPr>
        <w:lastRenderedPageBreak/>
        <w:t>mientras no favorezcan la libertad del imputado o el ejercicio de sus facultades.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Las únicas medidas de coerción posibles en contra del imputado son la que este Código autoriza; tendrán carácter de excepcionales y serán proporcionadas a la pena o medida de seguridad y corrección que se espera del procedimiento, con estricta sujeción a las disposiciones pertinentes.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La duda favorece al imputado.”</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La detención provisional del imputado procede cuando fuere absolutamente indispensable para asegurar la averiguación de la verdad, el desarrollo del procedimiento y la aplicación de la ley </w:t>
      </w:r>
      <w:proofErr w:type="gramStart"/>
      <w:r w:rsidRPr="006A356C">
        <w:rPr>
          <w:rFonts w:ascii="Arial" w:eastAsia="Times New Roman" w:hAnsi="Arial" w:cs="Arial"/>
          <w:sz w:val="24"/>
          <w:szCs w:val="24"/>
          <w:lang w:eastAsia="es-CR"/>
        </w:rPr>
        <w:t>2 .</w:t>
      </w:r>
      <w:proofErr w:type="gramEnd"/>
      <w:r w:rsidRPr="006A356C">
        <w:rPr>
          <w:rFonts w:ascii="Arial" w:eastAsia="Times New Roman" w:hAnsi="Arial" w:cs="Arial"/>
          <w:sz w:val="24"/>
          <w:szCs w:val="24"/>
          <w:lang w:eastAsia="es-CR"/>
        </w:rPr>
        <w:t xml:space="preserve"> En el artículo 202 se dispone sobre los casos en que procede la prisión preventiva, en el 203 se establecen los casos en que puede estimarse existe peligro de fuga, en el 204 cuando peligro de obstaculización y en el 205 cómo debe ser la resolución en que se acuerde la restricción a la libertad. Por la importancia de las normas resulta conveniente su transcripción, de seguido.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“202.- Prisión preventiva. Se podrá ordenar la prisión, después de oído el imputado, cuando medien los siguientes requisitos: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1) La existencia de elementos de convicción suficientes para sostener, razonablemente, que el imputado es, con probabilidad, autor de un hecho punible o partícipe en él (procesamiento);</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2) La existencia de una presunción razonable, por apreciación de las circunstancias del caso particular, acerca de que el imputado no se someterá al procedimiento (peligro de fuga), u obstaculizará la averiguación de la verdad (peligro de obstaculización).</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br/>
        <w:t>No se podrá ordenar la prisión preventiva en los delitos de acción privada, en aquéllos que no tengan prevista pena privativa de libertad o cuando, en el caso concreto, no se espera una pena privativa de libertad que deba ejecutarse. En estos casos, sólo se aplicará las medidas previstas en los incisos 3 a 7 del artículo 209, salvo lo dispuesto en el artículo 379.</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El auto que autoriza la prisión preventiva deberá fundar expresamente cada uno de los presupuestos que la motivan.”</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“203. Peligro de fuga.- Para decidir acerca del peligro de fuga se tendrá en cuenta, especialmente, las siguientes circunstancias:</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1) arraigo en el país, determinado por el domicilio, residencia habitual, asiento de la familia y de sus negocios o trabajo y las facilidades para abandonar definitivamente el país o permanecer oculto;</w:t>
      </w:r>
      <w:r w:rsidRPr="006A356C">
        <w:rPr>
          <w:rFonts w:ascii="Arial" w:eastAsia="Times New Roman" w:hAnsi="Arial" w:cs="Arial"/>
          <w:sz w:val="24"/>
          <w:szCs w:val="24"/>
          <w:lang w:eastAsia="es-CR"/>
        </w:rPr>
        <w:br/>
        <w:t>2) la pena que se espera como resultado del procedimiento;</w:t>
      </w:r>
      <w:r w:rsidRPr="006A356C">
        <w:rPr>
          <w:rFonts w:ascii="Arial" w:eastAsia="Times New Roman" w:hAnsi="Arial" w:cs="Arial"/>
          <w:sz w:val="24"/>
          <w:szCs w:val="24"/>
          <w:lang w:eastAsia="es-CR"/>
        </w:rPr>
        <w:br/>
        <w:t>3) la importancia del daño resarcible y la actitud que el imputado adopta, voluntariamente, frente a él;</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4) </w:t>
      </w:r>
      <w:proofErr w:type="gramStart"/>
      <w:r w:rsidRPr="006A356C">
        <w:rPr>
          <w:rFonts w:ascii="Arial" w:eastAsia="Times New Roman" w:hAnsi="Arial" w:cs="Arial"/>
          <w:sz w:val="24"/>
          <w:szCs w:val="24"/>
          <w:lang w:eastAsia="es-CR"/>
        </w:rPr>
        <w:t>el</w:t>
      </w:r>
      <w:proofErr w:type="gramEnd"/>
      <w:r w:rsidRPr="006A356C">
        <w:rPr>
          <w:rFonts w:ascii="Arial" w:eastAsia="Times New Roman" w:hAnsi="Arial" w:cs="Arial"/>
          <w:sz w:val="24"/>
          <w:szCs w:val="24"/>
          <w:lang w:eastAsia="es-CR"/>
        </w:rPr>
        <w:t xml:space="preserve"> comportamiento del imputado durante el procedimiento o en otro procedimiento anterior, en la medida que indique su voluntad de someterse a la persecución penal.”</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“204. Peligro de obstaculización. Para decidir acerca del peligro de obstaculización para la averiguación de la verdad se tendrá en cuenta, especialmente, la grave sospecha de que el imputado: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1) destruirá, modificará, ocultará, suprimirá o falsificará elementos de prueba;</w:t>
      </w:r>
      <w:r w:rsidRPr="006A356C">
        <w:rPr>
          <w:rFonts w:ascii="Arial" w:eastAsia="Times New Roman" w:hAnsi="Arial" w:cs="Arial"/>
          <w:sz w:val="24"/>
          <w:szCs w:val="24"/>
          <w:lang w:eastAsia="es-CR"/>
        </w:rPr>
        <w:br/>
        <w:t>2) influirá para que coimputados, testigos o peritos informen falsamente o se comporten de manera desleal o reticente;</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 xml:space="preserve">3) </w:t>
      </w:r>
      <w:proofErr w:type="gramStart"/>
      <w:r w:rsidRPr="006A356C">
        <w:rPr>
          <w:rFonts w:ascii="Arial" w:eastAsia="Times New Roman" w:hAnsi="Arial" w:cs="Arial"/>
          <w:sz w:val="24"/>
          <w:szCs w:val="24"/>
          <w:lang w:eastAsia="es-CR"/>
        </w:rPr>
        <w:t>inducirá</w:t>
      </w:r>
      <w:proofErr w:type="gramEnd"/>
      <w:r w:rsidRPr="006A356C">
        <w:rPr>
          <w:rFonts w:ascii="Arial" w:eastAsia="Times New Roman" w:hAnsi="Arial" w:cs="Arial"/>
          <w:sz w:val="24"/>
          <w:szCs w:val="24"/>
          <w:lang w:eastAsia="es-CR"/>
        </w:rPr>
        <w:t xml:space="preserve"> a otros a realizar tales comportamiento.”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“205.- Competencia, forma y contenido de la decisión.- El auto será dictado por el juez de la instrucción, durante el procedimiento preparatorio, o por el tribunal competente, y deberá contener:</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1) </w:t>
      </w:r>
      <w:proofErr w:type="gramStart"/>
      <w:r w:rsidRPr="006A356C">
        <w:rPr>
          <w:rFonts w:ascii="Arial" w:eastAsia="Times New Roman" w:hAnsi="Arial" w:cs="Arial"/>
          <w:sz w:val="24"/>
          <w:szCs w:val="24"/>
          <w:lang w:eastAsia="es-CR"/>
        </w:rPr>
        <w:t>los</w:t>
      </w:r>
      <w:proofErr w:type="gramEnd"/>
      <w:r w:rsidRPr="006A356C">
        <w:rPr>
          <w:rFonts w:ascii="Arial" w:eastAsia="Times New Roman" w:hAnsi="Arial" w:cs="Arial"/>
          <w:sz w:val="24"/>
          <w:szCs w:val="24"/>
          <w:lang w:eastAsia="es-CR"/>
        </w:rPr>
        <w:t xml:space="preserve"> datos personales del imputado o, si se ignoran, los que sirvan para identificarlo;</w:t>
      </w:r>
      <w:r w:rsidRPr="006A356C">
        <w:rPr>
          <w:rFonts w:ascii="Arial" w:eastAsia="Times New Roman" w:hAnsi="Arial" w:cs="Arial"/>
          <w:sz w:val="24"/>
          <w:szCs w:val="24"/>
          <w:lang w:eastAsia="es-CR"/>
        </w:rPr>
        <w:br/>
        <w:t>2) una sucinta enunciación del hecho o hechos que se le atribuyen;</w:t>
      </w:r>
      <w:r w:rsidRPr="006A356C">
        <w:rPr>
          <w:rFonts w:ascii="Arial" w:eastAsia="Times New Roman" w:hAnsi="Arial" w:cs="Arial"/>
          <w:sz w:val="24"/>
          <w:szCs w:val="24"/>
          <w:lang w:eastAsia="es-CR"/>
        </w:rPr>
        <w:br/>
        <w:t>3) los fundamentos;</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4) </w:t>
      </w:r>
      <w:proofErr w:type="gramStart"/>
      <w:r w:rsidRPr="006A356C">
        <w:rPr>
          <w:rFonts w:ascii="Arial" w:eastAsia="Times New Roman" w:hAnsi="Arial" w:cs="Arial"/>
          <w:sz w:val="24"/>
          <w:szCs w:val="24"/>
          <w:lang w:eastAsia="es-CR"/>
        </w:rPr>
        <w:t>el</w:t>
      </w:r>
      <w:proofErr w:type="gramEnd"/>
      <w:r w:rsidRPr="006A356C">
        <w:rPr>
          <w:rFonts w:ascii="Arial" w:eastAsia="Times New Roman" w:hAnsi="Arial" w:cs="Arial"/>
          <w:sz w:val="24"/>
          <w:szCs w:val="24"/>
          <w:lang w:eastAsia="es-CR"/>
        </w:rPr>
        <w:t xml:space="preserve"> dispositivo, con cita de las disposiciones penales aplicables.”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“209. Sustitución. Siempre que el peligro de fuga </w:t>
      </w:r>
      <w:proofErr w:type="gramStart"/>
      <w:r w:rsidRPr="006A356C">
        <w:rPr>
          <w:rFonts w:ascii="Arial" w:eastAsia="Times New Roman" w:hAnsi="Arial" w:cs="Arial"/>
          <w:sz w:val="24"/>
          <w:szCs w:val="24"/>
          <w:lang w:eastAsia="es-CR"/>
        </w:rPr>
        <w:t>o</w:t>
      </w:r>
      <w:proofErr w:type="gramEnd"/>
      <w:r w:rsidRPr="006A356C">
        <w:rPr>
          <w:rFonts w:ascii="Arial" w:eastAsia="Times New Roman" w:hAnsi="Arial" w:cs="Arial"/>
          <w:sz w:val="24"/>
          <w:szCs w:val="24"/>
          <w:lang w:eastAsia="es-CR"/>
        </w:rPr>
        <w:t xml:space="preserve"> obstaculización para la averiguación de la verdad pueda razonablemente evitarse por aplicación de otra medida menos gravosa para el imputado, el juez o tribunal competente de oficio, preferirá imponerle a él, en lugar de la prisión, alguna de las alternativas siguientes:</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1) arresto domiciliario, en su propio domicilio o en custodia de otra persona, sin vigilancia alguna o con la que el tribunal disponga;</w:t>
      </w:r>
      <w:r w:rsidRPr="006A356C">
        <w:rPr>
          <w:rFonts w:ascii="Arial" w:eastAsia="Times New Roman" w:hAnsi="Arial" w:cs="Arial"/>
          <w:sz w:val="24"/>
          <w:szCs w:val="24"/>
          <w:lang w:eastAsia="es-CR"/>
        </w:rPr>
        <w:br/>
        <w:t>2) la obligación de someterse al cuidado o vigilancia de una persona o institución determinada, quien informará periódicamente al tribunal;</w:t>
      </w:r>
      <w:r w:rsidRPr="006A356C">
        <w:rPr>
          <w:rFonts w:ascii="Arial" w:eastAsia="Times New Roman" w:hAnsi="Arial" w:cs="Arial"/>
          <w:sz w:val="24"/>
          <w:szCs w:val="24"/>
          <w:lang w:eastAsia="es-CR"/>
        </w:rPr>
        <w:br/>
        <w:t>3) la obligación de presentarse periódicamente ante el tribunal o la autoridad que él designe;</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4) la prohibición de salir del país, de la localidad en la cual reside o del ámbito territorial que fije el tribunal, sin autorización;</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5) la prohibición de concurrir a determinadas reuniones o de visitar ciertos lugares;</w:t>
      </w:r>
      <w:r w:rsidRPr="006A356C">
        <w:rPr>
          <w:rFonts w:ascii="Arial" w:eastAsia="Times New Roman" w:hAnsi="Arial" w:cs="Arial"/>
          <w:sz w:val="24"/>
          <w:szCs w:val="24"/>
          <w:lang w:eastAsia="es-CR"/>
        </w:rPr>
        <w:br/>
        <w:t>6) la prohibición de comunicarse con personas determinadas, siempre que no se afecte el derecho de defensa;</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7) la prestación de una caución económica adecuada, por el propio imputado o por otra persona, mediante depósito de dinero, valores, constitución de prenda o hipoteca, embargo o entrega de bienes, o la fianza de una o más personas idóneas.</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El tribunal podrá imponer una sola de estas alternativas o combinar varias de ellas, según resulte adecuado al caso, y ordenará las medidas y las comunicaciones necesarias para garantizar su cumplimiento. En ningún caso se utilizarán estas medidas desnaturalizando su finalidad o se impondrán medidas cuyo cumplimiento fuere imposible; en </w:t>
      </w:r>
      <w:proofErr w:type="gramStart"/>
      <w:r w:rsidRPr="006A356C">
        <w:rPr>
          <w:rFonts w:ascii="Arial" w:eastAsia="Times New Roman" w:hAnsi="Arial" w:cs="Arial"/>
          <w:sz w:val="24"/>
          <w:szCs w:val="24"/>
          <w:lang w:eastAsia="es-CR"/>
        </w:rPr>
        <w:t>especial ,</w:t>
      </w:r>
      <w:proofErr w:type="gramEnd"/>
      <w:r w:rsidRPr="006A356C">
        <w:rPr>
          <w:rFonts w:ascii="Arial" w:eastAsia="Times New Roman" w:hAnsi="Arial" w:cs="Arial"/>
          <w:sz w:val="24"/>
          <w:szCs w:val="24"/>
          <w:lang w:eastAsia="es-CR"/>
        </w:rPr>
        <w:t xml:space="preserve"> no se impondrá una caución económica, cuando el estado de pobreza o la carencia de medios del imputado, tornen imposible la prestación de la caución.</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Podrá también prescindir de toda medida de coerción, cuando la siempre promesa del imputado de someterse al procedimiento baste para eliminar el peligro de fuga o de obstaculización para la averiguación de la verdad.”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En el Código Procesal Penal de Guatemala, artículos 259, 260, 261, 262, 263 y 264, se regula sobre la materia con el mismo contenido de las normas transcritas del Código Proce-sal Penal Modelo. Lo propio se hace en los artículos 285, 286, 287 y 288 del Código Procesal Penal de El Salvador; en los artículos 244, 245, 246 y 247 del proyecto de Código Procesal Penal de Paraguay; y en los artículos 239, 240, 241, 257 y 258 del nuevo Código Procesal Penal costarricense. </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Tanto el Código Procesal Penal salvadoreño como el costarricense introducen también otro factor, además de los peligros de fuga y de obstaculización: el peligro de reincidencia, es decir la posibilidad de que el sujeto pueda continuar su actividad delictiva de mantenerse en libertad mientras se tramita el proceso penal (art. 285 CPP salvadoreño, 239 CPP </w:t>
      </w:r>
      <w:r w:rsidRPr="006A356C">
        <w:rPr>
          <w:rFonts w:ascii="Arial" w:eastAsia="Times New Roman" w:hAnsi="Arial" w:cs="Arial"/>
          <w:sz w:val="24"/>
          <w:szCs w:val="24"/>
          <w:lang w:eastAsia="es-CR"/>
        </w:rPr>
        <w:lastRenderedPageBreak/>
        <w:t xml:space="preserve">costarricense).- Esta causal evidentemente no se fundamenta en una necesidad surgida del proceso, y se le ha criticado su base constitucional, pero responde a una preocupación ciudadana sobre el funcionamiento del sistema penal, de carácter defensista al mejor estilo. </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Es indudable que el carácter inquisitivo que caracteriza las legislaciones americanas y lo arraigados que los principios propios de ese sistema están en la mayoría de los aplicadores del derecho penal, hacen que normas como las transcritas sean de difícil respeto en el área.</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La creencia particular de los jueces de que son la garantía de la seguridad ciudadana, puesta en peligro cuando los procesados se encuentran en libertad y no sólo los garantes de los derechos de las partes -de todas las partes en el proceso-, hace que la restricción a la libertad se acuerde frecuentemente con irrespeto de las normas constitucionales -todas las constituciones políticas cuentan con declaraciones sobre la protección de la libertad individual-, convencionales y legales con que se pretende proteger el derecho fundamental a la libertad ambulatoria. El incumplimiento de las normas constitucionales, convencionales y legales dictadas en protección de la libertad de los imputados, permitiendo razonablemente proteger los intereses del proceso, es el responsable de que en todos los países del continente se cuente con una taza de detenidos en espera de juicio sobradamente abultada.</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II.- Necesidad de establecer un plazo máximo para la prisión preventiva.</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La Convención Americana sobre Derechos Humanos, conforme ya se apuntó, en su artículo 7.5, establece la obligación de los Estados parte, de juzgar a las personas en un plazo razonable, o ponerlas en libertad en forma caucionada o no, sin que ello imposibilite el que el proceso pueda continuar.</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lastRenderedPageBreak/>
        <w:br/>
        <w:t xml:space="preserve">Lo anterior conlleva la necesidad de fijar un plazo máximo para la prisión preventiva, a efecto de adaptar la legislación nacional a los términos de la Convención.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En Costa Rica, por ley número 7337 de treinta y uno de marzo de mil novecientos noventa y tres, se reformó el artículo 294 del Código de Procedimientos Penales de 1973, a efecto de establecer un plazo máximo a la detención provisional, el que se fijó en quince meses, con la posibilidad de una prórroga de hasta un año más, cuando determinadas circunstancias lo exijan3. Por desgracia, la creencia popular de que el uso de la prisión preventiva puede disminuir los índices de criminalidad, muy arraigada en nuestros medios, incidió para que estas disposiciones se derogaran con la ley que aprobó el nuevo Código Procesal Penal (ley N° 7594 del 10 de abril de 1996), pero el transitorio quinto de esa ley dispuso que las reformas introducidas a los artículos 294 y 298 del CPP de 1973 (haciendo una mala cita de la ley) debía estar vigente hasta el 1° de enero de 1998, fecha en que comenzará a regir el nuevo Código Procesal Penal, el cual regresa a la posición de mantener plazos máximos para la prisión preventiva (Arts. 253, 257 y 258).- El Código Costarricense introduce además una prohibición de examinar la prisión preventiva a solicitud de parte durante los primeros tres meses, pero el tribunal puede revisarla de oficio si estima que han variado las circunstancias por las cuales se decretó (art. 253) y restringe el recurso de apelación durante esos primeros tres meses sólo a la resolución que decreta por primera vez la prisión preventiva. Transcurrido ese plazo las resoluciones que rechacen una medida sustitutiva, si tiene recurso de apelación (art. 256).</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Para cumplir con los términos de la Convención es conveniente hacer legislativamente la fijación a que se han comprometido nuestros países, pero al propio tiempo deben hacerse las modificaciones del caso a la </w:t>
      </w:r>
      <w:r w:rsidRPr="006A356C">
        <w:rPr>
          <w:rFonts w:ascii="Arial" w:eastAsia="Times New Roman" w:hAnsi="Arial" w:cs="Arial"/>
          <w:sz w:val="24"/>
          <w:szCs w:val="24"/>
          <w:lang w:eastAsia="es-CR"/>
        </w:rPr>
        <w:lastRenderedPageBreak/>
        <w:t>práctica judicial y a los Códigos de Procedimientos para garantizar una mayor eficiencia en la administración de justicia, para que todos sean juzgados prontamente.</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Otra disposición que complementa ese límite máximo lo constituye el hecho de que los Tribunales estén obligados a examinar de oficio, cada cierto tiempo, las condiciones y las circunstancias de la privación de libertad, de manera que el Juez deba fundamentar cada dos o tres meses las razones por las cuales en su criterio se mantienen las mismas condiciones que justificaron la aplicación de la prisión preventiva originalmente (presunción de fuga, presunción de obstaculizar la investigación)4.</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III.- Los sustitutivos de la prisión preventiva.-</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De acuerdo con las recomendaciones internacionales, también incorporadas al Código Tipo, la prisión preventiva debe ser sustituida por otras medidas cautelares menos gravosas para el imputado, cuando las presunciones que la justificaron (fuga, obstaculización, reincidencia) puedan ser evitadas razonablemente con el uso de algunas de estas otras medidas, tales como:</w:t>
      </w:r>
    </w:p>
    <w:p w:rsidR="00C21A64" w:rsidRDefault="00C21A64" w:rsidP="00C21A64">
      <w:pPr>
        <w:spacing w:after="0" w:line="360" w:lineRule="auto"/>
        <w:ind w:left="720"/>
        <w:jc w:val="both"/>
        <w:rPr>
          <w:rFonts w:ascii="Arial" w:eastAsia="Times New Roman" w:hAnsi="Arial" w:cs="Arial"/>
          <w:sz w:val="24"/>
          <w:szCs w:val="24"/>
          <w:lang w:eastAsia="es-CR"/>
        </w:rPr>
      </w:pPr>
      <w:proofErr w:type="gramStart"/>
      <w:r w:rsidRPr="006A356C">
        <w:rPr>
          <w:rFonts w:ascii="Arial" w:eastAsia="Times New Roman" w:hAnsi="Arial" w:cs="Arial"/>
          <w:sz w:val="24"/>
          <w:szCs w:val="24"/>
          <w:lang w:eastAsia="es-CR"/>
        </w:rPr>
        <w:t>el</w:t>
      </w:r>
      <w:proofErr w:type="gramEnd"/>
      <w:r w:rsidRPr="006A356C">
        <w:rPr>
          <w:rFonts w:ascii="Arial" w:eastAsia="Times New Roman" w:hAnsi="Arial" w:cs="Arial"/>
          <w:sz w:val="24"/>
          <w:szCs w:val="24"/>
          <w:lang w:eastAsia="es-CR"/>
        </w:rPr>
        <w:t xml:space="preserve"> arresto domiciliario;</w:t>
      </w:r>
    </w:p>
    <w:p w:rsidR="00C21A64" w:rsidRDefault="00C21A64" w:rsidP="00C21A64">
      <w:pPr>
        <w:spacing w:after="0" w:line="360" w:lineRule="auto"/>
        <w:ind w:left="720"/>
        <w:jc w:val="both"/>
        <w:rPr>
          <w:rFonts w:ascii="Arial" w:eastAsia="Times New Roman" w:hAnsi="Arial" w:cs="Arial"/>
          <w:sz w:val="24"/>
          <w:szCs w:val="24"/>
          <w:lang w:eastAsia="es-CR"/>
        </w:rPr>
      </w:pPr>
      <w:proofErr w:type="gramStart"/>
      <w:r w:rsidRPr="006A356C">
        <w:rPr>
          <w:rFonts w:ascii="Arial" w:eastAsia="Times New Roman" w:hAnsi="Arial" w:cs="Arial"/>
          <w:sz w:val="24"/>
          <w:szCs w:val="24"/>
          <w:lang w:eastAsia="es-CR"/>
        </w:rPr>
        <w:t>la</w:t>
      </w:r>
      <w:proofErr w:type="gramEnd"/>
      <w:r w:rsidRPr="006A356C">
        <w:rPr>
          <w:rFonts w:ascii="Arial" w:eastAsia="Times New Roman" w:hAnsi="Arial" w:cs="Arial"/>
          <w:sz w:val="24"/>
          <w:szCs w:val="24"/>
          <w:lang w:eastAsia="es-CR"/>
        </w:rPr>
        <w:t xml:space="preserve"> obligación de someterse al cuidado o vigilancia de una institución o de una persona;</w:t>
      </w:r>
    </w:p>
    <w:p w:rsidR="00C21A64" w:rsidRDefault="00C21A64" w:rsidP="00C21A64">
      <w:pPr>
        <w:spacing w:after="0" w:line="360" w:lineRule="auto"/>
        <w:ind w:left="720"/>
        <w:jc w:val="both"/>
        <w:rPr>
          <w:rFonts w:ascii="Arial" w:eastAsia="Times New Roman" w:hAnsi="Arial" w:cs="Arial"/>
          <w:sz w:val="24"/>
          <w:szCs w:val="24"/>
          <w:lang w:eastAsia="es-CR"/>
        </w:rPr>
      </w:pPr>
      <w:proofErr w:type="gramStart"/>
      <w:r w:rsidRPr="006A356C">
        <w:rPr>
          <w:rFonts w:ascii="Arial" w:eastAsia="Times New Roman" w:hAnsi="Arial" w:cs="Arial"/>
          <w:sz w:val="24"/>
          <w:szCs w:val="24"/>
          <w:lang w:eastAsia="es-CR"/>
        </w:rPr>
        <w:t>la</w:t>
      </w:r>
      <w:proofErr w:type="gramEnd"/>
      <w:r w:rsidRPr="006A356C">
        <w:rPr>
          <w:rFonts w:ascii="Arial" w:eastAsia="Times New Roman" w:hAnsi="Arial" w:cs="Arial"/>
          <w:sz w:val="24"/>
          <w:szCs w:val="24"/>
          <w:lang w:eastAsia="es-CR"/>
        </w:rPr>
        <w:t xml:space="preserve"> obligación de presentarse periódicamente ante el tribunal o ante otra autoridad;</w:t>
      </w:r>
      <w:r w:rsidRPr="006A356C">
        <w:rPr>
          <w:rFonts w:ascii="Arial" w:eastAsia="Times New Roman" w:hAnsi="Arial" w:cs="Arial"/>
          <w:sz w:val="24"/>
          <w:szCs w:val="24"/>
          <w:lang w:eastAsia="es-CR"/>
        </w:rPr>
        <w:br/>
        <w:t>el impedimento de salida del país o de cierto ámbito territorial;</w:t>
      </w:r>
    </w:p>
    <w:p w:rsidR="00C21A64" w:rsidRDefault="00C21A64" w:rsidP="00C21A64">
      <w:pPr>
        <w:spacing w:after="0" w:line="360" w:lineRule="auto"/>
        <w:ind w:left="720"/>
        <w:jc w:val="both"/>
        <w:rPr>
          <w:rFonts w:ascii="Arial" w:eastAsia="Times New Roman" w:hAnsi="Arial" w:cs="Arial"/>
          <w:sz w:val="24"/>
          <w:szCs w:val="24"/>
          <w:lang w:eastAsia="es-CR"/>
        </w:rPr>
      </w:pPr>
      <w:proofErr w:type="gramStart"/>
      <w:r w:rsidRPr="006A356C">
        <w:rPr>
          <w:rFonts w:ascii="Arial" w:eastAsia="Times New Roman" w:hAnsi="Arial" w:cs="Arial"/>
          <w:sz w:val="24"/>
          <w:szCs w:val="24"/>
          <w:lang w:eastAsia="es-CR"/>
        </w:rPr>
        <w:t>la</w:t>
      </w:r>
      <w:proofErr w:type="gramEnd"/>
      <w:r w:rsidRPr="006A356C">
        <w:rPr>
          <w:rFonts w:ascii="Arial" w:eastAsia="Times New Roman" w:hAnsi="Arial" w:cs="Arial"/>
          <w:sz w:val="24"/>
          <w:szCs w:val="24"/>
          <w:lang w:eastAsia="es-CR"/>
        </w:rPr>
        <w:t xml:space="preserve"> prohibición de concurrir a determinados lugares;</w:t>
      </w:r>
    </w:p>
    <w:p w:rsidR="00C21A64" w:rsidRDefault="00C21A64" w:rsidP="00C21A64">
      <w:pPr>
        <w:spacing w:after="0" w:line="360" w:lineRule="auto"/>
        <w:ind w:left="720"/>
        <w:jc w:val="both"/>
        <w:rPr>
          <w:rFonts w:ascii="Arial" w:eastAsia="Times New Roman" w:hAnsi="Arial" w:cs="Arial"/>
          <w:sz w:val="24"/>
          <w:szCs w:val="24"/>
          <w:lang w:eastAsia="es-CR"/>
        </w:rPr>
      </w:pPr>
      <w:proofErr w:type="gramStart"/>
      <w:r w:rsidRPr="006A356C">
        <w:rPr>
          <w:rFonts w:ascii="Arial" w:eastAsia="Times New Roman" w:hAnsi="Arial" w:cs="Arial"/>
          <w:sz w:val="24"/>
          <w:szCs w:val="24"/>
          <w:lang w:eastAsia="es-CR"/>
        </w:rPr>
        <w:t>la</w:t>
      </w:r>
      <w:proofErr w:type="gramEnd"/>
      <w:r w:rsidRPr="006A356C">
        <w:rPr>
          <w:rFonts w:ascii="Arial" w:eastAsia="Times New Roman" w:hAnsi="Arial" w:cs="Arial"/>
          <w:sz w:val="24"/>
          <w:szCs w:val="24"/>
          <w:lang w:eastAsia="es-CR"/>
        </w:rPr>
        <w:t xml:space="preserve"> prohibición de convivir o comunicarse con ciertas personas;</w:t>
      </w:r>
    </w:p>
    <w:p w:rsidR="00C21A64" w:rsidRDefault="00C21A64" w:rsidP="00C21A64">
      <w:pPr>
        <w:spacing w:after="0" w:line="360" w:lineRule="auto"/>
        <w:ind w:left="720"/>
        <w:jc w:val="both"/>
        <w:rPr>
          <w:rFonts w:ascii="Arial" w:eastAsia="Times New Roman" w:hAnsi="Arial" w:cs="Arial"/>
          <w:sz w:val="24"/>
          <w:szCs w:val="24"/>
          <w:lang w:eastAsia="es-CR"/>
        </w:rPr>
      </w:pPr>
      <w:proofErr w:type="gramStart"/>
      <w:r w:rsidRPr="006A356C">
        <w:rPr>
          <w:rFonts w:ascii="Arial" w:eastAsia="Times New Roman" w:hAnsi="Arial" w:cs="Arial"/>
          <w:sz w:val="24"/>
          <w:szCs w:val="24"/>
          <w:lang w:eastAsia="es-CR"/>
        </w:rPr>
        <w:t>el</w:t>
      </w:r>
      <w:proofErr w:type="gramEnd"/>
      <w:r w:rsidRPr="006A356C">
        <w:rPr>
          <w:rFonts w:ascii="Arial" w:eastAsia="Times New Roman" w:hAnsi="Arial" w:cs="Arial"/>
          <w:sz w:val="24"/>
          <w:szCs w:val="24"/>
          <w:lang w:eastAsia="es-CR"/>
        </w:rPr>
        <w:t xml:space="preserve"> abandono del hogar en agresiones domésticas;</w:t>
      </w:r>
    </w:p>
    <w:p w:rsidR="00C21A64" w:rsidRDefault="00C21A64" w:rsidP="00C21A64">
      <w:pPr>
        <w:spacing w:after="0" w:line="360" w:lineRule="auto"/>
        <w:ind w:left="720"/>
        <w:jc w:val="both"/>
        <w:rPr>
          <w:rFonts w:ascii="Arial" w:eastAsia="Times New Roman" w:hAnsi="Arial" w:cs="Arial"/>
          <w:sz w:val="24"/>
          <w:szCs w:val="24"/>
          <w:lang w:eastAsia="es-CR"/>
        </w:rPr>
      </w:pPr>
      <w:proofErr w:type="gramStart"/>
      <w:r w:rsidRPr="006A356C">
        <w:rPr>
          <w:rFonts w:ascii="Arial" w:eastAsia="Times New Roman" w:hAnsi="Arial" w:cs="Arial"/>
          <w:sz w:val="24"/>
          <w:szCs w:val="24"/>
          <w:lang w:eastAsia="es-CR"/>
        </w:rPr>
        <w:t>la</w:t>
      </w:r>
      <w:proofErr w:type="gramEnd"/>
      <w:r w:rsidRPr="006A356C">
        <w:rPr>
          <w:rFonts w:ascii="Arial" w:eastAsia="Times New Roman" w:hAnsi="Arial" w:cs="Arial"/>
          <w:sz w:val="24"/>
          <w:szCs w:val="24"/>
          <w:lang w:eastAsia="es-CR"/>
        </w:rPr>
        <w:t xml:space="preserve"> suspensión del ejercicio del cargo;</w:t>
      </w:r>
    </w:p>
    <w:p w:rsidR="00C21A64" w:rsidRDefault="00C21A64" w:rsidP="00C21A64">
      <w:pPr>
        <w:spacing w:after="0" w:line="360" w:lineRule="auto"/>
        <w:ind w:left="720"/>
        <w:jc w:val="both"/>
        <w:rPr>
          <w:rFonts w:ascii="Arial" w:eastAsia="Times New Roman" w:hAnsi="Arial" w:cs="Arial"/>
          <w:sz w:val="24"/>
          <w:szCs w:val="24"/>
          <w:lang w:eastAsia="es-CR"/>
        </w:rPr>
      </w:pPr>
      <w:proofErr w:type="gramStart"/>
      <w:r w:rsidRPr="006A356C">
        <w:rPr>
          <w:rFonts w:ascii="Arial" w:eastAsia="Times New Roman" w:hAnsi="Arial" w:cs="Arial"/>
          <w:sz w:val="24"/>
          <w:szCs w:val="24"/>
          <w:lang w:eastAsia="es-CR"/>
        </w:rPr>
        <w:t>la</w:t>
      </w:r>
      <w:proofErr w:type="gramEnd"/>
      <w:r w:rsidRPr="006A356C">
        <w:rPr>
          <w:rFonts w:ascii="Arial" w:eastAsia="Times New Roman" w:hAnsi="Arial" w:cs="Arial"/>
          <w:sz w:val="24"/>
          <w:szCs w:val="24"/>
          <w:lang w:eastAsia="es-CR"/>
        </w:rPr>
        <w:t xml:space="preserve"> caución (fianza)...</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br/>
        <w:t xml:space="preserve">Estas medidas las encontramos expresamente en el artículo 244 del nuevo Código Procesal Penal costarricense y en el artículo 288 del nuevo texto salvadoreño.-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IV.- Utilización de la prisión preventiva en América Latina.</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Con la publicación de “El preso sin condena en América Latina y el Caribe”5, quedó en evidencia el alto uso que se le da a la prisión preventiva en el sistema de justicia penal americano, contrario al movimiento que con ámbito mundial se da a efecto de reducir el uso de la prisión en general y en especial durante el proceso.</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La pena de prisión es la de mayor uso en nuestros sistema de justicia penal, sólo un pequeño grupo de tipos penales acuerdan como consecuencia la imposición de la pena de multa y la inhabilitación, con casi absoluto desconocimiento de otras penas sustitutas de la privativa de libertad.6 Ello hace que la prisión preventiva se encuentre “relativamente” justificada en aquéllos casos en que pueda estimarse como muy probable la imposición de una pena de prisión en sentencia.</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Los marcos constitucionales sólo autorizan la prisión a título de pena como consecuencia de un juicio previo, realizado con absoluto respeto a los derechos de las partes y mediante sentencia dictada por autoridad competente. El estado de inocencia del imputado durante el proceso es también reconocimiento constante de los marcos constitucionales, de ahí que, si el procesado es inocente no deben ser admitidas medidas de coerción personal cuando ellas adquieran las características de una pena, ya sea por su duración, por las condiciones en que se cumplan, o por las razones que le sirven de fundamento. La convención americana señala que el encausado tiene “derecho a ser juzgado, dentro de un plazo razonable, o </w:t>
      </w:r>
      <w:r w:rsidRPr="006A356C">
        <w:rPr>
          <w:rFonts w:ascii="Arial" w:eastAsia="Times New Roman" w:hAnsi="Arial" w:cs="Arial"/>
          <w:sz w:val="24"/>
          <w:szCs w:val="24"/>
          <w:lang w:eastAsia="es-CR"/>
        </w:rPr>
        <w:lastRenderedPageBreak/>
        <w:t>a ser puesto en libertad, sin perjuicio de que continúe el proceso. En la mayoría de los sistemas penitenciarios no se cuenta con las posibilidades para separar a procesados de condenados y cuando efectivamente se desarrollan programas tendientes a posibilitar la reincorporación de los detenidos al medio social del que fueron sustraídos por causa de la comisión del hecho atribuido, tampoco se hace discriminación alguna respecto a su estado frente al proceso. Además corrientemente los jueces justifican la prisión preventiva con la existencia de prueba suficiente que permite, “prima facie”, tener como acreditado el hecho por el que se juzga al detenido y su atribución personal.</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A principios de los años ochenta la cantidad de presos sin condena en el continente oscilaba entre el 47,40% de Costa Rica y el 94,25% de Paraguay, con varios países con más de un 70% (Bolivia, Colombia, El Salvador, México, Perú, República Dominicana, Uruguay y Venezuela), desdichadamente a la fecha los porcentajes no han mejorado sustancialmente.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V.- Necesidad de reducir el número de presos sin condena.</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La prisión preventiva sólo debe utilizarse cuando las necesidades propias del proceso así lo exijan, sea cuando exista peligro de fuga o de obstaculización, pero la realidad es que en los sistemas de justicia penal del continente existen muchas razones, no todas legítimas, para que se le utilice con mayor frecuencia que la deseada.</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En algunos países los jueces sólo se preocupan por finalizar los procesos en que el indiciado se encuentre detenido, la prisión preventiva se constituye así en una necesidad para garantizar la administración de justicia. En esos países, por lo general, tampoco se llevan estadísticas y sistemas de control confiables para establecer el número exacto de </w:t>
      </w:r>
      <w:r w:rsidRPr="006A356C">
        <w:rPr>
          <w:rFonts w:ascii="Arial" w:eastAsia="Times New Roman" w:hAnsi="Arial" w:cs="Arial"/>
          <w:sz w:val="24"/>
          <w:szCs w:val="24"/>
          <w:lang w:eastAsia="es-CR"/>
        </w:rPr>
        <w:lastRenderedPageBreak/>
        <w:t xml:space="preserve">procesos que se encuentran sub-júdice, lo que hace que el porcentaje de presos sin condena aumente considerablemente, pues los reportes sólo se preocupan por cuantificar el número de personas detenidas y alguno de los restantes juicios en que el tema resulta interesante o por cualquier razón debe continuar, no obstante que el encausado no se encuentre detenido.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La peligrosidad manifestada por el inculpado con la comisión del delito por el que se le juzga, es tomada en consideración para justificar la prisión preventiva, circunstancia que no puede calificar como constitucional, pues el procesado goza de un estado de inocencia mientras un juez competente no le condene.</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Pero no resulta extraño encontrar autorización legislativa para restringir la libertad durante el proceso a efecto de evitar escándalos probables, proteger la integridad física del imputado o descontar anticipadamente una condena segura.</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Existen varias razones para que se realicen los mayores esfuerzos para reducir el número de presos sin condena, no sólo para cumplir con las exigencias que nos impone la Convención Americana sobre Derechos Humanos y adecuar la práctica judicial a las garantías constitucionales, sino por la imposibilidad en que se encuentran los Estados para dar el trato que se merecen las personas de-tenidas, pues el alto número de ellas conlleva a que las deterioradas cárceles con que se cuenta no sirvan ni siquiera para una efectiva contención de las personas que en ellas se encuentran.</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Las deterioradas economías de nuestros países no permiten pensar que con prontitud de pueda hacer el esfuerzo que requiere la actualización de la infraestructura penitencia con que se cuenta, por ello, también debe pensarse en una racionalización del número de detenidos.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lastRenderedPageBreak/>
        <w:br/>
        <w:t>VI.- Una experiencia satisfactoria.</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A pesar de que Costa Rica mantenía la tasa más baja de presos sin condena entre los países de América Latina que siguen el sistema jurídico continental europeo, cuando se hizo el estudio sobre “El Preso sin Condena”, pues en 1981 tenía el 47.40%,7 hoy en 1995 esa cifra se ha logrado reducir a un 21% y en los años 92 y 93 estuvo incluso más baja como se aprecia del cuadro que se incluye adelante.</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Muchos han sido los factores que, al interno del sistema de administración de justicia penal costarricense, han coadyuvado para que se produzca esa disminución, colocando al país bastante más cerca del grupo de orientación anglosajona.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Entre los factores más importantes debemos mencionar al menos tres: en primer término la Sala Constitucional, la cual constituyó sin lugar a dudas el factor más importante, al cambiar una gran cantidad de prácticas viciadas que ocurrían alrededor de la detención, poniendo en evidencia los límites constitucionales y legales a la actividad de los policías, de los fiscales del Ministerio Público y de los jueces en relación con la detención de personas. Esa intervención la rea-liza la Sala Constitucional por medio de los recursos de hábeas corpus y de las acciones de inconstitucionalidad.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En segundo lugar la reforma al Código Procesal Penal, en cuanto estableció nuevos parámetros de carácter procesal para justificar una detención preventiva, instauró un límite máximo de prisión preventiva, y exigió pronunciamientos periódicos de los jueces, para que examinaran la situación de los reos mientras tramitan el proceso. </w:t>
      </w:r>
    </w:p>
    <w:p w:rsidR="00C21A64" w:rsidRPr="006A356C"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En tercer lugar, desde el punto de vista administrativo, debemos señalar la </w:t>
      </w:r>
      <w:r w:rsidRPr="006A356C">
        <w:rPr>
          <w:rFonts w:ascii="Arial" w:eastAsia="Times New Roman" w:hAnsi="Arial" w:cs="Arial"/>
          <w:sz w:val="24"/>
          <w:szCs w:val="24"/>
          <w:lang w:eastAsia="es-CR"/>
        </w:rPr>
        <w:lastRenderedPageBreak/>
        <w:t>actividad de la Comisión de Asuntos Penales8 y las directrices de la Corte Plena adoptadas a sugerencia de aquella, las cuales junto con otras dependencias internas del Poder Judicial han venido realizando una gran cantidad de actividades y de controles sobre el tema de los “reos presos”, dirigidas sobre todo a los Jueces de Instrucción, Tribunales de Juicio, la Policía Judicial y los Fiscales del Ministerio Público. Dándole seguimiento trimestral a la estadística de reos presos, para informar a los jueces del número de personas que tiene detenidas a su orden con seis meses, nueve meses, un año, quince y dieciocho meses de permanecer en prisión. Con los datos obtenidos de los informes mensuales y trimestrales que deben enviar los jueces a la Sección de Estadísticas del Poder Judicial sobre el movimiento ocurrido en relación a la detención de las personas sometidas a juicio en el despacho a su cargo, los que se confrontan con los que también remite la Dirección General de Adaptación Social, órgano del Ministerio de Justicia y Gracia que tiene a su encargo la administración de los centros de reclusión, se establece el número total de personas que se encuentran detenidas en espera de juicio y dentro de ellas los grupos, divididos por trimestres, desde seis meses hasta dieciocho meses o más. El informe se envía a la Comisión de Asuntos Penales, la que junto con la Inspección Judicial</w:t>
      </w:r>
      <w:proofErr w:type="gramStart"/>
      <w:r w:rsidRPr="006A356C">
        <w:rPr>
          <w:rFonts w:ascii="Arial" w:eastAsia="Times New Roman" w:hAnsi="Arial" w:cs="Arial"/>
          <w:sz w:val="24"/>
          <w:szCs w:val="24"/>
          <w:lang w:eastAsia="es-CR"/>
        </w:rPr>
        <w:t>,9</w:t>
      </w:r>
      <w:proofErr w:type="gramEnd"/>
      <w:r w:rsidRPr="006A356C">
        <w:rPr>
          <w:rFonts w:ascii="Arial" w:eastAsia="Times New Roman" w:hAnsi="Arial" w:cs="Arial"/>
          <w:sz w:val="24"/>
          <w:szCs w:val="24"/>
          <w:lang w:eastAsia="es-CR"/>
        </w:rPr>
        <w:t xml:space="preserve"> le da trámite a la información rendida por la Sección de Estadísticas, pidiendo a los jueces se informen sobre las causas del atraso. Como apéndice agregamos el último informe estadístico que se remite a esos entes para ejercer el debido control sobre los jueces en relación a los reos presos que tienen a su orden en el sistema penitenciario.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Estos mecanismos tuvieron una profunda repercusión en la práctica cotidiana, haciendo disminuir el porcentaje de reos en espera de juicio a porcentajes respetables. Observemos al respecto las estadísticas:</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87"/>
        <w:gridCol w:w="2084"/>
        <w:gridCol w:w="1649"/>
        <w:gridCol w:w="1649"/>
        <w:gridCol w:w="1669"/>
      </w:tblGrid>
      <w:tr w:rsidR="00C21A64" w:rsidRPr="006A356C" w:rsidTr="002B4915">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FECHA</w:t>
            </w:r>
          </w:p>
        </w:tc>
        <w:tc>
          <w:tcPr>
            <w:tcW w:w="225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Número de Detenidos con privación </w:t>
            </w:r>
            <w:r w:rsidRPr="006A356C">
              <w:rPr>
                <w:rFonts w:ascii="Arial" w:eastAsia="Times New Roman" w:hAnsi="Arial" w:cs="Arial"/>
                <w:sz w:val="24"/>
                <w:szCs w:val="24"/>
                <w:lang w:eastAsia="es-CR"/>
              </w:rPr>
              <w:lastRenderedPageBreak/>
              <w:t>preventiva</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 xml:space="preserve">Detenidos por cada 100 casos </w:t>
            </w:r>
            <w:r w:rsidRPr="006A356C">
              <w:rPr>
                <w:rFonts w:ascii="Arial" w:eastAsia="Times New Roman" w:hAnsi="Arial" w:cs="Arial"/>
                <w:sz w:val="24"/>
                <w:szCs w:val="24"/>
                <w:lang w:eastAsia="es-CR"/>
              </w:rPr>
              <w:lastRenderedPageBreak/>
              <w:t>entrados</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 xml:space="preserve">Detenidos por cada 100 casos en </w:t>
            </w:r>
            <w:r w:rsidRPr="006A356C">
              <w:rPr>
                <w:rFonts w:ascii="Arial" w:eastAsia="Times New Roman" w:hAnsi="Arial" w:cs="Arial"/>
                <w:sz w:val="24"/>
                <w:szCs w:val="24"/>
                <w:lang w:eastAsia="es-CR"/>
              </w:rPr>
              <w:lastRenderedPageBreak/>
              <w:t>tramite</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Detenidos por cada 100,000 habitantes</w:t>
            </w:r>
          </w:p>
        </w:tc>
      </w:tr>
      <w:tr w:rsidR="00C21A64" w:rsidRPr="006A356C" w:rsidTr="002B4915">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31-12-89</w:t>
            </w:r>
          </w:p>
        </w:tc>
        <w:tc>
          <w:tcPr>
            <w:tcW w:w="225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12.80</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12.8</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5.5</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43.3</w:t>
            </w:r>
          </w:p>
        </w:tc>
      </w:tr>
      <w:tr w:rsidR="00C21A64" w:rsidRPr="006A356C" w:rsidTr="002B4915">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31-1290</w:t>
            </w:r>
          </w:p>
        </w:tc>
        <w:tc>
          <w:tcPr>
            <w:tcW w:w="225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818</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7.2</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3.6</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27.0</w:t>
            </w:r>
          </w:p>
        </w:tc>
      </w:tr>
      <w:tr w:rsidR="00C21A64" w:rsidRPr="006A356C" w:rsidTr="002B4915">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31-1291</w:t>
            </w:r>
          </w:p>
        </w:tc>
        <w:tc>
          <w:tcPr>
            <w:tcW w:w="225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745</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6.2</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3.6</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24.0</w:t>
            </w:r>
          </w:p>
        </w:tc>
      </w:tr>
      <w:tr w:rsidR="00C21A64" w:rsidRPr="006A356C" w:rsidTr="002B4915">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31-12-92</w:t>
            </w:r>
          </w:p>
        </w:tc>
        <w:tc>
          <w:tcPr>
            <w:tcW w:w="225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467</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3.8</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1.7</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14.7</w:t>
            </w:r>
          </w:p>
        </w:tc>
      </w:tr>
      <w:tr w:rsidR="00C21A64" w:rsidRPr="006A356C" w:rsidTr="002B4915">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31-12-93</w:t>
            </w:r>
          </w:p>
        </w:tc>
        <w:tc>
          <w:tcPr>
            <w:tcW w:w="225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469</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4.0</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1.8</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14.5</w:t>
            </w:r>
          </w:p>
        </w:tc>
      </w:tr>
      <w:tr w:rsidR="00C21A64" w:rsidRPr="006A356C" w:rsidTr="002B4915">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31-12-94</w:t>
            </w:r>
          </w:p>
        </w:tc>
        <w:tc>
          <w:tcPr>
            <w:tcW w:w="225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612</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4.9</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2.2</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18.5</w:t>
            </w:r>
          </w:p>
        </w:tc>
      </w:tr>
      <w:tr w:rsidR="00C21A64" w:rsidRPr="006A356C" w:rsidTr="002B4915">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31-06-95</w:t>
            </w:r>
          </w:p>
        </w:tc>
        <w:tc>
          <w:tcPr>
            <w:tcW w:w="2250"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764*</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5.4*</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2.6*</w:t>
            </w:r>
          </w:p>
        </w:tc>
        <w:tc>
          <w:tcPr>
            <w:tcW w:w="1725" w:type="dxa"/>
            <w:tcBorders>
              <w:top w:val="outset" w:sz="6" w:space="0" w:color="auto"/>
              <w:left w:val="outset" w:sz="6" w:space="0" w:color="auto"/>
              <w:bottom w:val="outset" w:sz="6" w:space="0" w:color="auto"/>
              <w:right w:val="outset" w:sz="6" w:space="0" w:color="auto"/>
            </w:tcBorders>
            <w:hideMark/>
          </w:tcPr>
          <w:p w:rsidR="00C21A64" w:rsidRPr="006A356C" w:rsidRDefault="00C21A64" w:rsidP="002B4915">
            <w:pPr>
              <w:spacing w:after="0" w:line="360" w:lineRule="auto"/>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22.9*</w:t>
            </w:r>
          </w:p>
        </w:tc>
      </w:tr>
    </w:tbl>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FUENTE: Sección de Estadísticas, Dpto. Planificación, Poder Judicial (Informe 184-EST-95) y Registro Civil.-</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Como puede apreciarse, siguiéndose las recomendaciones de los instrumentos internacionales es posible reducir la población en espera de juicio.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VII.- A modo de conclusión: La Prisión Preventiva y la Opinión Pública.</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Uno de los aspectos que más preocupan a los operadores del sistema penal cuando enfrentan la tarea de reducir el número de presos sin condena, lo constituye sin lugar a dudas la “opinión pública”. Hay en la ciudadanía un sentimiento generalizado de inseguridad en relación con los hechos delictivos. La gente tiene una percepción de la criminalidad que no siempre concuerda con los verdaderos índices, en la mayoría de los casos propiciada o incrementada por los medios de comunicación colectiva, y por la misma policía que reclama todas las veces que una persona que ellos detuvieron es puesta en libertad provisional o excarcelada por los tribunales. Ese sentimiento de preocupación se acentúa respecto de los delitos comunes: delitos contra la vida, la integridad física y el patrimonio.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lastRenderedPageBreak/>
        <w:br/>
        <w:t>Ante tal situación una gran cantidad de los ciudadanos estiman que la solución al problema de la criminalidad se encuentra en el uso excesivo de medidas más represivas como el encarcelamiento -incluido el preventivo- y la pena de muerte. Algunos llegan más lejos al justificar la aparición de grupos paramilitares dedicados al exterminio de los que ellos estiman como “delincuentes”, y otros más moderados que aquellos abogan por el desconocimiento de los derechos del acusado, como el principio de culpabilidad, la presunción de inocencia, y el derecho de defensa.</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Estas posiciones deben ser contrastadas con la realidad, porque la experiencia y la historia </w:t>
      </w:r>
      <w:proofErr w:type="gramStart"/>
      <w:r w:rsidRPr="006A356C">
        <w:rPr>
          <w:rFonts w:ascii="Arial" w:eastAsia="Times New Roman" w:hAnsi="Arial" w:cs="Arial"/>
          <w:sz w:val="24"/>
          <w:szCs w:val="24"/>
          <w:lang w:eastAsia="es-CR"/>
        </w:rPr>
        <w:t>ha</w:t>
      </w:r>
      <w:proofErr w:type="gramEnd"/>
      <w:r w:rsidRPr="006A356C">
        <w:rPr>
          <w:rFonts w:ascii="Arial" w:eastAsia="Times New Roman" w:hAnsi="Arial" w:cs="Arial"/>
          <w:sz w:val="24"/>
          <w:szCs w:val="24"/>
          <w:lang w:eastAsia="es-CR"/>
        </w:rPr>
        <w:t xml:space="preserve"> demostrado todo lo contrario. No hay una equivalencia matemática entre mayor re-presión y menor delincuencia, sino todo lo contrario. Históricamente los sistemas penales más represivos (porque aplicaron como regla la prisión preventiva, aumentaron los límites máximos de la pena de prisión y desconocieron los derechos de los acusados) no se han traducido en los mejores instrumentos para tutelar los derechos de los ciudadanos, sino que, por el contrario, permitieron y encubrieron las mayores atrocidades, como resultaron ser algunos sistemas penales latinoamericanos en épocas de dictaduras militares.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La verdad es que no debe confundirse sistema penal represivo con sistema penal eficiente. Es más, la prisión preventiva tampoco se presenta como la solución al problema de la criminalidad. Bástenos tomar como ejemplo a los países que al momento de realizarse el estudio sobre “El preso sin condena en América Latina” mantenían los mayores índices de prisión preventiva en la región: Bolivia, que mantenía al 89.70% de los reclusos con prisión preventiva; Paraguay con 94.25% y El Salvador con 82.57% de presos sin condena en relación con el total de la población reclusa.10 La verdad es que en estos países no llegó a resolverse el problema de la criminalidad por el hecho de mantener una elevada tasa de sujetos privados de libertad en </w:t>
      </w:r>
      <w:r w:rsidRPr="006A356C">
        <w:rPr>
          <w:rFonts w:ascii="Arial" w:eastAsia="Times New Roman" w:hAnsi="Arial" w:cs="Arial"/>
          <w:sz w:val="24"/>
          <w:szCs w:val="24"/>
          <w:lang w:eastAsia="es-CR"/>
        </w:rPr>
        <w:lastRenderedPageBreak/>
        <w:t>espera de juicio. Los índices de delincuencia no se vieron disminuidos por el sólo hecho de aplicar indiscriminadamente la prisión preventiva.</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Tampoco el aumento de policías y cuerpos de seguridad ha sido una solución posible. Con muy buen criterio se afirma que “...en los países que transitan por esa vía errada no se ha reducido la criminalidad, y se ha generado en cambio un fenómeno circular: los delincuentes sancionados por el sistema penal pertenecen en forma desproporcionada a los grupos más pobres de la población, y la numerosa policía que los persigue, con salarios miserables, pertenece también al mismo estrato. Y ambos grupos interactúan multiplicando una violencia espantosa que, obviamente, no puede detenerse sino multiplicarse cada vez más de esa manera”.11</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En realidad la prisión preventiva no es un factor que incida en los niveles de delincuencia, y por lo general son mayores los problemas que ocasiona que los “beneficios” para la comunidad, como los elevados costos, las dificultades de tratamiento, el aprendizaje de técnicas y conductas delictivas entre los reclusos, las consecuencias sobre el interno y su familia, etc.- Tampoco el aumento indiscriminado de las penas de prisión ha contribuido a disminuir la actividad delictiva. Las reformas a las leyes en materia de drogas en América Latina constituyen un ejemplo claro, entre muchos otros, de que la conducta delictiva no disminuye en proporción al aumento de las penas.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Es indispensable educar a la ciudadanía y orientar también a los comunicadores sociales sobre las desastrosas consecuencias de una política represiva que incluya la prisión preventiva como “solución” al problema de la criminalidad. La criminalidad es un problema endémico y a lo más que se puede aspirar es a disminuirlo o atenuarlo. Desde ese punto de vista es indispensable racionalizar el uso del sistema penal y hacer ver a la opinión pública que muchos de los delitos que no ocasionan alarma </w:t>
      </w:r>
      <w:r w:rsidRPr="006A356C">
        <w:rPr>
          <w:rFonts w:ascii="Arial" w:eastAsia="Times New Roman" w:hAnsi="Arial" w:cs="Arial"/>
          <w:sz w:val="24"/>
          <w:szCs w:val="24"/>
          <w:lang w:eastAsia="es-CR"/>
        </w:rPr>
        <w:lastRenderedPageBreak/>
        <w:t>social son los que mayores consecuencias lesivas le ocasionan a la mayoría, como ocurre con los delitos no convencionales (delitos ecológicos, el abuso de poder público y el abuso del poder económico, es decir los delitos de corrupción pública y de corrupción financiera, entre otros).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El sistema penal es un instrumento muy costoso para estarlo utilizando en todo hecho en apariencia delictivo. Ningún sistema está capacitado para tramitar y canalizar la totalidad de los casos que le son sometidos, incluso ni en los países desarrollados. En consecuencia debemos racionalizar la reacción penal aplicarla frente a los hechos más graves y más violentos. Paralelamente deben crearse y fortalecerse medios alternativos de solución de conflictos y de conciliación, se debe profesionalizar más a la policía y debe transformarse el proceso penal en un instrumento eficiente para descubrir la verdad y resolver o minimizar el conflicto penal. En todo ello la prisión preventiva aparece como una excepción, para los casos en que la persona sometida a proceso tratará de eludir la acción de la justicia o bien obstaculizará la investigación, siempre que se trate de un delito de cierta gravedad y haya bases razonables para estimar que la persona pudo haberlo cometido.</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1.- Ver artículo 2 de la Convención Americana sobre Derechos Humanos.</w:t>
      </w:r>
      <w:r w:rsidRPr="006A356C">
        <w:rPr>
          <w:rFonts w:ascii="Arial" w:eastAsia="Times New Roman" w:hAnsi="Arial" w:cs="Arial"/>
          <w:sz w:val="24"/>
          <w:szCs w:val="24"/>
          <w:lang w:eastAsia="es-CR"/>
        </w:rPr>
        <w:br/>
      </w:r>
      <w:proofErr w:type="gramStart"/>
      <w:r w:rsidRPr="006A356C">
        <w:rPr>
          <w:rFonts w:ascii="Arial" w:eastAsia="Times New Roman" w:hAnsi="Arial" w:cs="Arial"/>
          <w:sz w:val="24"/>
          <w:szCs w:val="24"/>
          <w:lang w:eastAsia="es-CR"/>
        </w:rPr>
        <w:t>2)En</w:t>
      </w:r>
      <w:proofErr w:type="gramEnd"/>
      <w:r w:rsidRPr="006A356C">
        <w:rPr>
          <w:rFonts w:ascii="Arial" w:eastAsia="Times New Roman" w:hAnsi="Arial" w:cs="Arial"/>
          <w:sz w:val="24"/>
          <w:szCs w:val="24"/>
          <w:lang w:eastAsia="es-CR"/>
        </w:rPr>
        <w:t xml:space="preserve"> su artículo 196, el Código Procesal Penal Modelo, dispone:</w:t>
      </w:r>
      <w:r w:rsidRPr="006A356C">
        <w:rPr>
          <w:rFonts w:ascii="Arial" w:eastAsia="Times New Roman" w:hAnsi="Arial" w:cs="Arial"/>
          <w:sz w:val="24"/>
          <w:szCs w:val="24"/>
          <w:lang w:eastAsia="es-CR"/>
        </w:rPr>
        <w:br/>
        <w:t>196.- Finalidad y alcance.- La libertad personal y los demás derechos y garantías reconocidas a toda persona por la ley fundamental y por los tratados celebrados por el Estado, sólo podrán ser restringidos cuando fuesen absolutamente indispensables para asegurar la averiguación de la verdad, el desarrollo del procedimiento y la aplicación de la ley.</w:t>
      </w:r>
      <w:r w:rsidRPr="006A356C">
        <w:rPr>
          <w:rFonts w:ascii="Arial" w:eastAsia="Times New Roman" w:hAnsi="Arial" w:cs="Arial"/>
          <w:sz w:val="24"/>
          <w:szCs w:val="24"/>
          <w:lang w:eastAsia="es-CR"/>
        </w:rPr>
        <w:br/>
        <w:t>Rige el artículo 3 para al aplicación e interpretación de las reglas que autorizan medidas restrictivas de esos derechos. Esas medidas serán autorizadas por resolución judicial fundada, según lo reglamenta este Código, y sólo durarán mientras subsista la necesidad de su aplicación.</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lastRenderedPageBreak/>
        <w:t>3.- El artículo 294 del Código Procesal Penal de Costa Rica, según la citada reforma, dice así:</w:t>
      </w:r>
    </w:p>
    <w:p w:rsidR="00C21A64" w:rsidRDefault="00C21A64" w:rsidP="00C21A64">
      <w:pPr>
        <w:spacing w:after="0" w:line="360" w:lineRule="auto"/>
        <w:ind w:left="720"/>
        <w:jc w:val="both"/>
        <w:rPr>
          <w:rFonts w:ascii="Arial" w:eastAsia="Times New Roman" w:hAnsi="Arial" w:cs="Arial"/>
          <w:sz w:val="24"/>
          <w:szCs w:val="24"/>
          <w:lang w:eastAsia="es-CR"/>
        </w:rPr>
      </w:pPr>
      <w:proofErr w:type="gramStart"/>
      <w:r w:rsidRPr="006A356C">
        <w:rPr>
          <w:rFonts w:ascii="Arial" w:eastAsia="Times New Roman" w:hAnsi="Arial" w:cs="Arial"/>
          <w:sz w:val="24"/>
          <w:szCs w:val="24"/>
          <w:lang w:eastAsia="es-CR"/>
        </w:rPr>
        <w:t>Articulo</w:t>
      </w:r>
      <w:proofErr w:type="gramEnd"/>
      <w:r w:rsidRPr="006A356C">
        <w:rPr>
          <w:rFonts w:ascii="Arial" w:eastAsia="Times New Roman" w:hAnsi="Arial" w:cs="Arial"/>
          <w:sz w:val="24"/>
          <w:szCs w:val="24"/>
          <w:lang w:eastAsia="es-CR"/>
        </w:rPr>
        <w:t xml:space="preserve"> 294.- El juez dispondrá, por auto, la cesación del encarcelamiento y la inmediata libertad del imputado, si concurre alguna de las siguientes circunstancias:</w:t>
      </w:r>
      <w:r w:rsidRPr="006A356C">
        <w:rPr>
          <w:rFonts w:ascii="Arial" w:eastAsia="Times New Roman" w:hAnsi="Arial" w:cs="Arial"/>
          <w:sz w:val="24"/>
          <w:szCs w:val="24"/>
          <w:lang w:eastAsia="es-CR"/>
        </w:rPr>
        <w:br/>
        <w:t>1.- Cuando nuevos elementos de juicio demuestren que no subsisten motivos que la fundaron o tornen conveniente su sustitución por otra medida.</w:t>
      </w:r>
      <w:r w:rsidRPr="006A356C">
        <w:rPr>
          <w:rFonts w:ascii="Arial" w:eastAsia="Times New Roman" w:hAnsi="Arial" w:cs="Arial"/>
          <w:sz w:val="24"/>
          <w:szCs w:val="24"/>
          <w:lang w:eastAsia="es-CR"/>
        </w:rPr>
        <w:br/>
        <w:t>2.- Cuando su duración supere o equivalga a la condena que, “prima facie”, se estima podría imponerse, considerando incluso la posible concesión de beneficios sustitutivos de la prisión. (Continúa)</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3.- Cuando la duración exceda de quince meses; pero si se hubiera dictado sentencia condenatoria, podrá durar seis meses más. El Tribunal Superior de Casación Penal, a pedido del Tribunal que conoce de la causa o del Ministerio Público, podrá autorizar que el plazo de quince meses se prolongue hasta por un año más, fijando el tiempo concreto de la prórroga de la prisión. En este caso deberá indicar las medidas necesarias para acelerar el trámite del procedimiento. Vencido el plazo fijado en este inciso, no se podrá acordar una medida de coerción, salvo la citación y las establecidas en el artículo siguiente; pero, para asegurar la realización del debate o de un acto particular, para comprobar la sospecha de fuga o para impedir la obstaculación de la averiguación de la verdad, se podrá ordenar su nueva detención, por un plazo que no exceda el tiempo absolutamente necesario para cumplir la finalidad de la disposición.</w:t>
      </w:r>
    </w:p>
    <w:p w:rsidR="00C21A64" w:rsidRDefault="00C21A64" w:rsidP="00C21A64">
      <w:pPr>
        <w:spacing w:after="0" w:line="360" w:lineRule="auto"/>
        <w:ind w:left="720"/>
        <w:jc w:val="both"/>
        <w:rPr>
          <w:rFonts w:ascii="Arial" w:eastAsia="Times New Roman" w:hAnsi="Arial" w:cs="Arial"/>
          <w:sz w:val="24"/>
          <w:szCs w:val="24"/>
          <w:lang w:eastAsia="es-CR"/>
        </w:rPr>
      </w:pPr>
      <w:proofErr w:type="gramStart"/>
      <w:r w:rsidRPr="006A356C">
        <w:rPr>
          <w:rFonts w:ascii="Arial" w:eastAsia="Times New Roman" w:hAnsi="Arial" w:cs="Arial"/>
          <w:sz w:val="24"/>
          <w:szCs w:val="24"/>
          <w:lang w:eastAsia="es-CR"/>
        </w:rPr>
        <w:t>4)El</w:t>
      </w:r>
      <w:proofErr w:type="gramEnd"/>
      <w:r w:rsidRPr="006A356C">
        <w:rPr>
          <w:rFonts w:ascii="Arial" w:eastAsia="Times New Roman" w:hAnsi="Arial" w:cs="Arial"/>
          <w:sz w:val="24"/>
          <w:szCs w:val="24"/>
          <w:lang w:eastAsia="es-CR"/>
        </w:rPr>
        <w:t xml:space="preserve"> artículo 265 del Código Procesal Penal costarricense establece ese plazo en tres meses. Dice dicho artículo: </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“La libertad personal sólo podrá ser restringida, de cuerdo con las disposiciones de este Código, en los límites absolutamente indispensables para asegurar el descubrimiento de la verdad y la actuación de la ley.</w:t>
      </w:r>
      <w:r w:rsidRPr="006A356C">
        <w:rPr>
          <w:rFonts w:ascii="Arial" w:eastAsia="Times New Roman" w:hAnsi="Arial" w:cs="Arial"/>
          <w:sz w:val="24"/>
          <w:szCs w:val="24"/>
          <w:lang w:eastAsia="es-CR"/>
        </w:rPr>
        <w:br/>
        <w:t xml:space="preserve">El arresto o la detención se ejecutarán de modo que perjudiquen lo menos posible a la persona o reputación de los afectados. Al menos cada tres </w:t>
      </w:r>
      <w:r w:rsidRPr="006A356C">
        <w:rPr>
          <w:rFonts w:ascii="Arial" w:eastAsia="Times New Roman" w:hAnsi="Arial" w:cs="Arial"/>
          <w:sz w:val="24"/>
          <w:szCs w:val="24"/>
          <w:lang w:eastAsia="es-CR"/>
        </w:rPr>
        <w:lastRenderedPageBreak/>
        <w:t>meses, el tribunal examinará los presupuestos de la prisión o internación y, según el caso, ordenará la continuación, su sustitución por otra medida o la libertad plena del imputado. Este plazo se interrumpirá cada vez que la procedencia de la detención se examine a solicitud del imputado”.-</w:t>
      </w:r>
      <w:r w:rsidRPr="006A356C">
        <w:rPr>
          <w:rFonts w:ascii="Arial" w:eastAsia="Times New Roman" w:hAnsi="Arial" w:cs="Arial"/>
          <w:sz w:val="24"/>
          <w:szCs w:val="24"/>
          <w:lang w:eastAsia="es-CR"/>
        </w:rPr>
        <w:br/>
        <w:t>5.- El preso sin condena en América Latina y El Caribe. Elías Carranza, Luis Paulino Mora, Mario Houed y Eugenio Raúl Zaffaroni. ILANUD. San José, Costa Rica, 1988.</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6.- Véase la dosimetría penal en GONZALEZ ALVAREZ, Daniel y GARITA VILCHEZ, Ana Isabel. La multa en los códigos penales latinoamericanos, Buenos Aires, Depalma, 1990, pp. 99 ss.</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7.- Ibid, p. 22.-</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8.- La Comisión de Asuntos Penales está conformada por cuatro Magistrados de la Corte Suprema de Justicia, un Juez Superior, el Jefe del Ministerio Público y el Jefe de la Defensa y tiene como función asesorar a la Corte Plena en asuntos de materia penal.</w:t>
      </w:r>
    </w:p>
    <w:p w:rsidR="00C21A64"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9.-Es la encargada de la disciplina dentro del Poder Judicial.</w:t>
      </w:r>
      <w:r w:rsidRPr="006A356C">
        <w:rPr>
          <w:rFonts w:ascii="Arial" w:eastAsia="Times New Roman" w:hAnsi="Arial" w:cs="Arial"/>
          <w:sz w:val="24"/>
          <w:szCs w:val="24"/>
          <w:lang w:eastAsia="es-CR"/>
        </w:rPr>
        <w:br/>
        <w:t>10.- Ibídem, p. 22.-</w:t>
      </w:r>
    </w:p>
    <w:p w:rsidR="00C21A64" w:rsidRPr="006A356C" w:rsidRDefault="00C21A64" w:rsidP="00C21A64">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11.- CARRANZA, Elías. Criminalidad ¿Prevención o promoción</w:t>
      </w:r>
      <w:proofErr w:type="gramStart"/>
      <w:r w:rsidRPr="006A356C">
        <w:rPr>
          <w:rFonts w:ascii="Arial" w:eastAsia="Times New Roman" w:hAnsi="Arial" w:cs="Arial"/>
          <w:sz w:val="24"/>
          <w:szCs w:val="24"/>
          <w:lang w:eastAsia="es-CR"/>
        </w:rPr>
        <w:t>?.</w:t>
      </w:r>
      <w:proofErr w:type="gramEnd"/>
      <w:r w:rsidRPr="006A356C">
        <w:rPr>
          <w:rFonts w:ascii="Arial" w:eastAsia="Times New Roman" w:hAnsi="Arial" w:cs="Arial"/>
          <w:sz w:val="24"/>
          <w:szCs w:val="24"/>
          <w:lang w:eastAsia="es-CR"/>
        </w:rPr>
        <w:t xml:space="preserve"> EUNED, San José, 1994, p. 74.</w:t>
      </w:r>
    </w:p>
    <w:p w:rsidR="0055512A" w:rsidRDefault="0055512A"/>
    <w:p w:rsidR="00C21A64" w:rsidRDefault="00C21A64"/>
    <w:p w:rsidR="00C21A64" w:rsidRDefault="00C21A64"/>
    <w:p w:rsidR="00C21A64" w:rsidRDefault="00C21A64"/>
    <w:p w:rsidR="00C21A64" w:rsidRDefault="00C21A64"/>
    <w:p w:rsidR="00C21A64" w:rsidRPr="00435F71" w:rsidRDefault="00C21A64" w:rsidP="00C21A64">
      <w:pPr>
        <w:spacing w:line="360" w:lineRule="auto"/>
        <w:jc w:val="both"/>
        <w:rPr>
          <w:rFonts w:ascii="Arial" w:hAnsi="Arial" w:cs="Arial"/>
          <w:b/>
          <w:bCs/>
          <w:color w:val="FF0000"/>
          <w:sz w:val="36"/>
          <w:szCs w:val="36"/>
        </w:rPr>
      </w:pPr>
      <w:r w:rsidRPr="00435F71">
        <w:rPr>
          <w:rFonts w:ascii="Arial" w:hAnsi="Arial" w:cs="Arial"/>
          <w:b/>
          <w:bCs/>
          <w:color w:val="FF0000"/>
          <w:sz w:val="36"/>
          <w:szCs w:val="36"/>
        </w:rPr>
        <w:t>COMENTARIOS SOBRE LAS INTERVENCIONES TELEFONICAS EN EL SALVADOR</w:t>
      </w:r>
    </w:p>
    <w:p w:rsidR="00C21A64" w:rsidRDefault="00C21A64" w:rsidP="00C21A64">
      <w:pPr>
        <w:spacing w:line="360" w:lineRule="auto"/>
        <w:jc w:val="both"/>
        <w:rPr>
          <w:rFonts w:ascii="Arial" w:hAnsi="Arial" w:cs="Arial"/>
          <w:b/>
          <w:bCs/>
          <w:sz w:val="24"/>
          <w:szCs w:val="24"/>
        </w:rPr>
      </w:pPr>
    </w:p>
    <w:p w:rsidR="00C21A64" w:rsidRDefault="00C21A64" w:rsidP="00C21A64">
      <w:pPr>
        <w:spacing w:line="360" w:lineRule="auto"/>
        <w:jc w:val="both"/>
        <w:rPr>
          <w:rFonts w:ascii="Arial" w:hAnsi="Arial" w:cs="Arial"/>
          <w:b/>
          <w:bCs/>
          <w:sz w:val="24"/>
          <w:szCs w:val="24"/>
        </w:rPr>
      </w:pPr>
      <w:r>
        <w:rPr>
          <w:rFonts w:ascii="Arial" w:hAnsi="Arial" w:cs="Arial"/>
          <w:b/>
          <w:bCs/>
          <w:sz w:val="24"/>
          <w:szCs w:val="24"/>
        </w:rPr>
        <w:t>Autor: Benavides Salamanca,  Leo Bladimir</w:t>
      </w:r>
    </w:p>
    <w:p w:rsidR="00C21A64" w:rsidRDefault="00C21A64" w:rsidP="00C21A64">
      <w:pPr>
        <w:spacing w:line="360" w:lineRule="auto"/>
        <w:jc w:val="both"/>
        <w:rPr>
          <w:rFonts w:ascii="Arial" w:hAnsi="Arial" w:cs="Arial"/>
          <w:b/>
          <w:bCs/>
          <w:sz w:val="24"/>
          <w:szCs w:val="24"/>
        </w:rPr>
      </w:pPr>
    </w:p>
    <w:p w:rsidR="00C21A64" w:rsidRDefault="00C21A64" w:rsidP="00C21A64">
      <w:pPr>
        <w:spacing w:line="360" w:lineRule="auto"/>
        <w:jc w:val="both"/>
        <w:rPr>
          <w:rFonts w:ascii="Arial" w:hAnsi="Arial" w:cs="Arial"/>
          <w:b/>
          <w:bCs/>
          <w:sz w:val="24"/>
          <w:szCs w:val="24"/>
        </w:rPr>
      </w:pPr>
      <w:r>
        <w:rPr>
          <w:rFonts w:ascii="Arial" w:hAnsi="Arial" w:cs="Arial"/>
          <w:b/>
          <w:bCs/>
          <w:sz w:val="24"/>
          <w:szCs w:val="24"/>
        </w:rPr>
        <w:t>Categoría:   Penal</w:t>
      </w:r>
    </w:p>
    <w:p w:rsidR="00C21A64" w:rsidRDefault="00C21A64" w:rsidP="00C21A64">
      <w:pPr>
        <w:spacing w:line="360" w:lineRule="auto"/>
        <w:jc w:val="both"/>
        <w:rPr>
          <w:rFonts w:ascii="Arial" w:hAnsi="Arial" w:cs="Arial"/>
          <w:b/>
          <w:bCs/>
          <w:sz w:val="24"/>
          <w:szCs w:val="24"/>
        </w:rPr>
      </w:pPr>
    </w:p>
    <w:p w:rsidR="00C21A64" w:rsidRPr="006A356C" w:rsidRDefault="00C21A64" w:rsidP="00C21A64">
      <w:pPr>
        <w:spacing w:line="360" w:lineRule="auto"/>
        <w:jc w:val="both"/>
        <w:rPr>
          <w:rFonts w:ascii="Arial" w:hAnsi="Arial" w:cs="Arial"/>
          <w:sz w:val="24"/>
          <w:szCs w:val="24"/>
        </w:rPr>
      </w:pPr>
      <w:r w:rsidRPr="006A356C">
        <w:rPr>
          <w:rFonts w:ascii="Arial" w:hAnsi="Arial" w:cs="Arial"/>
          <w:b/>
          <w:bCs/>
          <w:sz w:val="24"/>
          <w:szCs w:val="24"/>
        </w:rPr>
        <w:t>Contenido</w:t>
      </w:r>
      <w:r w:rsidRPr="006A356C">
        <w:rPr>
          <w:rFonts w:ascii="Arial" w:hAnsi="Arial" w:cs="Arial"/>
          <w:sz w:val="24"/>
          <w:szCs w:val="24"/>
        </w:rPr>
        <w:t xml:space="preserve"> </w:t>
      </w:r>
    </w:p>
    <w:p w:rsidR="00C21A64" w:rsidRPr="006A356C" w:rsidRDefault="00C21A64" w:rsidP="00C21A64">
      <w:pPr>
        <w:spacing w:line="360" w:lineRule="auto"/>
        <w:jc w:val="both"/>
        <w:rPr>
          <w:rFonts w:ascii="Arial" w:hAnsi="Arial" w:cs="Arial"/>
          <w:sz w:val="24"/>
          <w:szCs w:val="24"/>
        </w:rPr>
      </w:pPr>
      <w:r w:rsidRPr="006A356C">
        <w:rPr>
          <w:rFonts w:ascii="Arial" w:hAnsi="Arial" w:cs="Arial"/>
          <w:sz w:val="24"/>
          <w:szCs w:val="24"/>
        </w:rPr>
        <w:br/>
      </w:r>
      <w:r w:rsidRPr="006A356C">
        <w:rPr>
          <w:rFonts w:ascii="Arial" w:hAnsi="Arial" w:cs="Arial"/>
          <w:b/>
          <w:bCs/>
          <w:sz w:val="24"/>
          <w:szCs w:val="24"/>
        </w:rPr>
        <w:t>COMENTARIOS sobre las intervenciones telefónicas en el salvador</w:t>
      </w:r>
      <w:r w:rsidRPr="006A356C">
        <w:rPr>
          <w:rFonts w:ascii="Arial" w:hAnsi="Arial" w:cs="Arial"/>
          <w:sz w:val="24"/>
          <w:szCs w:val="24"/>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Por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t>Leo Bladimir Benavides Salamanca</w:t>
      </w:r>
      <w:hyperlink r:id="rId5" w:anchor="_ftn1" w:history="1">
        <w:r w:rsidRPr="006A356C">
          <w:rPr>
            <w:rStyle w:val="Hipervnculo"/>
            <w:rFonts w:ascii="Arial" w:hAnsi="Arial" w:cs="Arial"/>
            <w:color w:val="auto"/>
            <w:vertAlign w:val="superscript"/>
          </w:rPr>
          <w:t>[1]</w:t>
        </w:r>
      </w:hyperlink>
    </w:p>
    <w:p w:rsidR="00C21A64" w:rsidRPr="006A356C" w:rsidRDefault="00C21A64" w:rsidP="00C21A64">
      <w:pPr>
        <w:spacing w:line="360" w:lineRule="auto"/>
        <w:jc w:val="both"/>
        <w:rPr>
          <w:rFonts w:ascii="Arial" w:hAnsi="Arial" w:cs="Arial"/>
          <w:sz w:val="24"/>
          <w:szCs w:val="24"/>
        </w:rPr>
      </w:pPr>
      <w:r w:rsidRPr="006A356C">
        <w:rPr>
          <w:rFonts w:ascii="Arial" w:hAnsi="Arial" w:cs="Arial"/>
          <w:sz w:val="24"/>
          <w:szCs w:val="24"/>
        </w:rPr>
        <w:b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SUMARIO: 1. LAS INTERVENCIONES TELEFÓNICAS EN LA CONSTITUCIÓN: 1.1 Aclaraciones terminológicas: Correspondencia, Comunicaciones y/o Telecomunicaciones: 1.1.1 Definición de Correspondencia; 1.1.2 Definición de Comunicación y/o Telecomunicación.- 2. DERECHOS FUNDAMENTALES AFECTADOS POR LAS INTERVENCIONES TELEFÓNICAS: 2.1. Derecho al Secreto de las Comunicaciones; 2.2. Derecho a la Intimidad.- 3. LAS INTERVENCIONES TELEFÓNICAS: 3.1 Definición; 3.2 Naturaleza Jurídica.- 4. REQUISITOS EXIGIDOS PARA CONSIDERAR VÁLIDA UNA INTERVENCIÓN TELEFÓNICA.- 5. EFECTOS DEL INCUMPLIMIENTO DE LOS REQUISITOS DE VALIDEZ DE LAS INTERVENCIONES TELEFÓNICAS.- 6. CONCLUSIONES.- 7. BIBLIOGRAFÍA.-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t>1. LAS INTERVENCIONES TELEFÓNICAS EN LA CONSTITUCIÓN</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Por «Constitución», como ha dicho Francisco Rubio Llorente, entendemos «un modo de ordenación de la vida social en el que la titularidad de la soberanía corresponde a las generaciones vivas y en el que, por consiguiente, las relaciones entre gobernantes y gobernados están reguladas de tal modo que éstos disponen de unos ámbitos reales de libertad que les permiten el control efectivo de los titulares ocasionales del poder. No hay otra Constitución que la Constitución democrática. Todo lo demás es, utilizando una frase que Jellinek aplica, con alguna inconsecuencia, a las ‘‘Constituciones Napoleónicas, simple despotismo de apariencia constitucional’’»</w:t>
      </w:r>
      <w:hyperlink r:id="rId6" w:anchor="_ftn2" w:history="1">
        <w:r w:rsidRPr="006A356C">
          <w:rPr>
            <w:rStyle w:val="Hipervnculo"/>
            <w:rFonts w:ascii="Arial" w:hAnsi="Arial" w:cs="Arial"/>
            <w:color w:val="auto"/>
            <w:vertAlign w:val="superscript"/>
          </w:rPr>
          <w:t>[2]</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No obstante, el término «Constitución»</w:t>
      </w:r>
      <w:hyperlink r:id="rId7" w:anchor="_ftn3" w:history="1">
        <w:r w:rsidRPr="006A356C">
          <w:rPr>
            <w:rStyle w:val="Hipervnculo"/>
            <w:rFonts w:ascii="Arial" w:hAnsi="Arial" w:cs="Arial"/>
            <w:color w:val="auto"/>
            <w:vertAlign w:val="superscript"/>
          </w:rPr>
          <w:t>[3]</w:t>
        </w:r>
      </w:hyperlink>
      <w:r w:rsidRPr="006A356C">
        <w:rPr>
          <w:rFonts w:ascii="Arial" w:hAnsi="Arial" w:cs="Arial"/>
          <w:color w:val="auto"/>
        </w:rPr>
        <w:t xml:space="preserve"> posee múltiples significados, pero de la definición dada por Francisco Rubio Llorente podemos extraer las principales características o elementos del cuerpo normativo Constitucional, como lo son: a) La Constitución configura y ordena los poderes que han sido constituidos por ella, lo cual implica que todo el sistema se encuentra determinado por la Constitución, convirtiéndose en </w:t>
      </w:r>
      <w:r w:rsidRPr="006A356C">
        <w:rPr>
          <w:rFonts w:ascii="Arial" w:hAnsi="Arial" w:cs="Arial"/>
          <w:i/>
          <w:iCs/>
          <w:color w:val="auto"/>
        </w:rPr>
        <w:t>norma normarum</w:t>
      </w:r>
      <w:r w:rsidRPr="006A356C">
        <w:rPr>
          <w:rFonts w:ascii="Arial" w:hAnsi="Arial" w:cs="Arial"/>
          <w:color w:val="auto"/>
        </w:rPr>
        <w:t>, fuente de las fuentes</w:t>
      </w:r>
      <w:hyperlink r:id="rId8" w:anchor="_ftn4" w:history="1">
        <w:r w:rsidRPr="006A356C">
          <w:rPr>
            <w:rStyle w:val="Hipervnculo"/>
            <w:rFonts w:ascii="Arial" w:hAnsi="Arial" w:cs="Arial"/>
            <w:color w:val="auto"/>
            <w:vertAlign w:val="superscript"/>
          </w:rPr>
          <w:t>[4]</w:t>
        </w:r>
      </w:hyperlink>
      <w:r w:rsidRPr="006A356C">
        <w:rPr>
          <w:rFonts w:ascii="Arial" w:hAnsi="Arial" w:cs="Arial"/>
          <w:color w:val="auto"/>
        </w:rPr>
        <w:t>; b) Establece los límites del ejercicio del poder y el ámbito de libertades y derechos fundamentales, de lo cual también se derivan las prestaciones o funciones que el poder/Estado debe de cumplir en beneficio de la sociedad</w:t>
      </w:r>
      <w:hyperlink r:id="rId9" w:anchor="_ftn5" w:history="1">
        <w:r w:rsidRPr="006A356C">
          <w:rPr>
            <w:rStyle w:val="Hipervnculo"/>
            <w:rFonts w:ascii="Arial" w:hAnsi="Arial" w:cs="Arial"/>
            <w:color w:val="auto"/>
            <w:vertAlign w:val="superscript"/>
          </w:rPr>
          <w:t>[5]</w:t>
        </w:r>
      </w:hyperlink>
      <w:r w:rsidRPr="006A356C">
        <w:rPr>
          <w:rFonts w:ascii="Arial" w:hAnsi="Arial" w:cs="Arial"/>
          <w:color w:val="auto"/>
        </w:rPr>
        <w:t>; c) Es producto que emana del pueblo como titular de la soberanía</w:t>
      </w:r>
      <w:hyperlink r:id="rId10" w:anchor="_ftn6" w:history="1">
        <w:r w:rsidRPr="006A356C">
          <w:rPr>
            <w:rStyle w:val="Hipervnculo"/>
            <w:rFonts w:ascii="Arial" w:hAnsi="Arial" w:cs="Arial"/>
            <w:color w:val="auto"/>
            <w:vertAlign w:val="superscript"/>
          </w:rPr>
          <w:t>[6]</w:t>
        </w:r>
      </w:hyperlink>
      <w:r w:rsidRPr="006A356C">
        <w:rPr>
          <w:rFonts w:ascii="Arial" w:hAnsi="Arial" w:cs="Arial"/>
          <w:color w:val="auto"/>
        </w:rPr>
        <w:t>; d) Las normas constitucionales son plenamente aplicables y son vinculantes tanto para los gobernantes como para los gobernados; y, e) A pesar de no encontrarse claramente explicito, lógico resulta que la Constitución no puede ser violada por los poderes públicos, ni puede ser derogada, modificada o abrogada, ya que al ser la expresión de una intención fundacional, configuradora de un sistema entero que en ella se basa, tiene una pretensión de permanencia o duración</w:t>
      </w:r>
      <w:hyperlink r:id="rId11" w:anchor="_ftn7" w:history="1">
        <w:r w:rsidRPr="006A356C">
          <w:rPr>
            <w:rStyle w:val="Hipervnculo"/>
            <w:rFonts w:ascii="Arial" w:hAnsi="Arial" w:cs="Arial"/>
            <w:color w:val="auto"/>
            <w:vertAlign w:val="superscript"/>
          </w:rPr>
          <w:t>[7]</w:t>
        </w:r>
      </w:hyperlink>
      <w:r w:rsidRPr="006A356C">
        <w:rPr>
          <w:rFonts w:ascii="Arial" w:hAnsi="Arial" w:cs="Arial"/>
          <w:color w:val="auto"/>
        </w:rPr>
        <w:t xml:space="preserve">. En apretado epítome, estos elementos o características permiten argüir que la Constitución, material y formal, se concibe como norma jurídica suprema del ordenamiento jurídico.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Por todo ello, la Sala de lo Constitucional ha manifestado que «la Constitución es efectivamente un conjunto de normas jurídicas, con características propias y peculiares, pero imbuidas de la naturaleza de toda norma jurídica; y además, con </w:t>
      </w:r>
      <w:r w:rsidRPr="006A356C">
        <w:rPr>
          <w:rFonts w:ascii="Arial" w:hAnsi="Arial" w:cs="Arial"/>
          <w:color w:val="auto"/>
        </w:rPr>
        <w:lastRenderedPageBreak/>
        <w:t>una connotación jerárquica que las distingue del resto del ordenamiento: son las normas supremas del ordenamiento jurídico»</w:t>
      </w:r>
      <w:hyperlink r:id="rId12" w:anchor="_ftn8" w:history="1">
        <w:r w:rsidRPr="006A356C">
          <w:rPr>
            <w:rStyle w:val="Hipervnculo"/>
            <w:rFonts w:ascii="Arial" w:hAnsi="Arial" w:cs="Arial"/>
            <w:color w:val="auto"/>
            <w:vertAlign w:val="superscript"/>
          </w:rPr>
          <w:t>[8]</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Asimismo, la Sala de lo Constitucional ha manifestado que «la Constitución no es la mera codificación de la estructura política superior del Estado Salvadoreño; sino que, si bien define esa estructura, lo hace a partir de un determinado supuesto y con un determinado contenido. Ese supuesto radica en la soberanía popular o poder constituyente del pueblo –Art. 83 Cn. –, y su contenido está integrado esencial y básicamente por el reconocimiento de la persona humana como el origen y fin de la actividad del Estado –Art. 1 Cn. –, lo que conlleva la búsqueda por la efectiva y real vigencia de los derechos fundamentales de la persona»</w:t>
      </w:r>
      <w:hyperlink r:id="rId13" w:anchor="_ftn9" w:history="1">
        <w:r w:rsidRPr="006A356C">
          <w:rPr>
            <w:rStyle w:val="Hipervnculo"/>
            <w:rFonts w:ascii="Arial" w:hAnsi="Arial" w:cs="Arial"/>
            <w:color w:val="auto"/>
            <w:vertAlign w:val="superscript"/>
          </w:rPr>
          <w:t>[9]</w:t>
        </w:r>
      </w:hyperlink>
      <w:r w:rsidRPr="006A356C">
        <w:rPr>
          <w:rFonts w:ascii="Arial" w:hAnsi="Arial" w:cs="Arial"/>
          <w:color w:val="auto"/>
        </w:rPr>
        <w:t xml:space="preserve">. Esto implica que los </w:t>
      </w:r>
      <w:r w:rsidRPr="006A356C">
        <w:rPr>
          <w:rFonts w:ascii="Arial" w:hAnsi="Arial" w:cs="Arial"/>
          <w:i/>
          <w:iCs/>
          <w:color w:val="auto"/>
        </w:rPr>
        <w:t>derechos</w:t>
      </w:r>
      <w:r w:rsidRPr="006A356C">
        <w:rPr>
          <w:rFonts w:ascii="Arial" w:hAnsi="Arial" w:cs="Arial"/>
          <w:color w:val="auto"/>
        </w:rPr>
        <w:t xml:space="preserve"> </w:t>
      </w:r>
      <w:r w:rsidRPr="006A356C">
        <w:rPr>
          <w:rFonts w:ascii="Arial" w:hAnsi="Arial" w:cs="Arial"/>
          <w:i/>
          <w:iCs/>
          <w:color w:val="auto"/>
        </w:rPr>
        <w:t>fundamentales</w:t>
      </w:r>
      <w:hyperlink r:id="rId14" w:anchor="_ftn10" w:history="1">
        <w:r w:rsidRPr="006A356C">
          <w:rPr>
            <w:rStyle w:val="Hipervnculo"/>
            <w:rFonts w:ascii="Arial" w:hAnsi="Arial" w:cs="Arial"/>
            <w:i/>
            <w:iCs/>
            <w:color w:val="auto"/>
            <w:vertAlign w:val="superscript"/>
          </w:rPr>
          <w:t>[10]</w:t>
        </w:r>
      </w:hyperlink>
      <w:r w:rsidRPr="006A356C">
        <w:rPr>
          <w:rFonts w:ascii="Arial" w:hAnsi="Arial" w:cs="Arial"/>
          <w:color w:val="auto"/>
        </w:rPr>
        <w:t xml:space="preserve"> forman parte del núcleo esencial de la Constitución, y los cuales, siguiendo a Robert Alexy, deben entenderse como</w:t>
      </w:r>
      <w:r w:rsidRPr="006A356C">
        <w:rPr>
          <w:rFonts w:ascii="Arial" w:hAnsi="Arial" w:cs="Arial"/>
          <w:i/>
          <w:iCs/>
          <w:color w:val="auto"/>
        </w:rPr>
        <w:t xml:space="preserve"> un conjunto de normas y posiciones adscritas a una disposición de derecho fundamental</w:t>
      </w:r>
      <w:hyperlink r:id="rId15" w:anchor="_ftn11" w:history="1">
        <w:r w:rsidRPr="006A356C">
          <w:rPr>
            <w:rStyle w:val="Hipervnculo"/>
            <w:rFonts w:ascii="Arial" w:hAnsi="Arial" w:cs="Arial"/>
            <w:color w:val="auto"/>
            <w:vertAlign w:val="superscript"/>
          </w:rPr>
          <w:t>[11]</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Las </w:t>
      </w:r>
      <w:r w:rsidRPr="006A356C">
        <w:rPr>
          <w:rFonts w:ascii="Arial" w:hAnsi="Arial" w:cs="Arial"/>
          <w:i/>
          <w:iCs/>
          <w:color w:val="auto"/>
        </w:rPr>
        <w:t>disposiciones de derecho fundamental</w:t>
      </w:r>
      <w:r w:rsidRPr="006A356C">
        <w:rPr>
          <w:rFonts w:ascii="Arial" w:hAnsi="Arial" w:cs="Arial"/>
          <w:color w:val="auto"/>
        </w:rPr>
        <w:t xml:space="preserve"> son las proposiciones de la Constitución que establecen los derechos fundamentales</w:t>
      </w:r>
      <w:hyperlink r:id="rId16" w:anchor="_ftn12" w:history="1">
        <w:r w:rsidRPr="006A356C">
          <w:rPr>
            <w:rStyle w:val="Hipervnculo"/>
            <w:rFonts w:ascii="Arial" w:hAnsi="Arial" w:cs="Arial"/>
            <w:color w:val="auto"/>
            <w:vertAlign w:val="superscript"/>
          </w:rPr>
          <w:t>[12]</w:t>
        </w:r>
      </w:hyperlink>
      <w:r w:rsidRPr="006A356C">
        <w:rPr>
          <w:rFonts w:ascii="Arial" w:hAnsi="Arial" w:cs="Arial"/>
          <w:color w:val="auto"/>
        </w:rPr>
        <w:t xml:space="preserve">. Las </w:t>
      </w:r>
      <w:r w:rsidRPr="006A356C">
        <w:rPr>
          <w:rFonts w:ascii="Arial" w:hAnsi="Arial" w:cs="Arial"/>
          <w:i/>
          <w:iCs/>
          <w:color w:val="auto"/>
        </w:rPr>
        <w:t>normas</w:t>
      </w:r>
      <w:r w:rsidRPr="006A356C">
        <w:rPr>
          <w:rFonts w:ascii="Arial" w:hAnsi="Arial" w:cs="Arial"/>
          <w:color w:val="auto"/>
        </w:rPr>
        <w:t xml:space="preserve"> son proposiciones prescriptivas adscritas por vía interpretativa a estas disposiciones y que prescriben lo que está prohibido, permitido y ordenado por los derechos fundamentales, así como las competencias que estos derechos confieren</w:t>
      </w:r>
      <w:hyperlink r:id="rId17" w:anchor="_ftn13" w:history="1">
        <w:r w:rsidRPr="006A356C">
          <w:rPr>
            <w:rStyle w:val="Hipervnculo"/>
            <w:rFonts w:ascii="Arial" w:hAnsi="Arial" w:cs="Arial"/>
            <w:color w:val="auto"/>
            <w:vertAlign w:val="superscript"/>
          </w:rPr>
          <w:t>[13]</w:t>
        </w:r>
      </w:hyperlink>
      <w:r w:rsidRPr="006A356C">
        <w:rPr>
          <w:rFonts w:ascii="Arial" w:hAnsi="Arial" w:cs="Arial"/>
          <w:color w:val="auto"/>
        </w:rPr>
        <w:t xml:space="preserve">. Las </w:t>
      </w:r>
      <w:r w:rsidRPr="006A356C">
        <w:rPr>
          <w:rFonts w:ascii="Arial" w:hAnsi="Arial" w:cs="Arial"/>
          <w:i/>
          <w:iCs/>
          <w:color w:val="auto"/>
        </w:rPr>
        <w:t>posiciones de derecho fundamental</w:t>
      </w:r>
      <w:r w:rsidRPr="006A356C">
        <w:rPr>
          <w:rFonts w:ascii="Arial" w:hAnsi="Arial" w:cs="Arial"/>
          <w:color w:val="auto"/>
        </w:rPr>
        <w:t xml:space="preserve"> son posiciones tríadicas conferidas por las normas de derecho fundamental que tiene la forma de derechos a algo, libertades y competencias, y que regulan las relaciones entre el individuo y el Estado y los particulares, que tiene que ver con el respeto de los bienes protegidos por los derechos fundamentales</w:t>
      </w:r>
      <w:hyperlink r:id="rId18" w:anchor="_ftn14" w:history="1">
        <w:r w:rsidRPr="006A356C">
          <w:rPr>
            <w:rStyle w:val="Hipervnculo"/>
            <w:rFonts w:ascii="Arial" w:hAnsi="Arial" w:cs="Arial"/>
            <w:color w:val="auto"/>
            <w:vertAlign w:val="superscript"/>
          </w:rPr>
          <w:t>[14]</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Habiéndose establecido los presupuestos básicos para nuestro análisis, procedemos a realizarlo brevemente de la siguiente manera: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La Constitución de la República de El Salvador, decretada y aprobada en 1983</w:t>
      </w:r>
      <w:hyperlink r:id="rId19" w:anchor="_ftn15" w:history="1">
        <w:r w:rsidRPr="006A356C">
          <w:rPr>
            <w:rStyle w:val="Hipervnculo"/>
            <w:rFonts w:ascii="Arial" w:hAnsi="Arial" w:cs="Arial"/>
            <w:color w:val="auto"/>
            <w:vertAlign w:val="superscript"/>
          </w:rPr>
          <w:t>[15]</w:t>
        </w:r>
      </w:hyperlink>
      <w:r w:rsidRPr="006A356C">
        <w:rPr>
          <w:rFonts w:ascii="Arial" w:hAnsi="Arial" w:cs="Arial"/>
          <w:color w:val="auto"/>
        </w:rPr>
        <w:t xml:space="preserve">, instituía en su Art. 24 una </w:t>
      </w:r>
      <w:r w:rsidRPr="006A356C">
        <w:rPr>
          <w:rFonts w:ascii="Arial" w:hAnsi="Arial" w:cs="Arial"/>
          <w:i/>
          <w:iCs/>
          <w:color w:val="auto"/>
        </w:rPr>
        <w:t xml:space="preserve">disposición de derecho fundamental </w:t>
      </w:r>
      <w:r w:rsidRPr="006A356C">
        <w:rPr>
          <w:rFonts w:ascii="Arial" w:hAnsi="Arial" w:cs="Arial"/>
          <w:color w:val="auto"/>
        </w:rPr>
        <w:t>al establecer que «</w:t>
      </w:r>
      <w:r w:rsidRPr="006A356C">
        <w:rPr>
          <w:rFonts w:ascii="Arial" w:hAnsi="Arial" w:cs="Arial"/>
          <w:i/>
          <w:iCs/>
          <w:color w:val="auto"/>
        </w:rPr>
        <w:t xml:space="preserve">La correspondencia de toda clase es inviolable, interceptada no hará fe ni podrá </w:t>
      </w:r>
      <w:r w:rsidRPr="006A356C">
        <w:rPr>
          <w:rFonts w:ascii="Arial" w:hAnsi="Arial" w:cs="Arial"/>
          <w:i/>
          <w:iCs/>
          <w:color w:val="auto"/>
        </w:rPr>
        <w:lastRenderedPageBreak/>
        <w:t>figurar en ninguna actuación, salvo en los casos de concurso y quiebra. Se prohíbe la interferencia y la intervención de las comunicaciones telefónicas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Como hemos dicho anteriormente, la </w:t>
      </w:r>
      <w:r w:rsidRPr="006A356C">
        <w:rPr>
          <w:rFonts w:ascii="Arial" w:hAnsi="Arial" w:cs="Arial"/>
          <w:i/>
          <w:iCs/>
          <w:color w:val="auto"/>
        </w:rPr>
        <w:t>norma de derecho fundamental</w:t>
      </w:r>
      <w:r w:rsidRPr="006A356C">
        <w:rPr>
          <w:rFonts w:ascii="Arial" w:hAnsi="Arial" w:cs="Arial"/>
          <w:color w:val="auto"/>
        </w:rPr>
        <w:t xml:space="preserve"> se refiere al enunciado prescriptivo de la disposición de derecho fundamental, lo cual implica que se caracteriza por su contenido deóntico</w:t>
      </w:r>
      <w:hyperlink r:id="rId20" w:anchor="_ftn16" w:history="1">
        <w:r w:rsidRPr="006A356C">
          <w:rPr>
            <w:rStyle w:val="Hipervnculo"/>
            <w:rFonts w:ascii="Arial" w:hAnsi="Arial" w:cs="Arial"/>
            <w:color w:val="auto"/>
            <w:vertAlign w:val="superscript"/>
          </w:rPr>
          <w:t>[16]</w:t>
        </w:r>
      </w:hyperlink>
      <w:r w:rsidRPr="006A356C">
        <w:rPr>
          <w:rFonts w:ascii="Arial" w:hAnsi="Arial" w:cs="Arial"/>
          <w:color w:val="auto"/>
        </w:rPr>
        <w:t xml:space="preserve">, que señala o indica un modo de comportamiento que debe ser.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En este orden de ideas, procedemos a realizar la formulación abstracta de la disposición de derecho fundamental, proyectada en el ámbito del derecho, de la siguiente manera: </w:t>
      </w:r>
      <w:r w:rsidRPr="006A356C">
        <w:rPr>
          <w:rFonts w:ascii="Arial" w:hAnsi="Arial" w:cs="Arial"/>
          <w:i/>
          <w:iCs/>
          <w:color w:val="auto"/>
        </w:rPr>
        <w:t xml:space="preserve">«Está ordenado que la correspondencia de toda clase y de todas las persona es inviolable, así como sus comunicaciones telefónicas», </w:t>
      </w:r>
      <w:r w:rsidRPr="006A356C">
        <w:rPr>
          <w:rFonts w:ascii="Arial" w:hAnsi="Arial" w:cs="Arial"/>
          <w:color w:val="auto"/>
        </w:rPr>
        <w:t xml:space="preserve">que puede ser representado como </w:t>
      </w:r>
      <w:r w:rsidRPr="006A356C">
        <w:rPr>
          <w:rFonts w:ascii="Arial" w:hAnsi="Arial" w:cs="Arial"/>
          <w:i/>
          <w:iCs/>
          <w:color w:val="auto"/>
        </w:rPr>
        <w:t>«Op»</w:t>
      </w:r>
      <w:hyperlink r:id="rId21" w:anchor="_ftn17" w:history="1">
        <w:r w:rsidRPr="006A356C">
          <w:rPr>
            <w:rStyle w:val="Hipervnculo"/>
            <w:rFonts w:ascii="Arial" w:hAnsi="Arial" w:cs="Arial"/>
            <w:color w:val="auto"/>
            <w:vertAlign w:val="superscript"/>
          </w:rPr>
          <w:t>[17]</w:t>
        </w:r>
      </w:hyperlink>
      <w:r w:rsidRPr="006A356C">
        <w:rPr>
          <w:rFonts w:ascii="Arial" w:hAnsi="Arial" w:cs="Arial"/>
          <w:color w:val="auto"/>
        </w:rPr>
        <w:t xml:space="preserve">. Ésta es la </w:t>
      </w:r>
      <w:r w:rsidRPr="006A356C">
        <w:rPr>
          <w:rFonts w:ascii="Arial" w:hAnsi="Arial" w:cs="Arial"/>
          <w:i/>
          <w:iCs/>
          <w:color w:val="auto"/>
        </w:rPr>
        <w:t>norma iusfundamental directamente estatuida</w:t>
      </w:r>
      <w:hyperlink r:id="rId22" w:anchor="_ftn18" w:history="1">
        <w:r w:rsidRPr="006A356C">
          <w:rPr>
            <w:rStyle w:val="Hipervnculo"/>
            <w:rFonts w:ascii="Arial" w:hAnsi="Arial" w:cs="Arial"/>
            <w:color w:val="auto"/>
            <w:vertAlign w:val="superscript"/>
          </w:rPr>
          <w:t>[18]</w:t>
        </w:r>
      </w:hyperlink>
      <w:r w:rsidRPr="006A356C">
        <w:rPr>
          <w:rFonts w:ascii="Arial" w:hAnsi="Arial" w:cs="Arial"/>
          <w:color w:val="auto"/>
        </w:rPr>
        <w:t xml:space="preserve">, ya que mediante la modalidad deóntica «Ordenado» se le impone la obligación al Estado y/o a los particulares de realizar/hacer determinadas acciones que procuren la inviolabilidad de la correspondencia de toda clase y de todas las personas, incluidas sus comunicaciones telefónicas.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Así las cosas, habiéndose establecido la disposición iusfundamental y la norma de derecho fundamental, procedemos a determinar la </w:t>
      </w:r>
      <w:r w:rsidRPr="006A356C">
        <w:rPr>
          <w:rFonts w:ascii="Arial" w:hAnsi="Arial" w:cs="Arial"/>
          <w:i/>
          <w:iCs/>
          <w:color w:val="auto"/>
        </w:rPr>
        <w:t>posición de derecho fundamental</w:t>
      </w:r>
      <w:hyperlink r:id="rId23" w:anchor="_ftn19" w:history="1">
        <w:r w:rsidRPr="006A356C">
          <w:rPr>
            <w:rStyle w:val="Hipervnculo"/>
            <w:rFonts w:ascii="Arial" w:hAnsi="Arial" w:cs="Arial"/>
            <w:i/>
            <w:iCs/>
            <w:color w:val="auto"/>
            <w:vertAlign w:val="superscript"/>
          </w:rPr>
          <w:t>[19]</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No dudamos que la disposición iusfundamental confiere un derecho frente al Estado y los particulares, por lo que podemos extraer la norma individual: «</w:t>
      </w:r>
      <w:r w:rsidRPr="006A356C">
        <w:rPr>
          <w:rFonts w:ascii="Arial" w:hAnsi="Arial" w:cs="Arial"/>
          <w:i/>
          <w:iCs/>
          <w:color w:val="auto"/>
        </w:rPr>
        <w:t>a</w:t>
      </w:r>
      <w:r w:rsidRPr="006A356C">
        <w:rPr>
          <w:rFonts w:ascii="Arial" w:hAnsi="Arial" w:cs="Arial"/>
          <w:color w:val="auto"/>
        </w:rPr>
        <w:t xml:space="preserve"> tiene frente al Estado y/o los particulares el derecho a la inviolabilidad de su correspondencia de todas clase, incluso sus comunicaciones telefónicas». Esto implica, al ser válida la norma individual, que la </w:t>
      </w:r>
      <w:r w:rsidRPr="006A356C">
        <w:rPr>
          <w:rFonts w:ascii="Arial" w:hAnsi="Arial" w:cs="Arial"/>
          <w:i/>
          <w:iCs/>
          <w:color w:val="auto"/>
        </w:rPr>
        <w:t>posición</w:t>
      </w:r>
      <w:r w:rsidRPr="006A356C">
        <w:rPr>
          <w:rFonts w:ascii="Arial" w:hAnsi="Arial" w:cs="Arial"/>
          <w:color w:val="auto"/>
        </w:rPr>
        <w:t xml:space="preserve"> consiste en que </w:t>
      </w:r>
      <w:r w:rsidRPr="006A356C">
        <w:rPr>
          <w:rFonts w:ascii="Arial" w:hAnsi="Arial" w:cs="Arial"/>
          <w:i/>
          <w:iCs/>
          <w:color w:val="auto"/>
        </w:rPr>
        <w:t>a</w:t>
      </w:r>
      <w:r w:rsidRPr="006A356C">
        <w:rPr>
          <w:rFonts w:ascii="Arial" w:hAnsi="Arial" w:cs="Arial"/>
          <w:color w:val="auto"/>
        </w:rPr>
        <w:t xml:space="preserve"> tiene frente al Estado y/o los particulares el derecho a la inviolabilidad de su correspondencia de todas clase, incluso sus comunicaciones telefónicas, por lo que, siguiendo a Alexy, consideramos que nos encontramos ante una posición de </w:t>
      </w:r>
      <w:r w:rsidRPr="006A356C">
        <w:rPr>
          <w:rFonts w:ascii="Arial" w:hAnsi="Arial" w:cs="Arial"/>
          <w:i/>
          <w:iCs/>
          <w:color w:val="auto"/>
        </w:rPr>
        <w:t>«derecho a algo»</w:t>
      </w:r>
      <w:hyperlink r:id="rId24" w:anchor="_ftn20" w:history="1">
        <w:r w:rsidRPr="006A356C">
          <w:rPr>
            <w:rStyle w:val="Hipervnculo"/>
            <w:rFonts w:ascii="Arial" w:hAnsi="Arial" w:cs="Arial"/>
            <w:i/>
            <w:iCs/>
            <w:color w:val="auto"/>
            <w:vertAlign w:val="superscript"/>
          </w:rPr>
          <w:t>[20]</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Los «derechos a algo» poseen la estructura: «</w:t>
      </w:r>
      <w:r w:rsidRPr="006A356C">
        <w:rPr>
          <w:rFonts w:ascii="Arial" w:hAnsi="Arial" w:cs="Arial"/>
          <w:i/>
          <w:iCs/>
          <w:color w:val="auto"/>
        </w:rPr>
        <w:t>a</w:t>
      </w:r>
      <w:r w:rsidRPr="006A356C">
        <w:rPr>
          <w:rFonts w:ascii="Arial" w:hAnsi="Arial" w:cs="Arial"/>
          <w:color w:val="auto"/>
        </w:rPr>
        <w:t xml:space="preserve"> tiene frente a </w:t>
      </w:r>
      <w:r w:rsidRPr="006A356C">
        <w:rPr>
          <w:rFonts w:ascii="Arial" w:hAnsi="Arial" w:cs="Arial"/>
          <w:i/>
          <w:iCs/>
          <w:color w:val="auto"/>
        </w:rPr>
        <w:t>b</w:t>
      </w:r>
      <w:r w:rsidRPr="006A356C">
        <w:rPr>
          <w:rFonts w:ascii="Arial" w:hAnsi="Arial" w:cs="Arial"/>
          <w:color w:val="auto"/>
        </w:rPr>
        <w:t xml:space="preserve"> un derecho a </w:t>
      </w:r>
      <w:r w:rsidRPr="006A356C">
        <w:rPr>
          <w:rFonts w:ascii="Arial" w:hAnsi="Arial" w:cs="Arial"/>
          <w:i/>
          <w:iCs/>
          <w:color w:val="auto"/>
        </w:rPr>
        <w:t>G</w:t>
      </w:r>
      <w:r w:rsidRPr="006A356C">
        <w:rPr>
          <w:rFonts w:ascii="Arial" w:hAnsi="Arial" w:cs="Arial"/>
          <w:color w:val="auto"/>
        </w:rPr>
        <w:t>», por lo que la relación es tríadica y está conformada por el portador o el titular del derecho (</w:t>
      </w:r>
      <w:r w:rsidRPr="006A356C">
        <w:rPr>
          <w:rFonts w:ascii="Arial" w:hAnsi="Arial" w:cs="Arial"/>
          <w:i/>
          <w:iCs/>
          <w:color w:val="auto"/>
        </w:rPr>
        <w:t>a</w:t>
      </w:r>
      <w:r w:rsidRPr="006A356C">
        <w:rPr>
          <w:rFonts w:ascii="Arial" w:hAnsi="Arial" w:cs="Arial"/>
          <w:color w:val="auto"/>
        </w:rPr>
        <w:t>), por el destinatario del derecho (</w:t>
      </w:r>
      <w:r w:rsidRPr="006A356C">
        <w:rPr>
          <w:rFonts w:ascii="Arial" w:hAnsi="Arial" w:cs="Arial"/>
          <w:i/>
          <w:iCs/>
          <w:color w:val="auto"/>
        </w:rPr>
        <w:t>b</w:t>
      </w:r>
      <w:r w:rsidRPr="006A356C">
        <w:rPr>
          <w:rFonts w:ascii="Arial" w:hAnsi="Arial" w:cs="Arial"/>
          <w:color w:val="auto"/>
        </w:rPr>
        <w:t>), y el objeto del derecho (</w:t>
      </w:r>
      <w:r w:rsidRPr="006A356C">
        <w:rPr>
          <w:rFonts w:ascii="Arial" w:hAnsi="Arial" w:cs="Arial"/>
          <w:i/>
          <w:iCs/>
          <w:color w:val="auto"/>
        </w:rPr>
        <w:t>G</w:t>
      </w:r>
      <w:r w:rsidRPr="006A356C">
        <w:rPr>
          <w:rFonts w:ascii="Arial" w:hAnsi="Arial" w:cs="Arial"/>
          <w:color w:val="auto"/>
        </w:rPr>
        <w:t>), siendo expresada comúnmente como «D</w:t>
      </w:r>
      <w:r w:rsidRPr="006A356C">
        <w:rPr>
          <w:rFonts w:ascii="Arial" w:hAnsi="Arial" w:cs="Arial"/>
          <w:i/>
          <w:iCs/>
          <w:color w:val="auto"/>
        </w:rPr>
        <w:t>ab</w:t>
      </w:r>
      <w:r w:rsidRPr="006A356C">
        <w:rPr>
          <w:rFonts w:ascii="Arial" w:hAnsi="Arial" w:cs="Arial"/>
          <w:color w:val="auto"/>
        </w:rPr>
        <w:t xml:space="preserve">G» (D representa la relación tríadica).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Debemos aclarar que el objeto del derecho a algo (</w:t>
      </w:r>
      <w:r w:rsidRPr="006A356C">
        <w:rPr>
          <w:rFonts w:ascii="Arial" w:hAnsi="Arial" w:cs="Arial"/>
          <w:i/>
          <w:iCs/>
          <w:color w:val="auto"/>
        </w:rPr>
        <w:t>G</w:t>
      </w:r>
      <w:r w:rsidRPr="006A356C">
        <w:rPr>
          <w:rFonts w:ascii="Arial" w:hAnsi="Arial" w:cs="Arial"/>
          <w:color w:val="auto"/>
        </w:rPr>
        <w:t>) es siempre una acción por parte del destinatario, la cual puede ser una acción «negativa» (omisión) y que se corresponde con los llamados derechos de defensa, o una acción «positiva» (un hacer), que se corresponde con los llamados derechos prestacionales</w:t>
      </w:r>
      <w:hyperlink r:id="rId25" w:anchor="_ftn21" w:history="1">
        <w:r w:rsidRPr="006A356C">
          <w:rPr>
            <w:rStyle w:val="Hipervnculo"/>
            <w:rFonts w:ascii="Arial" w:hAnsi="Arial" w:cs="Arial"/>
            <w:color w:val="auto"/>
            <w:vertAlign w:val="superscript"/>
          </w:rPr>
          <w:t>[21]</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Consideramos que el derecho a la no violación de la correspondencia posee los dos tipos de modalidades de acción, es decir que implica, por un lado, «una acción negativa», pues el titular tiene frente al Estado y/o los particulares derecho – de defensa – a que no se impida u obstaculice determinadas acciones de titular del derecho (1), a que no se afecte determinadas propiedades o situaciones del titular del derecho (2) y a que no se eliminen determinadas posiciones jurídicas del titular del derecho (3); por otro lado, implica una «acción positiva», ya que el titular tiene frente al Estado y/o los particulares derecho – de prestación – a acciones materiales que se ordenan para posibilitar el cumplimiento del derecho del titular (1) y derecho a actos por parte del Estado a través de los cuales se impongan normas que permitan garantizar el derecho del titular (2).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Por todo lo antes mencionado, consideramos que el derecho a la inviolabilidad de la correspondencia, el cual ha sido considerado en mayor medida, tanto por la doctrina como por la jurisprudencia, como derecho al secreto de las comunicaciones, es un </w:t>
      </w:r>
      <w:r w:rsidRPr="006A356C">
        <w:rPr>
          <w:rFonts w:ascii="Arial" w:hAnsi="Arial" w:cs="Arial"/>
          <w:i/>
          <w:iCs/>
          <w:color w:val="auto"/>
        </w:rPr>
        <w:t>derecho fundamental</w:t>
      </w:r>
      <w:r w:rsidRPr="006A356C">
        <w:rPr>
          <w:rFonts w:ascii="Arial" w:hAnsi="Arial" w:cs="Arial"/>
          <w:color w:val="auto"/>
        </w:rPr>
        <w:t xml:space="preserve"> establecido en el Art. 24 de la Constitución (disposición iusfundamental), en virtud de que está ordenado no violar la correspondencia de toda clase y de todas las personas, incluso sus comunicaciones telefónicas (norma iusfundamental), y según el cual: «</w:t>
      </w:r>
      <w:r w:rsidRPr="006A356C">
        <w:rPr>
          <w:rFonts w:ascii="Arial" w:hAnsi="Arial" w:cs="Arial"/>
          <w:i/>
          <w:iCs/>
          <w:color w:val="auto"/>
        </w:rPr>
        <w:t>a</w:t>
      </w:r>
      <w:r w:rsidRPr="006A356C">
        <w:rPr>
          <w:rFonts w:ascii="Arial" w:hAnsi="Arial" w:cs="Arial"/>
          <w:color w:val="auto"/>
        </w:rPr>
        <w:t xml:space="preserve"> tiene frente a </w:t>
      </w:r>
      <w:r w:rsidRPr="006A356C">
        <w:rPr>
          <w:rFonts w:ascii="Arial" w:hAnsi="Arial" w:cs="Arial"/>
          <w:i/>
          <w:iCs/>
          <w:color w:val="auto"/>
        </w:rPr>
        <w:t>b</w:t>
      </w:r>
      <w:r w:rsidRPr="006A356C">
        <w:rPr>
          <w:rFonts w:ascii="Arial" w:hAnsi="Arial" w:cs="Arial"/>
          <w:color w:val="auto"/>
        </w:rPr>
        <w:t xml:space="preserve"> un derecho a </w:t>
      </w:r>
      <w:r w:rsidRPr="006A356C">
        <w:rPr>
          <w:rFonts w:ascii="Arial" w:hAnsi="Arial" w:cs="Arial"/>
          <w:i/>
          <w:iCs/>
          <w:color w:val="auto"/>
        </w:rPr>
        <w:t>G</w:t>
      </w:r>
      <w:r w:rsidRPr="006A356C">
        <w:rPr>
          <w:rFonts w:ascii="Arial" w:hAnsi="Arial" w:cs="Arial"/>
          <w:color w:val="auto"/>
        </w:rPr>
        <w:t xml:space="preserve"> y por tanto </w:t>
      </w:r>
      <w:r w:rsidRPr="006A356C">
        <w:rPr>
          <w:rFonts w:ascii="Arial" w:hAnsi="Arial" w:cs="Arial"/>
          <w:i/>
          <w:iCs/>
          <w:color w:val="auto"/>
        </w:rPr>
        <w:t>(b)</w:t>
      </w:r>
      <w:r w:rsidRPr="006A356C">
        <w:rPr>
          <w:rFonts w:ascii="Arial" w:hAnsi="Arial" w:cs="Arial"/>
          <w:color w:val="auto"/>
        </w:rPr>
        <w:t xml:space="preserve"> tiene frente a </w:t>
      </w:r>
      <w:r w:rsidRPr="006A356C">
        <w:rPr>
          <w:rFonts w:ascii="Arial" w:hAnsi="Arial" w:cs="Arial"/>
          <w:i/>
          <w:iCs/>
          <w:color w:val="auto"/>
        </w:rPr>
        <w:t>(a)</w:t>
      </w:r>
      <w:r w:rsidRPr="006A356C">
        <w:rPr>
          <w:rFonts w:ascii="Arial" w:hAnsi="Arial" w:cs="Arial"/>
          <w:color w:val="auto"/>
        </w:rPr>
        <w:t xml:space="preserve"> un deber a </w:t>
      </w:r>
      <w:r w:rsidRPr="006A356C">
        <w:rPr>
          <w:rFonts w:ascii="Arial" w:hAnsi="Arial" w:cs="Arial"/>
          <w:i/>
          <w:iCs/>
          <w:color w:val="auto"/>
        </w:rPr>
        <w:t>(G)</w:t>
      </w:r>
      <w:r w:rsidRPr="006A356C">
        <w:rPr>
          <w:rFonts w:ascii="Arial" w:hAnsi="Arial" w:cs="Arial"/>
          <w:color w:val="auto"/>
        </w:rPr>
        <w:t>», es decir, «</w:t>
      </w:r>
      <w:r w:rsidRPr="006A356C">
        <w:rPr>
          <w:rFonts w:ascii="Arial" w:hAnsi="Arial" w:cs="Arial"/>
          <w:i/>
          <w:iCs/>
          <w:color w:val="auto"/>
        </w:rPr>
        <w:t>a</w:t>
      </w:r>
      <w:r w:rsidRPr="006A356C">
        <w:rPr>
          <w:rFonts w:ascii="Arial" w:hAnsi="Arial" w:cs="Arial"/>
          <w:color w:val="auto"/>
        </w:rPr>
        <w:t xml:space="preserve"> tiene frente al </w:t>
      </w:r>
      <w:r w:rsidRPr="006A356C">
        <w:rPr>
          <w:rFonts w:ascii="Arial" w:hAnsi="Arial" w:cs="Arial"/>
          <w:i/>
          <w:iCs/>
          <w:color w:val="auto"/>
        </w:rPr>
        <w:t>Estado y/o los particulares</w:t>
      </w:r>
      <w:r w:rsidRPr="006A356C">
        <w:rPr>
          <w:rFonts w:ascii="Arial" w:hAnsi="Arial" w:cs="Arial"/>
          <w:color w:val="auto"/>
        </w:rPr>
        <w:t xml:space="preserve"> derecho a la </w:t>
      </w:r>
      <w:r w:rsidRPr="006A356C">
        <w:rPr>
          <w:rFonts w:ascii="Arial" w:hAnsi="Arial" w:cs="Arial"/>
          <w:i/>
          <w:iCs/>
          <w:color w:val="auto"/>
        </w:rPr>
        <w:t>inviolabilidad de su correspondencia de toda clase, incluso sus comunicaciones telefónicas</w:t>
      </w:r>
      <w:r w:rsidRPr="006A356C">
        <w:rPr>
          <w:rFonts w:ascii="Arial" w:hAnsi="Arial" w:cs="Arial"/>
          <w:color w:val="auto"/>
        </w:rPr>
        <w:t xml:space="preserve">, y por </w:t>
      </w:r>
      <w:r w:rsidRPr="006A356C">
        <w:rPr>
          <w:rFonts w:ascii="Arial" w:hAnsi="Arial" w:cs="Arial"/>
          <w:color w:val="auto"/>
        </w:rPr>
        <w:lastRenderedPageBreak/>
        <w:t xml:space="preserve">tanto, el </w:t>
      </w:r>
      <w:r w:rsidRPr="006A356C">
        <w:rPr>
          <w:rFonts w:ascii="Arial" w:hAnsi="Arial" w:cs="Arial"/>
          <w:i/>
          <w:iCs/>
          <w:color w:val="auto"/>
        </w:rPr>
        <w:t xml:space="preserve">Estado y/o los particulares </w:t>
      </w:r>
      <w:r w:rsidRPr="006A356C">
        <w:rPr>
          <w:rFonts w:ascii="Arial" w:hAnsi="Arial" w:cs="Arial"/>
          <w:color w:val="auto"/>
        </w:rPr>
        <w:t>tienen frente a</w:t>
      </w:r>
      <w:r w:rsidRPr="006A356C">
        <w:rPr>
          <w:rFonts w:ascii="Arial" w:hAnsi="Arial" w:cs="Arial"/>
          <w:i/>
          <w:iCs/>
          <w:color w:val="auto"/>
        </w:rPr>
        <w:t xml:space="preserve"> a </w:t>
      </w:r>
      <w:r w:rsidRPr="006A356C">
        <w:rPr>
          <w:rFonts w:ascii="Arial" w:hAnsi="Arial" w:cs="Arial"/>
          <w:color w:val="auto"/>
        </w:rPr>
        <w:t xml:space="preserve">un deber a </w:t>
      </w:r>
      <w:r w:rsidRPr="006A356C">
        <w:rPr>
          <w:rFonts w:ascii="Arial" w:hAnsi="Arial" w:cs="Arial"/>
          <w:i/>
          <w:iCs/>
          <w:color w:val="auto"/>
        </w:rPr>
        <w:t>no violar su correspondencia de toda clase, incluso sus comunicaciones telefónicas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Establecido lo anterior, en virtud de la configuración constitucional de las intervenciones telefónicas, cualquier regulación en el ordenamiento jurídico, particularmente en el penal respecto a la investigación, carece de validez debido a la prohibición de las mismas, por lo que no obstante aparentemente se habilita o existe la permisión de su práctica en el Art. 302 inciso 2° del Código Penal</w:t>
      </w:r>
      <w:hyperlink r:id="rId26" w:anchor="_ftn22" w:history="1">
        <w:r w:rsidRPr="006A356C">
          <w:rPr>
            <w:rStyle w:val="Hipervnculo"/>
            <w:rFonts w:ascii="Arial" w:hAnsi="Arial" w:cs="Arial"/>
            <w:color w:val="auto"/>
            <w:vertAlign w:val="superscript"/>
          </w:rPr>
          <w:t>[22]</w:t>
        </w:r>
      </w:hyperlink>
      <w:r w:rsidRPr="006A356C">
        <w:rPr>
          <w:rFonts w:ascii="Arial" w:hAnsi="Arial" w:cs="Arial"/>
          <w:color w:val="auto"/>
        </w:rPr>
        <w:t xml:space="preserve">, a pesar de la falta de regulación de su procedimiento –y sin proceder, en este momento, a un análisis del mismo–, su estimación implicaría una intervención telefónica contraria al Art. 24 de la Constitución.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 pesar de que el Art. 24 de la Constitución establecía una prohibición genérica respecto a las intervenciones telefónicas, consideramos que debido a que los avances tecnológicos y progresos técnicos que ha experimentado nuestra sociedad en los últimos años, han conllevado nuevas formas de comunicación hasta la fecha impensables tales como la telefonía móvil, las videoconferencias o el correo electrónico de Internet, entre muchas otras, pero dado que dicha revolución tecnológica también supone la aparición de nuevas vías de ataque o injerencia de los derechos fundamentales –motivo por el que resulta necesario que los mismos se redefinan sin perder su identidad para otorgar la debida protección jurídica a los ciudadanos y adaptarse a la nueva realidad social–, nuestro legislador decidió reformar dicho artículo mediante Decreto Legislativo Nº 36 de fecha 27 de mayo de 2009, publicado en el Diario Oficial Nº 102, Tomo Nº 383, de fecha 4 de Junio del año 2009, de la siguiente manera: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i/>
          <w:iCs/>
          <w:color w:val="auto"/>
        </w:rPr>
        <w:t xml:space="preserve">«Art. 24.- La correspondencia de toda clase es inviolable, interceptada no hará fe ni podrá figurar en ninguna actuación, salvo en los casos de concurso y quiebra.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i/>
          <w:iCs/>
          <w:color w:val="auto"/>
        </w:rPr>
        <w:t xml:space="preserve">Se prohíbe la interferencia y la intervención de las telecomunicaciones. De manera excepcional podrá autorizarse judicialmente, de forma escrita y motivada, la intervención temporal de cualquier tipo de telecomunicaciones, preservándose en </w:t>
      </w:r>
      <w:r w:rsidRPr="006A356C">
        <w:rPr>
          <w:rFonts w:ascii="Arial" w:hAnsi="Arial" w:cs="Arial"/>
          <w:i/>
          <w:iCs/>
          <w:color w:val="auto"/>
        </w:rPr>
        <w:lastRenderedPageBreak/>
        <w:t xml:space="preserve">todo caso el secreto de lo privado que no guarde relación con el proceso. La información proveniente de una intervención ilegal carecerá de valor.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i/>
          <w:iCs/>
          <w:color w:val="auto"/>
        </w:rPr>
        <w:t xml:space="preserve">La violación comprobada a lo dispuesto en este artículo, por parte de cualquier funcionario, será causa justa para la destitución inmediata de su cargo y dará lugar a la indemnización por los daños y perjuicios ocasionados.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i/>
          <w:iCs/>
          <w:color w:val="auto"/>
        </w:rPr>
        <w:t>Una ley especial determinará los delitos en cuya investigación podrá concederse esta autorización. Asimismo señalará los controles, los informes periódicos a la Asamblea Legislativa, y las responsabilidades y sanciones administrativas, civiles y penales en que incurrirán los funcionarios que apliquen ilegalmente esta medida excepcional. La aprobación y reforma de esta ley especial requerirá el voto favorable de por lo menos las dos terceras partes de los Diputados electos»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Producto de dicha reforma, se configura constitucionalmente la intervención de las telecomunicaciones –no sólo de las comunicaciones telefónicas– de manera excepcional, previa autorización judicial y temporalmente, estableciéndose unos requisitos mínimos para la validez de la medida, así como unas consecuencias y/o efectos, y la posterior creación de una ley especial que la regule.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Es decir, que debido a la nueva configuración constitucional, debe tenerse en consideración que no todas las intervenciones de las telecomunicaciones son –o serán– ilegales, toda vez que debe partirse de la premisa que en un Estado Democrático y de Derecho ningún derecho es absoluto y que la restricción del derecho al secreto de las comunicaciones privadas consagrado en el art. 24 Cn., ha de apoyarse en la proporción de la injerencia del derecho fundamental en una sociedad democrática. Por ello, la propia disposición prevé su limitación para el caso de que hubiere recaído una resolución judicial que permita levantarlo o desvelarlo, resultando entonces legítima la intromisión –lógicamente, previo cumplimiento de los demás requisitos fundamentales la validez de la medida–.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Así las cosas, debemos asegurarnos que la legislación procesal vigente en nuestro ordenamiento jurídico –o su posterior reforma– o la futura ley especial </w:t>
      </w:r>
      <w:r w:rsidRPr="006A356C">
        <w:rPr>
          <w:rFonts w:ascii="Arial" w:hAnsi="Arial" w:cs="Arial"/>
          <w:color w:val="auto"/>
        </w:rPr>
        <w:lastRenderedPageBreak/>
        <w:t>destinada a regular en general la intervención de las telecomunicaciones –y en particular, las intervenciones telefónicas–, establezca adecuadamente las garantías exigidas por el(los) derecho(s) fundamental(es) afectado(s),  y los requisitos mínimos de validez de la medida establecidos en el art. 24 Cn., so pena de incurrir en inconstitucionalidad por omisión</w:t>
      </w:r>
      <w:hyperlink r:id="rId27" w:anchor="_ftn23" w:history="1">
        <w:r w:rsidRPr="006A356C">
          <w:rPr>
            <w:rStyle w:val="Hipervnculo"/>
            <w:rFonts w:ascii="Arial" w:hAnsi="Arial" w:cs="Arial"/>
            <w:color w:val="auto"/>
            <w:vertAlign w:val="superscript"/>
          </w:rPr>
          <w:t>[23]</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t>1.1 Aclaraciones terminológicas: Correspondencia, Comunicaciones y/o Telecomunicaciones.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t>1.1.1 Definición de Correspondencia</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En virtud de no ser el objeto principal del presente trabajo nos limitamos a presentar el desarrollo realizado por la Sala de lo Constitucional</w:t>
      </w:r>
      <w:hyperlink r:id="rId28" w:anchor="_ftn24" w:history="1">
        <w:r w:rsidRPr="006A356C">
          <w:rPr>
            <w:rStyle w:val="Hipervnculo"/>
            <w:rFonts w:ascii="Arial" w:hAnsi="Arial" w:cs="Arial"/>
            <w:color w:val="auto"/>
            <w:vertAlign w:val="superscript"/>
          </w:rPr>
          <w:t>[24]</w:t>
        </w:r>
      </w:hyperlink>
      <w:r w:rsidRPr="006A356C">
        <w:rPr>
          <w:rFonts w:ascii="Arial" w:hAnsi="Arial" w:cs="Arial"/>
          <w:color w:val="auto"/>
        </w:rPr>
        <w:t xml:space="preserve"> al manifestar que «el término "correspondencia", alude a la comunicación postal, es decir, a la transmisión explícita de mensajes entre personas que no se encuentran en el mismo sitio, y cuya comunicación se propicia mediante un soporte físico que es confiado a un tercero; por tanto, la protección constitucional en comento se dispensa a objetos mediante los cuales se transmiten mensajes a través de signos lingüísticos.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Debe indicarse asimismo, que el alcance del término correspondencia no se reduce a la escrita, sino también a la formulada a través de cualquier medio que exprese palabras u otro tipo de lenguaje; amplitud que se fundamenta en el tenor literal de la citada disposición constitucional, la cual no contempla una concreción del medio utilizado para la correspondencia garantizada, ni señala el contenido de esta, sino que se refiere a "todo tipo" de correspondencia.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Sin embargo, la expresión "correspondencia de todo tipo" prevista en la Constitución, no incluye a los envíos que, por prescripción normativa o por su misma naturaleza, suelen utilizarse para remitir otro tipo de objetos que no suponen correspondencia –en el sentido acotado–, pues no están destinados a </w:t>
      </w:r>
      <w:r w:rsidRPr="006A356C">
        <w:rPr>
          <w:rFonts w:ascii="Arial" w:hAnsi="Arial" w:cs="Arial"/>
          <w:color w:val="auto"/>
        </w:rPr>
        <w:lastRenderedPageBreak/>
        <w:t xml:space="preserve">servir de soporte físico para la transmisión de mensajes explícitos, no obstante su transporte se confíe a las entidades dedicadas a prestar servicios postales, quienes, por lo general, además de brindar el servicio de correspondencia, también proveen el traslado de paquetes, bultos o encomiendas.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Consecuentemente, las encomiendas postales, por estar reservadas al traslado de objetos que no se utilizan para comunicar mensajes, no constituyen correspondencia; y por tanto, no gozan de protección del derecho de inviolabilidad previsto para aquella»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Respecto a lo manifestado en el párrafo que antecede por la Sala de lo Constitucional, vale la pena mencionar que el Tribunal Supremo Español considera que dentro del concepto de correspondencia postal deben ser incluidos los paquetes postales, aún cuando se establecen excepciones para su protección constitucional</w:t>
      </w:r>
      <w:hyperlink r:id="rId29" w:anchor="_ftn25" w:history="1">
        <w:r w:rsidRPr="006A356C">
          <w:rPr>
            <w:rStyle w:val="Hipervnculo"/>
            <w:rFonts w:ascii="Arial" w:hAnsi="Arial" w:cs="Arial"/>
            <w:color w:val="auto"/>
            <w:vertAlign w:val="superscript"/>
          </w:rPr>
          <w:t>[25]</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t>1.1.2 Definición de Comunicaciones y/o Telecomunicaciones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Nuestro Constituyente optó en 1983 por la utilización del término «comunicaciones» en el Art. 24 Cn., al hacer referencia a la prohibición de interferencia e intervención telefónica.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«Comunicación», en el Diccionario de la Real Academia de la Lengua Española, lleva a entender dicho término como la acción y efecto de hacer saber algo a alguien</w:t>
      </w:r>
      <w:hyperlink r:id="rId30" w:anchor="_ftn26" w:history="1">
        <w:r w:rsidRPr="006A356C">
          <w:rPr>
            <w:rStyle w:val="Hipervnculo"/>
            <w:rFonts w:ascii="Arial" w:hAnsi="Arial" w:cs="Arial"/>
            <w:color w:val="auto"/>
            <w:vertAlign w:val="superscript"/>
          </w:rPr>
          <w:t>[26]</w:t>
        </w:r>
      </w:hyperlink>
      <w:r w:rsidRPr="006A356C">
        <w:rPr>
          <w:rFonts w:ascii="Arial" w:hAnsi="Arial" w:cs="Arial"/>
          <w:color w:val="auto"/>
        </w:rPr>
        <w:t xml:space="preserve">. En consecuencia, el art. 24 de la Constitución parece garantizar, </w:t>
      </w:r>
      <w:r w:rsidRPr="006A356C">
        <w:rPr>
          <w:rFonts w:ascii="Arial" w:hAnsi="Arial" w:cs="Arial"/>
          <w:i/>
          <w:iCs/>
          <w:color w:val="auto"/>
        </w:rPr>
        <w:t>prima facie</w:t>
      </w:r>
      <w:r w:rsidRPr="006A356C">
        <w:rPr>
          <w:rFonts w:ascii="Arial" w:hAnsi="Arial" w:cs="Arial"/>
          <w:color w:val="auto"/>
        </w:rPr>
        <w:t xml:space="preserve">, el secreto de todo tipo de transmisión de ideas o información entre individuos, realizadas vía telefónica.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No obstante ello, la modalidad que aparece expresamente mencionada en la disposición constitucional ¿constituirá un </w:t>
      </w:r>
      <w:r w:rsidRPr="006A356C">
        <w:rPr>
          <w:rFonts w:ascii="Arial" w:hAnsi="Arial" w:cs="Arial"/>
          <w:i/>
          <w:iCs/>
          <w:color w:val="auto"/>
        </w:rPr>
        <w:t>numerus clausus</w:t>
      </w:r>
      <w:r w:rsidRPr="006A356C">
        <w:rPr>
          <w:rFonts w:ascii="Arial" w:hAnsi="Arial" w:cs="Arial"/>
          <w:color w:val="auto"/>
        </w:rPr>
        <w:t xml:space="preserve"> o, por el contrario, se incluirá a modo de ejemplo? Consideramos que la respuesta a dicha interrogante debe tener en cuenta que para el momento de adoptarse la Constitución -1983- este medio, es decir la comunicación telefónica, constituía la forma más tradicional </w:t>
      </w:r>
      <w:r w:rsidRPr="006A356C">
        <w:rPr>
          <w:rFonts w:ascii="Arial" w:hAnsi="Arial" w:cs="Arial"/>
          <w:color w:val="auto"/>
        </w:rPr>
        <w:lastRenderedPageBreak/>
        <w:t>de comunicación a distancia, junto con la comunicación postal y telegráfica</w:t>
      </w:r>
      <w:hyperlink r:id="rId31" w:anchor="_ftn27" w:history="1">
        <w:r w:rsidRPr="006A356C">
          <w:rPr>
            <w:rStyle w:val="Hipervnculo"/>
            <w:rFonts w:ascii="Arial" w:hAnsi="Arial" w:cs="Arial"/>
            <w:color w:val="auto"/>
            <w:vertAlign w:val="superscript"/>
          </w:rPr>
          <w:t>[27]</w:t>
        </w:r>
      </w:hyperlink>
      <w:r w:rsidRPr="006A356C">
        <w:rPr>
          <w:rFonts w:ascii="Arial" w:hAnsi="Arial" w:cs="Arial"/>
          <w:color w:val="auto"/>
        </w:rPr>
        <w:t xml:space="preserve">. Por lo tanto, no es posible realizar una interpretación restrictiva de dicha disposición y debe entenderse que al referirse nuestro constituyente a «comunicaciones», es posible ir incorporando todos aquellos medios de comunicación a distancia que puedan ir surgiendo mediante el avance progresivo de las tecnologías, como es el caso del envío y recepción de e-mail a través de Internet.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En ese sentido, el Tribunal Constitucional Español ha establecido que «ciertamente, los avances tecnológicos que en los últimos años se han producido en el ámbito de las telecomunicaciones, especialmente en conexión con el uso de la informática, hacen necesario un nuevo entendimiento del concepto de comunicación y del objeto de protección del derecho fundamental, que extienda la protección a esos nuevos ámbitos…»</w:t>
      </w:r>
      <w:hyperlink r:id="rId32" w:anchor="_ftn28" w:history="1">
        <w:r w:rsidRPr="006A356C">
          <w:rPr>
            <w:rStyle w:val="Hipervnculo"/>
            <w:rFonts w:ascii="Arial" w:hAnsi="Arial" w:cs="Arial"/>
            <w:color w:val="auto"/>
            <w:vertAlign w:val="superscript"/>
          </w:rPr>
          <w:t>[28]</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Consideramos que en virtud de lo anteriormente expuesto, mediante Decreto Legislativo n° 36 de fecha 27 de mayo de 2009, publicado en el Diario Oficial No. 102, Tomo 383 de fecha 4 de Junio del año 2009, y el cual reformó el Art. 24 de la Constitución, se sustituyó el término </w:t>
      </w:r>
      <w:r w:rsidRPr="006A356C">
        <w:rPr>
          <w:rFonts w:ascii="Arial" w:hAnsi="Arial" w:cs="Arial"/>
          <w:i/>
          <w:iCs/>
          <w:color w:val="auto"/>
        </w:rPr>
        <w:t>«comunicaciones»</w:t>
      </w:r>
      <w:r w:rsidRPr="006A356C">
        <w:rPr>
          <w:rFonts w:ascii="Arial" w:hAnsi="Arial" w:cs="Arial"/>
          <w:color w:val="auto"/>
        </w:rPr>
        <w:t xml:space="preserve"> por el término</w:t>
      </w:r>
      <w:r w:rsidRPr="006A356C">
        <w:rPr>
          <w:rFonts w:ascii="Arial" w:hAnsi="Arial" w:cs="Arial"/>
          <w:i/>
          <w:iCs/>
          <w:color w:val="auto"/>
        </w:rPr>
        <w:t xml:space="preserve"> «telecomunicaciones»</w:t>
      </w:r>
      <w:r w:rsidRPr="006A356C">
        <w:rPr>
          <w:rFonts w:ascii="Arial" w:hAnsi="Arial" w:cs="Arial"/>
          <w:color w:val="auto"/>
        </w:rPr>
        <w:t>, entendiéndose por telecomunicación «sistema de comunicación telegráfica, telefónica o radiotelegráfica y demás análogos»</w:t>
      </w:r>
      <w:hyperlink r:id="rId33" w:anchor="_ftn29" w:history="1">
        <w:r w:rsidRPr="006A356C">
          <w:rPr>
            <w:rStyle w:val="Hipervnculo"/>
            <w:rFonts w:ascii="Arial" w:hAnsi="Arial" w:cs="Arial"/>
            <w:color w:val="auto"/>
            <w:vertAlign w:val="superscript"/>
          </w:rPr>
          <w:t>[29]</w:t>
        </w:r>
      </w:hyperlink>
      <w:r w:rsidRPr="006A356C">
        <w:rPr>
          <w:rFonts w:ascii="Arial" w:hAnsi="Arial" w:cs="Arial"/>
          <w:color w:val="auto"/>
        </w:rPr>
        <w:t>. Técnicamente, las telecomunicaciones han sido definidas como «toda transmisión, emisión o recepción de signos, señales, escritos, imágenes, sonidos o informaciones de cualquier naturaleza por hilo, radioelectricidad, medios ópticos u otros sistemas electromagnéticos»</w:t>
      </w:r>
      <w:hyperlink r:id="rId34" w:anchor="_ftn30" w:history="1">
        <w:r w:rsidRPr="006A356C">
          <w:rPr>
            <w:rStyle w:val="Hipervnculo"/>
            <w:rFonts w:ascii="Arial" w:hAnsi="Arial" w:cs="Arial"/>
            <w:color w:val="auto"/>
            <w:vertAlign w:val="superscript"/>
          </w:rPr>
          <w:t>[30]</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Lo anterior implica que existe una diferencia significativa entre las palabras comunicación y telecomunicación, generada, en parte, por la presencia del vocablo griego </w:t>
      </w:r>
      <w:r w:rsidRPr="006A356C">
        <w:rPr>
          <w:rFonts w:ascii="Arial" w:hAnsi="Arial" w:cs="Arial"/>
          <w:i/>
          <w:iCs/>
          <w:color w:val="auto"/>
        </w:rPr>
        <w:t>tele</w:t>
      </w:r>
      <w:r w:rsidRPr="006A356C">
        <w:rPr>
          <w:rFonts w:ascii="Arial" w:hAnsi="Arial" w:cs="Arial"/>
          <w:color w:val="auto"/>
        </w:rPr>
        <w:t xml:space="preserve"> que significa </w:t>
      </w:r>
      <w:r w:rsidRPr="006A356C">
        <w:rPr>
          <w:rFonts w:ascii="Arial" w:hAnsi="Arial" w:cs="Arial"/>
          <w:i/>
          <w:iCs/>
          <w:color w:val="auto"/>
        </w:rPr>
        <w:t>lejos;</w:t>
      </w:r>
      <w:r w:rsidRPr="006A356C">
        <w:rPr>
          <w:rFonts w:ascii="Arial" w:hAnsi="Arial" w:cs="Arial"/>
          <w:color w:val="auto"/>
        </w:rPr>
        <w:t xml:space="preserve"> por lo cual comunicación, en ese sentido, se refiere a distancias cortas o al alcance de la voz y/o sonidos sin el uso de ninguna técnica que lo transmita; mientras que las telecomunicaciones son la emisión, transmisión o recepción de toda clase de señal, signos, imágenes, sonido o información por cable, el aire, por medios ópticos, etcétera.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 xml:space="preserve">Por lo tanto, el término </w:t>
      </w:r>
      <w:r w:rsidRPr="006A356C">
        <w:rPr>
          <w:rFonts w:ascii="Arial" w:hAnsi="Arial" w:cs="Arial"/>
          <w:i/>
          <w:iCs/>
          <w:color w:val="auto"/>
        </w:rPr>
        <w:t>«telecomunicaciones»</w:t>
      </w:r>
      <w:r w:rsidRPr="006A356C">
        <w:rPr>
          <w:rFonts w:ascii="Arial" w:hAnsi="Arial" w:cs="Arial"/>
          <w:color w:val="auto"/>
        </w:rPr>
        <w:t xml:space="preserve"> es lo suficientemente amplio o genérico como para incluir de manera clara e inequívoca los distintos tipos de comunicación y/o telecomunicación que con el progreso de las nuevas tecnologías puedan ir surgiendo en el futuro.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Asimismo, es de tener en cuenta que el término «telecomunicación» implica que la acción y efecto de hacer saber algo a alguien debe ser realizada a través de una infraestructura o artificio comunicativo, es decir, de un soporte técnico que sea capaz de llevar a cabo la comunicación y, por tanto, debe existir una distancia real entre los comunicantes, ya que el derecho fundamental al secreto de las comunicaciones no ampara las conversaciones persona a persona, sino aquellas otras realizadas a distancia porqué sólo en estos casos el secreto esta objetivamente garantizado desde un punto de vista técnico.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De igual manera, resulta importante resaltar que el acto comunicativo debe ser realizado por canal cerrado, puesto que si la transmisión de la información o mensaje se efectúa por canal abierto</w:t>
      </w:r>
      <w:hyperlink r:id="rId35" w:anchor="_ftn31" w:history="1">
        <w:r w:rsidRPr="006A356C">
          <w:rPr>
            <w:rStyle w:val="Hipervnculo"/>
            <w:rFonts w:ascii="Arial" w:hAnsi="Arial" w:cs="Arial"/>
            <w:color w:val="auto"/>
            <w:vertAlign w:val="superscript"/>
          </w:rPr>
          <w:t>[31]</w:t>
        </w:r>
      </w:hyperlink>
      <w:r w:rsidRPr="006A356C">
        <w:rPr>
          <w:rFonts w:ascii="Arial" w:hAnsi="Arial" w:cs="Arial"/>
          <w:color w:val="auto"/>
        </w:rPr>
        <w:t xml:space="preserve">, en modo alguno hay que considerar que estemos ante la posibilidad de aplicar el derecho al secreto de las comunicaciones ya que no habrá expectativa de secreto.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Tal como expresa Fernández Rodríguez, «sólo la comunicación a la que en condiciones normales no pueden acceder terceros, por llevarse a cabo por un medio técnico que se presenta como canal cerrado, es la que entra dentro del objeto del 18.3 de la Constitución [Art. 24 de la Constitución de El Salvador]. El emisor que usa un canal cerrado pretende que su mensaje llegue a determinada(s) persona(s). Este canal cerrado es el que justifica la presencia de una expectativa de derecho»</w:t>
      </w:r>
      <w:hyperlink r:id="rId36" w:anchor="_ftn32" w:history="1">
        <w:r w:rsidRPr="006A356C">
          <w:rPr>
            <w:rStyle w:val="Hipervnculo"/>
            <w:rFonts w:ascii="Arial" w:hAnsi="Arial" w:cs="Arial"/>
            <w:color w:val="auto"/>
            <w:vertAlign w:val="superscript"/>
          </w:rPr>
          <w:t>[32]</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Por lo tanto, cuando el Art. 24 de la Constitución establece una protección para las «telecomunicaciones», se entiende que quedan comprendidas las comunicaciones telefónicas –móviles o fijas–, incluidos los SMS</w:t>
      </w:r>
      <w:hyperlink r:id="rId37" w:anchor="_ftn33" w:history="1">
        <w:r w:rsidRPr="006A356C">
          <w:rPr>
            <w:rStyle w:val="Hipervnculo"/>
            <w:rFonts w:ascii="Arial" w:hAnsi="Arial" w:cs="Arial"/>
            <w:color w:val="auto"/>
            <w:vertAlign w:val="superscript"/>
          </w:rPr>
          <w:t>[33]</w:t>
        </w:r>
      </w:hyperlink>
      <w:r w:rsidRPr="006A356C">
        <w:rPr>
          <w:rFonts w:ascii="Arial" w:hAnsi="Arial" w:cs="Arial"/>
          <w:color w:val="auto"/>
        </w:rPr>
        <w:t xml:space="preserve">, así como las formas de comunicación que se producen a través Telefax y de Internet, como los son el correo electrónico, las comunicaciones telefónicas que se efectúan en la red, las </w:t>
      </w:r>
      <w:r w:rsidRPr="006A356C">
        <w:rPr>
          <w:rFonts w:ascii="Arial" w:hAnsi="Arial" w:cs="Arial"/>
          <w:color w:val="auto"/>
        </w:rPr>
        <w:lastRenderedPageBreak/>
        <w:t xml:space="preserve">videoconferencias, el envío de mensajes SMS a través de internet, incluso el uso del chat cuando se utiliza la opción que limita a comunicación a un determinado número de interlocutores –o mensajes privados entre los mismos–; esto en virtud de que las personas que utilizan dichas modalidades de comunicación presentan una expectativa razonable y válida de que se garantiza su libertad de comunicación y el secreto de la misma.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w:t>
      </w:r>
      <w:r w:rsidRPr="006A356C">
        <w:rPr>
          <w:rFonts w:ascii="Arial" w:hAnsi="Arial" w:cs="Arial"/>
          <w:b/>
          <w:bCs/>
          <w:color w:val="auto"/>
        </w:rPr>
        <w:t xml:space="preserve">2. DERECHOS FUNDAMENTALES AFECTADOS POR LAS INTERVENCIONES TELEFÓNICAS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Consideramos que la intervención de las comunicaciones es una medida judicial que afecta principalmente el derecho fundamental de secreto de las comunicaciones, así como el derecho fundamental a la intimidad, pues dicha medida supone una intromisión en los mismos.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Asimismo, es de tener en consideración que en un primer momento, la doctrina y la jurisprudencia, consideró que el secreto de las comunicaciones era una manifestación más del derecho a la intimidad, aunque en la actualidad, se entiende que el derecho a la intimidad y el derecho al secreto de las comunicaciones son derechos distintos y autónomos. Conforme a esta última concepción es que se procederán a analizar de manera breve dichos derechos fundamentales.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t>2.1. Derecho al Secreto de las Comunicaciones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Según Fernández Rodríguez, el derecho al secreto de las comunicaciones «es aquel derecho fundamental que permite a toda persona comunicarse libremente manteniendo dicha comunicación, siempre que se realice por canal cerrado, al margen del conocimiento de otros sujetos diferentes al destinatario»</w:t>
      </w:r>
      <w:hyperlink r:id="rId38" w:anchor="_ftn34" w:history="1">
        <w:r w:rsidRPr="006A356C">
          <w:rPr>
            <w:rStyle w:val="Hipervnculo"/>
            <w:rFonts w:ascii="Arial" w:hAnsi="Arial" w:cs="Arial"/>
            <w:color w:val="auto"/>
            <w:vertAlign w:val="superscript"/>
          </w:rPr>
          <w:t>[34]</w:t>
        </w:r>
      </w:hyperlink>
      <w:r w:rsidRPr="006A356C">
        <w:rPr>
          <w:rFonts w:ascii="Arial" w:hAnsi="Arial" w:cs="Arial"/>
          <w:color w:val="auto"/>
        </w:rPr>
        <w:t>.</w:t>
      </w:r>
      <w:r w:rsidRPr="006A356C">
        <w:rPr>
          <w:rFonts w:ascii="Arial" w:hAnsi="Arial" w:cs="Arial"/>
          <w:b/>
          <w:bCs/>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 xml:space="preserve">El derecho al secreto de las comunicaciones es una garantía sobre uno de los aspectos esenciales de la vida privada, como lo es la libertad de relacionarse con otra u otras personas distantes, a través de un medio destinado al efecto, sin que trascienda en contenido del proceso comunicativo.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Lo anterior implica que la protección del derecho al secreto de las comunicaciones abarca toda relación que: 1°) Se canalice a través de un medio de comunicación en el que exista un emisor y un receptor, y que posibilite el intercambio de mensajes; 2°) Que la comunicación se produzca entre personas que se encuentran físicamente separados, es decir, que existe una distancia que imposibilita hablar en persona; y, 3°) Que se desarrolle en forma privada, es decir, los supuestos en los que se entabla una comunicación entre dos o más personas y expresa o tácitamente se excluye al resto. Toda persona que interviene en una comunicación ha de saber el carácter de la misma y habrá que suponer que de acuerdo a la naturaleza de todos los medios habitualmente empleados, siempre es privada, a no ser que uno de los intervinientes advierta lo contrario.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Por lo anterior, consideramos –adoptando la posición de Jiménez Campo–, que el Art. 24 de la Constitución «reitera… un derecho al secreto —y una libertad, como se dirá, en las comunicaciones privadas— que, desde su primera formulación en el moderno constitucionalismo (Decreto de 10 de agosto de 1790 de la Asamblea Nacional francesa), sirvió, como sirve hoy, en tanto que de libertad, para hacer posible la constitución autónoma de la sociedad frente al Estado»</w:t>
      </w:r>
      <w:hyperlink r:id="rId39" w:anchor="_ftn35" w:history="1">
        <w:r w:rsidRPr="006A356C">
          <w:rPr>
            <w:rStyle w:val="Hipervnculo"/>
            <w:rFonts w:ascii="Arial" w:hAnsi="Arial" w:cs="Arial"/>
            <w:color w:val="auto"/>
            <w:vertAlign w:val="superscript"/>
          </w:rPr>
          <w:t>[35]</w:t>
        </w:r>
      </w:hyperlink>
      <w:r w:rsidRPr="006A356C">
        <w:rPr>
          <w:rFonts w:ascii="Arial" w:hAnsi="Arial" w:cs="Arial"/>
          <w:color w:val="auto"/>
        </w:rPr>
        <w:t xml:space="preserve">, ya que «su declaración constitucional está, pues, al servicio de hacer posibles los procesos de comunicación, no existiendo libertad allá donde no hay expectativa cierta de inmunidad frente a indagaciones ajenas. Protegiendo el secreto de las comunicaciones se defiende, pues, la libertad para entablarlas… [Pero] El que el bien que da sentido a la imposición del secreto sea la libertad para comunicarse no permite, como se dijo, reconocer aquí un derecho «al medio» o «al servicio» a través del cual emprender la comunicación, pero sí afirmar que el derecho resultará lesionado en todos los casos en los que, disponiendo su titular del medio </w:t>
      </w:r>
      <w:r w:rsidRPr="006A356C">
        <w:rPr>
          <w:rFonts w:ascii="Arial" w:hAnsi="Arial" w:cs="Arial"/>
          <w:color w:val="auto"/>
        </w:rPr>
        <w:lastRenderedPageBreak/>
        <w:t>para comunicarse, la comunicación se impida o, una vez iniciada, se intercepte, aun sin desvelar su contenido»</w:t>
      </w:r>
      <w:hyperlink r:id="rId40" w:anchor="_ftn36" w:history="1">
        <w:r w:rsidRPr="006A356C">
          <w:rPr>
            <w:rStyle w:val="Hipervnculo"/>
            <w:rFonts w:ascii="Arial" w:hAnsi="Arial" w:cs="Arial"/>
            <w:color w:val="auto"/>
            <w:vertAlign w:val="superscript"/>
          </w:rPr>
          <w:t>[36]</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El Tribunal Constitucional Español ha considerado que «Rectamente entendido, el derecho fundamental [al secreto de las comunicaciones] consagra la libertad de las comunicaciones, implícitamente, y, de modo expreso, su secreto, estableciendo en este último sentido la interdicción de la interceptación o del conocimiento antijurídico de las comunicaciones ajenas. El bien constitucionalmente protegido es así -a través de la imposición a todos del «secreto»- la libertad de las comunicaciones, siendo cierto que el derecho puede conculcarse tanto por la interceptación en sentido estricto (que suponga aprehensión física del soporte del mensaje -con conocimiento o no del mismo- o captación, de otra forma, del proceso de comunicación) como por el simple conocimiento antijurídico de lo comunicado (apertura de la correspondencia ajena guardada por su destinatario, por ejemplo)… y puede decirse que el concepto de «secreto»… no cubre sólo el contenido de la información, sino también, en su caso, otros aspectos de la misma, como, por ejemplo, la identidad subjetiva de los interlocutores o de los corresponsales»</w:t>
      </w:r>
      <w:hyperlink r:id="rId41" w:anchor="_ftn37" w:history="1">
        <w:r w:rsidRPr="006A356C">
          <w:rPr>
            <w:rStyle w:val="Hipervnculo"/>
            <w:rFonts w:ascii="Arial" w:hAnsi="Arial" w:cs="Arial"/>
            <w:color w:val="auto"/>
            <w:vertAlign w:val="superscript"/>
          </w:rPr>
          <w:t>[37]</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De lo manifestado por Javier Jiménez Campo y el Tribunal Constitucional Español se logra extraer que la Libertad de las Comunicaciones supone la impenetrabilidad de las mismas por parte de terceros</w:t>
      </w:r>
      <w:hyperlink r:id="rId42" w:anchor="_ftn38" w:history="1">
        <w:r w:rsidRPr="006A356C">
          <w:rPr>
            <w:rStyle w:val="Hipervnculo"/>
            <w:rFonts w:ascii="Arial" w:hAnsi="Arial" w:cs="Arial"/>
            <w:color w:val="auto"/>
            <w:vertAlign w:val="superscript"/>
          </w:rPr>
          <w:t>[38]</w:t>
        </w:r>
      </w:hyperlink>
      <w:r w:rsidRPr="006A356C">
        <w:rPr>
          <w:rFonts w:ascii="Arial" w:hAnsi="Arial" w:cs="Arial"/>
          <w:color w:val="auto"/>
        </w:rPr>
        <w:t xml:space="preserve"> y cubre la libertad de comunicaciones, esto es, que las comunicaciones no sean intervenidas o interceptadas, y el secreto tanto del contenido como de la identidad de los comunicantes; es decir, el constituyente intenta proteger la naturaleza privada de las comunicaciones, independientemente de su contenido.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Asimismo, es posible resaltar que el derecho al secreto de las comunicaciones es rigurosamente «formal», ya que protege tanto el proceso de comunicación como el contenido, es decir, lo comunicado, con independencia que pertenezca al campo de lo íntimo, de lo privado, o no; es decir, que aunque lo comunicado por un persona a otra sea algo trivial o simplemente ajeno a la órbita de lo privado, por el </w:t>
      </w:r>
      <w:r w:rsidRPr="006A356C">
        <w:rPr>
          <w:rFonts w:ascii="Arial" w:hAnsi="Arial" w:cs="Arial"/>
          <w:color w:val="auto"/>
        </w:rPr>
        <w:lastRenderedPageBreak/>
        <w:t>hecho de haber sido tratado a través de uno de los medios de comunicación protegidos por el Art. 24 Cn., tiene la condición de un secreto que la Constitución garantiza</w:t>
      </w:r>
      <w:hyperlink r:id="rId43" w:anchor="_ftn39" w:history="1">
        <w:r w:rsidRPr="006A356C">
          <w:rPr>
            <w:rStyle w:val="Hipervnculo"/>
            <w:rFonts w:ascii="Arial" w:hAnsi="Arial" w:cs="Arial"/>
            <w:color w:val="auto"/>
            <w:vertAlign w:val="superscript"/>
          </w:rPr>
          <w:t>[39]</w:t>
        </w:r>
      </w:hyperlink>
      <w:r w:rsidRPr="006A356C">
        <w:rPr>
          <w:rFonts w:ascii="Arial" w:hAnsi="Arial" w:cs="Arial"/>
          <w:color w:val="auto"/>
        </w:rPr>
        <w:t>. Cómo señala Jiménez Campo, «sólo, en definitiva, desligando la existencia del derecho de la cuestión sustantiva del contenido de lo comunicado puede evitarse el caer en la inaceptable aleatoriedad en su reconocimiento a que llevaría la confusión entre este derecho y el que protege la intimidad de las personas»</w:t>
      </w:r>
      <w:hyperlink r:id="rId44" w:anchor="_ftn40" w:history="1">
        <w:r w:rsidRPr="006A356C">
          <w:rPr>
            <w:rStyle w:val="Hipervnculo"/>
            <w:rFonts w:ascii="Arial" w:hAnsi="Arial" w:cs="Arial"/>
            <w:color w:val="auto"/>
            <w:vertAlign w:val="superscript"/>
          </w:rPr>
          <w:t>[40]</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Por todo lo antes mencionado, puede concluirse que el derecho fundamental al secreto de las comunicaciones se conforma a partir de: a) Libertad de las comunicaciones, y de su secreto, estableciendo la interdicción de la intervención, interceptación o del conocimiento ilícito de las comunicaciones ajenas; b) Impenetrabilidad de la comunicación para terceros ajenos a la misma; y, c) Concepto de secreto formal, ya que el secreto se predica de lo comunicado, sea cual sea su contenido y pertenezca o no el objeto de la comunicación al ámbito de lo personal, íntimo o reservado.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Finalmente, en cuanto a la posible restricción o limitación de este derecho fundamental prevista constitucionalmente</w:t>
      </w:r>
      <w:hyperlink r:id="rId45" w:anchor="_ftn41" w:history="1">
        <w:r w:rsidRPr="006A356C">
          <w:rPr>
            <w:rStyle w:val="Hipervnculo"/>
            <w:rFonts w:ascii="Arial" w:hAnsi="Arial" w:cs="Arial"/>
            <w:color w:val="auto"/>
            <w:vertAlign w:val="superscript"/>
          </w:rPr>
          <w:t>[41]</w:t>
        </w:r>
      </w:hyperlink>
      <w:r w:rsidRPr="006A356C">
        <w:rPr>
          <w:rFonts w:ascii="Arial" w:hAnsi="Arial" w:cs="Arial"/>
          <w:color w:val="auto"/>
        </w:rPr>
        <w:t xml:space="preserve"> (dejando a salvo su Suspensión en los casos del Art. 29 de la Constitución</w:t>
      </w:r>
      <w:hyperlink r:id="rId46" w:anchor="_ftn42" w:history="1">
        <w:r w:rsidRPr="006A356C">
          <w:rPr>
            <w:rStyle w:val="Hipervnculo"/>
            <w:rFonts w:ascii="Arial" w:hAnsi="Arial" w:cs="Arial"/>
            <w:color w:val="auto"/>
            <w:vertAlign w:val="superscript"/>
          </w:rPr>
          <w:t>[42]</w:t>
        </w:r>
      </w:hyperlink>
      <w:r w:rsidRPr="006A356C">
        <w:rPr>
          <w:rFonts w:ascii="Arial" w:hAnsi="Arial" w:cs="Arial"/>
          <w:color w:val="auto"/>
        </w:rPr>
        <w:t xml:space="preserve">), está sometida a un doble condicionamiento: a) El principio de Legalidad, es decir, la existencia de una ley que autorice a la autoridad judicial a ordenar la intervención; y, b) la propia resolución judicial, la cual deberá ser escrita y motivada, pues sólo a través de la motivación se preserva el derecho de defensa y se puede hacer el necesario juicio de proporcionalidad entre el sacrificio del derecho fundamental y la causa a la que obedece.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t xml:space="preserve">2.2. Derecho a la Intimidad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Previo a analizar brevemente el derecho a la intimidad, debemos puntualizar que en la doctrina y en la jurisprudencia se tiende a realizar una distinción entre la </w:t>
      </w:r>
      <w:r w:rsidRPr="006A356C">
        <w:rPr>
          <w:rFonts w:ascii="Arial" w:hAnsi="Arial" w:cs="Arial"/>
          <w:color w:val="auto"/>
        </w:rPr>
        <w:lastRenderedPageBreak/>
        <w:t>intimidad y otros ámbitos, privados, aunque no íntimos, así como a considerar dichos términos –intimidad y privacidad– como sinónimos</w:t>
      </w:r>
      <w:hyperlink r:id="rId47" w:anchor="_ftn43" w:history="1">
        <w:r w:rsidRPr="006A356C">
          <w:rPr>
            <w:rStyle w:val="Hipervnculo"/>
            <w:rFonts w:ascii="Arial" w:hAnsi="Arial" w:cs="Arial"/>
            <w:color w:val="auto"/>
            <w:vertAlign w:val="superscript"/>
          </w:rPr>
          <w:t>[43]</w:t>
        </w:r>
      </w:hyperlink>
      <w:r w:rsidRPr="006A356C">
        <w:rPr>
          <w:rFonts w:ascii="Arial" w:hAnsi="Arial" w:cs="Arial"/>
          <w:color w:val="auto"/>
        </w:rPr>
        <w:t xml:space="preserve">, lo cual consideramos pertinente señalar, pero sobre lo cual no profundizaremos al no ser el objeto del presente trabajo.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El derecho a la intimidad «es un derecho fundamental porque implica una defensa frente a la intromisión por parte del Estado o de la comunidad, sino también porque su plena vigencia posibilita el desarrollo íntegro de la personalidad del individuo»</w:t>
      </w:r>
      <w:hyperlink r:id="rId48" w:anchor="_ftn44" w:history="1">
        <w:r w:rsidRPr="006A356C">
          <w:rPr>
            <w:rStyle w:val="Hipervnculo"/>
            <w:rFonts w:ascii="Arial" w:hAnsi="Arial" w:cs="Arial"/>
            <w:color w:val="auto"/>
            <w:vertAlign w:val="superscript"/>
          </w:rPr>
          <w:t>[44]</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La intimidad</w:t>
      </w:r>
      <w:hyperlink r:id="rId49" w:anchor="_ftn45" w:history="1">
        <w:r w:rsidRPr="006A356C">
          <w:rPr>
            <w:rStyle w:val="Hipervnculo"/>
            <w:rFonts w:ascii="Arial" w:hAnsi="Arial" w:cs="Arial"/>
            <w:color w:val="auto"/>
            <w:vertAlign w:val="superscript"/>
          </w:rPr>
          <w:t>[45]</w:t>
        </w:r>
      </w:hyperlink>
      <w:r w:rsidRPr="006A356C">
        <w:rPr>
          <w:rFonts w:ascii="Arial" w:hAnsi="Arial" w:cs="Arial"/>
          <w:color w:val="auto"/>
        </w:rPr>
        <w:t>, como derecho fundamental, se encuentra protegida en el Art. 2 de la Constitución, y respecto al mismo, la Sala de lo Constitucional ha sostenido en su jurisprudencia «–verbigracia en sentencia emitida el 10/IX/90 en el proceso de inconstitucionalidad 2-89– que el derecho a la intimidad personal supone "reservar para sí un determinado ambiente o sector, donde la intromisión de extraños perjudicaría la autonomía de la voluntad para determinar su conducta". Además, este tribunal ha señalado –en sentencia del 2/III/2004, proceso de amparo número 118-2002– que el derecho a la intimidad "hace referencia al ámbito que se encuentra reservado ad intra de cada persona (…) y cuyo conocimiento importa únicamente a éste y en su caso, a un círculo concreto de personas seleccionadas por el mismo. Por tanto, en dicho ámbito opera la voluntad del individuo para disponer de todos aquellos aspectos que puedan trascender al conocimiento de los demás"»</w:t>
      </w:r>
      <w:hyperlink r:id="rId50" w:anchor="_ftn46" w:history="1">
        <w:r w:rsidRPr="006A356C">
          <w:rPr>
            <w:rStyle w:val="Hipervnculo"/>
            <w:rFonts w:ascii="Arial" w:hAnsi="Arial" w:cs="Arial"/>
            <w:color w:val="auto"/>
            <w:vertAlign w:val="superscript"/>
          </w:rPr>
          <w:t>[46]</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La intimidad es definida por Aurelia María Romero Coloma como «el derecho en virtud del cual excluimos a todas o determinadas personas del conocimiento de nuestros pensamientos, sentimientos, sensaciones y emociones. Es el derecho a vivir en soledad aquella parte de nuestra vida que no deseamos compartir con los demás, bien sea con la sociedad que nos rodea, con todo el mundo que nos circunda, o bien con una parte de ese mundo»</w:t>
      </w:r>
      <w:hyperlink r:id="rId51" w:anchor="_ftn47" w:history="1">
        <w:r w:rsidRPr="006A356C">
          <w:rPr>
            <w:rStyle w:val="Hipervnculo"/>
            <w:rFonts w:ascii="Arial" w:hAnsi="Arial" w:cs="Arial"/>
            <w:color w:val="auto"/>
            <w:vertAlign w:val="superscript"/>
          </w:rPr>
          <w:t>[47]</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Lo anterior implica que se reconoce que toda persona tiene asuntos o negocios, designios o afecciones de él o su familia, que prefiere mantener como una esfera </w:t>
      </w:r>
      <w:r w:rsidRPr="006A356C">
        <w:rPr>
          <w:rFonts w:ascii="Arial" w:hAnsi="Arial" w:cs="Arial"/>
          <w:color w:val="auto"/>
        </w:rPr>
        <w:lastRenderedPageBreak/>
        <w:t>secreta, o al menos reservada de su vida, de la que tenga poder de alegar a los demás; se mencionan en éste ámbito aquellos datos, hechos o situaciones desconocidas para la comunidad, que son verídicos y que están reservados al conocimiento del sujeto mismo, o de un grupo reducido de personas, cuya divulgación o conocimiento por otros trae aparejado algún daño. Por ello, puede decirse que el derecho a la intimidad es «la respuesta jurídica de cada persona de lograr un ámbito en el cual pueda desarrollar, sin intrusión, curiosidad, fisgoneo ni injerencia de los demás, de aquello que constituye su vida privada[</w:t>
      </w:r>
      <w:hyperlink r:id="rId52" w:anchor="_ftn48" w:history="1">
        <w:r w:rsidRPr="006A356C">
          <w:rPr>
            <w:rStyle w:val="Hipervnculo"/>
            <w:rFonts w:ascii="Arial" w:hAnsi="Arial" w:cs="Arial"/>
            <w:color w:val="auto"/>
            <w:vertAlign w:val="superscript"/>
          </w:rPr>
          <w:t>[48]</w:t>
        </w:r>
      </w:hyperlink>
      <w:r w:rsidRPr="006A356C">
        <w:rPr>
          <w:rFonts w:ascii="Arial" w:hAnsi="Arial" w:cs="Arial"/>
          <w:color w:val="auto"/>
        </w:rPr>
        <w:t>]»</w:t>
      </w:r>
      <w:hyperlink r:id="rId53" w:anchor="_ftn49" w:history="1">
        <w:r w:rsidRPr="006A356C">
          <w:rPr>
            <w:rStyle w:val="Hipervnculo"/>
            <w:rFonts w:ascii="Arial" w:hAnsi="Arial" w:cs="Arial"/>
            <w:color w:val="auto"/>
            <w:vertAlign w:val="superscript"/>
          </w:rPr>
          <w:t>[49]</w:t>
        </w:r>
      </w:hyperlink>
      <w:r w:rsidRPr="006A356C">
        <w:rPr>
          <w:rFonts w:ascii="Arial" w:hAnsi="Arial" w:cs="Arial"/>
          <w:color w:val="auto"/>
        </w:rPr>
        <w:t>. En virtud de ello, Miguel Carbonell considera que existen dos tipos de amenazas contra la intimidad: «la acción o intrusión en un espacio o zona propia, y el conocimiento o intromisión informativa sobre hechos, datos o aspectos relativos a la vida privada de una persona. Puede hablarse en consecuencia, de una intimidad “territorial” y de una intimidad “informacional”, que también puede llamarse confidencialidad»</w:t>
      </w:r>
      <w:hyperlink r:id="rId54" w:anchor="_ftn50" w:history="1">
        <w:r w:rsidRPr="006A356C">
          <w:rPr>
            <w:rStyle w:val="Hipervnculo"/>
            <w:rFonts w:ascii="Arial" w:hAnsi="Arial" w:cs="Arial"/>
            <w:color w:val="auto"/>
            <w:vertAlign w:val="superscript"/>
          </w:rPr>
          <w:t>[50]</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No obstante lo anterior, el derecho a la intimidad ha ido alcanzando nuevos matices debido a que el desarrollo tecnológico ha redimensionado las relaciones del hombre con sus semejantes, así como su marco de convivencia, por lo que, ahora, con el tratamiento, la recolección, el almacenamiento de informaciones que antes sólo podía formar parte de la vida íntima de cada ser humano —o bien, era conocido por un mínimo sector—, ha ido variando paulatinamente su entorno y estructura; esto es, los datos personales de toda persona se han convertido en una práctica habitual de control y almacenamiento por parte de los sectores tanto públicos como privados. Es por ello que el derecho a la intimidad ha tenido que ir redireccionando su ámbito de protección, donde además de la facultad del individuo de rechazar invasiones a su ámbito privado, ahora supone el reconocimiento de un derecho de control y acceso de sus informaciones, es decir, de todo aquella información relativa a su persona.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Por tal motivo, podemos distinguir dos aspectos en el derecho a la intimidad: Uno Negativo, como un modo de ser de la persona respecto de los demás, que sería la exclusión del conocimiento ajeno de cuanto hace referencia a la propia persona, y </w:t>
      </w:r>
      <w:r w:rsidRPr="006A356C">
        <w:rPr>
          <w:rFonts w:ascii="Arial" w:hAnsi="Arial" w:cs="Arial"/>
          <w:color w:val="auto"/>
        </w:rPr>
        <w:lastRenderedPageBreak/>
        <w:t xml:space="preserve">otro Positivo, de control por su titular de los datos e información relativos a la propia persona.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Asimismo, es posible resaltar que el derecho a la intimidad es rigurosamente «material», «mediante el cual designa el ordenamiento el área que cada cual reserva para sí –o para sí y sus «íntimos»– apartándola, en mérito al contenido de la acción o de la situación de que se trate, del conocimiento de terceros... Este </w:t>
      </w:r>
      <w:r w:rsidRPr="006A356C">
        <w:rPr>
          <w:rFonts w:ascii="Arial" w:hAnsi="Arial" w:cs="Arial"/>
          <w:i/>
          <w:iCs/>
          <w:color w:val="auto"/>
        </w:rPr>
        <w:t>ius solitudinis</w:t>
      </w:r>
      <w:r w:rsidRPr="006A356C">
        <w:rPr>
          <w:rFonts w:ascii="Arial" w:hAnsi="Arial" w:cs="Arial"/>
          <w:color w:val="auto"/>
        </w:rPr>
        <w:t xml:space="preserve"> no puede, pues, identificarse sino por el contenido y las circunstancias de la acción y con contornos fluctuantes en cada caso, impidiendo el ordenamiento tanto el conocimiento de lo reservado como su divulgación dañosa, para el titular del derecho»</w:t>
      </w:r>
      <w:hyperlink r:id="rId55" w:anchor="_ftn51" w:history="1">
        <w:r w:rsidRPr="006A356C">
          <w:rPr>
            <w:rStyle w:val="Hipervnculo"/>
            <w:rFonts w:ascii="Arial" w:hAnsi="Arial" w:cs="Arial"/>
            <w:color w:val="auto"/>
            <w:vertAlign w:val="superscript"/>
          </w:rPr>
          <w:t>[51]</w:t>
        </w:r>
      </w:hyperlink>
      <w:r w:rsidRPr="006A356C">
        <w:rPr>
          <w:rFonts w:ascii="Arial" w:hAnsi="Arial" w:cs="Arial"/>
          <w:color w:val="auto"/>
        </w:rPr>
        <w:t>. Esto implica que la protección constitucional respecto al derecho a la intimidad se reduce de manera considerable –en relación, particularmente, con el derecho al secreto de las comunicaciones–, ya que no todo conocimiento o interés de la vida cotidiana de las personas es acreedor de la protección constitucional amparada por el Art. 2 Cn., sino sólo aquellos que, no consentidos por la persona afectada, incidan sobre ese núcleo esencial del derecho</w:t>
      </w:r>
      <w:hyperlink r:id="rId56" w:anchor="_ftn52" w:history="1">
        <w:r w:rsidRPr="006A356C">
          <w:rPr>
            <w:rStyle w:val="Hipervnculo"/>
            <w:rFonts w:ascii="Arial" w:hAnsi="Arial" w:cs="Arial"/>
            <w:color w:val="auto"/>
            <w:vertAlign w:val="superscript"/>
          </w:rPr>
          <w:t>[52]</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Finalmente, en cuanto a la posible restricción o limitación de este derecho fundamental</w:t>
      </w:r>
      <w:hyperlink r:id="rId57" w:anchor="_ftn53" w:history="1">
        <w:r w:rsidRPr="006A356C">
          <w:rPr>
            <w:rStyle w:val="Hipervnculo"/>
            <w:rFonts w:ascii="Arial" w:hAnsi="Arial" w:cs="Arial"/>
            <w:color w:val="auto"/>
            <w:vertAlign w:val="superscript"/>
          </w:rPr>
          <w:t>[53]</w:t>
        </w:r>
      </w:hyperlink>
      <w:r w:rsidRPr="006A356C">
        <w:rPr>
          <w:rFonts w:ascii="Arial" w:hAnsi="Arial" w:cs="Arial"/>
          <w:color w:val="auto"/>
        </w:rPr>
        <w:t xml:space="preserve">, consideramos que, al igual que el derecho al secreto de las comunicaciones, está sometida a un doble condicionamiento –máxime cuando dicho derecho no es limitado por la propia norma que lo origina–: a) El principio de Legalidad, es decir, la existencia de una ley que autorice a la autoridad judicial la limitación del derecho a la intimidad; y, b) la propia resolución judicial, la cual deberá ser escrita y motivada, pues sólo a través de la motivación se preserva el derecho de defensa y se puede hacer el necesario juicio de proporcionalidad entre el sacrificio del derecho fundamental y la causa a la que obedece.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Es por ello que el Tribunal Constitucional Español ha establecido en su sentencia 37/1989, de 15 de febrero, que «la intimidad personal puede llegar a ceder en ciertos casos y en cualquiera de sus diversas expresiones ante exigencias públicas, pues no es éste un derecho de carácter absoluto, pese a que la </w:t>
      </w:r>
      <w:r w:rsidRPr="006A356C">
        <w:rPr>
          <w:rFonts w:ascii="Arial" w:hAnsi="Arial" w:cs="Arial"/>
          <w:color w:val="auto"/>
        </w:rPr>
        <w:lastRenderedPageBreak/>
        <w:t>Constitución, al enunciarlo, no haya establecido de modo expreso la reserva de intervención judicial que figura en las normas declarativas de la inviolabilidad del domicilio o del secreto de las comunicaciones (núms. 2 y 3 del mismo art. 18). Tal afectación del ámbito de la intimidad es posible sólo por decisión judicial que habrá de prever que su ejecución sea respetuosa de la intimidad de la persona y no constitutiva, atendidas las circunstancias del caso, de trato degradante alguno»</w:t>
      </w:r>
      <w:hyperlink r:id="rId58" w:anchor="_ftn54" w:history="1">
        <w:r w:rsidRPr="006A356C">
          <w:rPr>
            <w:rStyle w:val="Hipervnculo"/>
            <w:rFonts w:ascii="Arial" w:hAnsi="Arial" w:cs="Arial"/>
            <w:color w:val="auto"/>
            <w:vertAlign w:val="superscript"/>
          </w:rPr>
          <w:t>[54]</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w:t>
      </w:r>
      <w:r w:rsidRPr="006A356C">
        <w:rPr>
          <w:rFonts w:ascii="Arial" w:hAnsi="Arial" w:cs="Arial"/>
          <w:b/>
          <w:bCs/>
          <w:color w:val="auto"/>
        </w:rPr>
        <w:t> </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t>3. LAS INTERVENCIONES TELEFÓNICAS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Como hemos dicho al inicio del presente trabajo, producto de la reforma constitucional del Art. 24 se configura la permisión de intervenir las telecomunicaciones de manera excepcional, previa autorización judicial y temporalmente, constituyendo las comunicaciones telefónicas una especie del género telecomunicaciones, y respecto al análisis de su intervención nos dedicaremos a continuación.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No obstante ello, aclaramos que debido a que las Intervenciones Telefónicas han sido definidas de diversas maneras, tanto en la doctrina como en la jurisprudencia, y según la legislación de cada país, y por lo tanto existen diversas denominaciones para las intervenciones telefónicas, como lo son: escuchas telefónicas, observación telefónica, interferencia telefónica e interceptación telefónica –el cual también es un término establecido por la Constitución en su Art. 24–; como quedará de manifiesto en el desarrollo del presente trabajo, nos hemos inclinado por el término «Intervención», al parecernos más exacto que los términos ejemplificados, máxime en su relación con el grado de injerencia en el derecho fundamental del secreto a las comunicaciones</w:t>
      </w:r>
      <w:hyperlink r:id="rId59" w:anchor="_ftn55" w:history="1">
        <w:r w:rsidRPr="006A356C">
          <w:rPr>
            <w:rStyle w:val="Hipervnculo"/>
            <w:rFonts w:ascii="Arial" w:hAnsi="Arial" w:cs="Arial"/>
            <w:color w:val="auto"/>
            <w:vertAlign w:val="superscript"/>
          </w:rPr>
          <w:t>[55]</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t>3.1 Definición</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«Intervenir», según el Diccionario de la Lengua Española</w:t>
      </w:r>
      <w:hyperlink r:id="rId60" w:anchor="_ftn56" w:history="1">
        <w:r w:rsidRPr="006A356C">
          <w:rPr>
            <w:rStyle w:val="Hipervnculo"/>
            <w:rFonts w:ascii="Arial" w:hAnsi="Arial" w:cs="Arial"/>
            <w:color w:val="auto"/>
            <w:vertAlign w:val="superscript"/>
          </w:rPr>
          <w:t>[56]</w:t>
        </w:r>
      </w:hyperlink>
      <w:r w:rsidRPr="006A356C">
        <w:rPr>
          <w:rFonts w:ascii="Arial" w:hAnsi="Arial" w:cs="Arial"/>
          <w:color w:val="auto"/>
        </w:rPr>
        <w:t xml:space="preserve">, deriva del latín </w:t>
      </w:r>
      <w:r w:rsidRPr="006A356C">
        <w:rPr>
          <w:rFonts w:ascii="Arial" w:hAnsi="Arial" w:cs="Arial"/>
          <w:i/>
          <w:iCs/>
          <w:color w:val="auto"/>
        </w:rPr>
        <w:t>intervenīre,</w:t>
      </w:r>
      <w:r w:rsidRPr="006A356C">
        <w:rPr>
          <w:rFonts w:ascii="Arial" w:hAnsi="Arial" w:cs="Arial"/>
          <w:color w:val="auto"/>
        </w:rPr>
        <w:t xml:space="preserve"> y significa –en lo pertinente– «Dicho de una autoridad: Dirigir, limitar o suspender el libre ejercicio de actividades o funciones […] Espiar, por mandato o autorización legal, una comunicación privada».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Según Gimeno Sendra, las intervenciones telefónicas consisten en «todo acto de investigación, limitativo del derecho fundamental al secreto de las comunicaciones, por el que el Juez de Instrucción, en relación con un hecho punible de especial gravedad en el curso de un procedimiento penal, decide, mediante auto especialmente motivado, que por la policía judicial se proceda al registro de llamadas y/o a efectuar la grabación magnetofónica de las conversaciones telefónicas del imputado durante el tiempo imprescindible para poder preconstituir la prueba del hecho punible y la participación de su autor»</w:t>
      </w:r>
      <w:hyperlink r:id="rId61" w:anchor="_ftn57" w:history="1">
        <w:r w:rsidRPr="006A356C">
          <w:rPr>
            <w:rStyle w:val="Hipervnculo"/>
            <w:rFonts w:ascii="Arial" w:hAnsi="Arial" w:cs="Arial"/>
            <w:color w:val="auto"/>
            <w:vertAlign w:val="superscript"/>
          </w:rPr>
          <w:t>[57]</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Para Javier Pascua, las intervenciones telefónicas constituyen «una medida coercitiva accesoria que tiende por lo general a la obtención de pruebas conforme lo que se transmite por medio de la palabra a distancia por esta vía»</w:t>
      </w:r>
      <w:hyperlink r:id="rId62" w:anchor="_ftn58" w:history="1">
        <w:r w:rsidRPr="006A356C">
          <w:rPr>
            <w:rStyle w:val="Hipervnculo"/>
            <w:rFonts w:ascii="Arial" w:hAnsi="Arial" w:cs="Arial"/>
            <w:color w:val="auto"/>
            <w:vertAlign w:val="superscript"/>
          </w:rPr>
          <w:t>[58]</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El Tribunal Supremo Español ha manifestado que «las intervenciones telefónicas  (vulgarmente denominadas escuchas telefónicas) implican una actividad de control de las comunicaciones entre particulares a través de dicho medio y pueden conceptuarse como unas medidas instrumentales que suponen una restricción del derecho fundamental del secreto de las comunicaciones y que aparecen ordenadas por el Juez de Instrucción en la fase instructora o sumarial del procedimiento penal , bien frente al imputado , bien frente a otros con los cuales éste se comunique, con la finalidad de captar el contenido de las conversaciones para la investigación de concretos delitos y para la aportación en su caso, de determinados elementos probatorios»</w:t>
      </w:r>
      <w:hyperlink r:id="rId63" w:anchor="_ftn59" w:history="1">
        <w:r w:rsidRPr="006A356C">
          <w:rPr>
            <w:rStyle w:val="Hipervnculo"/>
            <w:rFonts w:ascii="Arial" w:hAnsi="Arial" w:cs="Arial"/>
            <w:color w:val="auto"/>
            <w:vertAlign w:val="superscript"/>
          </w:rPr>
          <w:t>[59]</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En concordancia con las anteriores definiciones, consideramos que la «intervención telefónica» es un medio instrumental, mediante el cual se limita temporalmente el derecho fundamental al secreto de las comunicaciones, a través del registro y grabación de las conversaciones telefónicas de un imputado u otros </w:t>
      </w:r>
      <w:r w:rsidRPr="006A356C">
        <w:rPr>
          <w:rFonts w:ascii="Arial" w:hAnsi="Arial" w:cs="Arial"/>
          <w:color w:val="auto"/>
        </w:rPr>
        <w:lastRenderedPageBreak/>
        <w:t xml:space="preserve">sujetos con el que éste se relacione, lo cual es ordenado por el juez competente mediante resolución motivada, en relación con un hecho punible de especial gravedad o complejidad, con la finalidad de investigar dichos delitos y/o recabar prueba en relación con el hecho delictivo y la participación de su autor.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t>3.2 Naturaleza Jurídica</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Las Intervenciones Telefónicas tienen una doble naturaleza –o una doble función–: a) desempeñan una importante función investigadora, al tratarse de una herramienta muy útil para obtener otros elementos de prueba y para decidir sobre sucesivos actos de investigación; y, b) desempeñan una función probatoria, entendida como fuente de prueba u operación técnica cuyo objeto –el contenido de la conversación– puede crear elementos de prueba</w:t>
      </w:r>
      <w:hyperlink r:id="rId64" w:anchor="_ftn60" w:history="1">
        <w:r w:rsidRPr="006A356C">
          <w:rPr>
            <w:rStyle w:val="Hipervnculo"/>
            <w:rFonts w:ascii="Arial" w:hAnsi="Arial" w:cs="Arial"/>
            <w:color w:val="auto"/>
            <w:vertAlign w:val="superscript"/>
          </w:rPr>
          <w:t>[60]</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Esto implica que la intervención telefónica puede servir como medio para lograr la identificación de los autores y partícipes de los hechos, el lugar en donde se oculta el objeto del ilícito, los mecanismos para disfrazar el origen ilícito del dinero, entre otros. Pero también funciona como elemento de prueba que posteriormente será incorporado al proceso mediante los diversos medios de prueba.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Sobre ésta doble naturaleza de las intervenciones telefónicas, el Tribunal Supremo Español ha señalado que «la intervención telefónica puede tener una doble naturaleza en el proceso penal. Puede servir de fuente de investigación de delitos, orientando la encuesta policial, o puede ella misma utilizarse como medio de prueba en cuyo caso ha de reunir las condiciones de certeza y credibilidad que sólo queda garantizado con el respeto a las leyes procesales, siendo especialmente importante el proceso de introducción de las intervenciones en la causa penal y su conversión en prueba de cargo»</w:t>
      </w:r>
      <w:hyperlink r:id="rId65" w:anchor="_ftn61" w:history="1">
        <w:r w:rsidRPr="006A356C">
          <w:rPr>
            <w:rStyle w:val="Hipervnculo"/>
            <w:rFonts w:ascii="Arial" w:hAnsi="Arial" w:cs="Arial"/>
            <w:color w:val="auto"/>
            <w:vertAlign w:val="superscript"/>
          </w:rPr>
          <w:t>[61]</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lastRenderedPageBreak/>
        <w:t>4. REQUISITOS EXIGIDOS PARA CONSIDERAR VÁLIDA UNA INTERVENCIÓN TELEFÓNICA</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El Art. 24 de la Constitución –reformado–, al establecer la posibilidad de intervenir las telecomunicaciones –y en el caso que nos ocupa, las comunicaciones telefónicas–, y consecuentemente limitar el derecho fundamental al secreto de las comunicaciones, regula una serie de requisitos –constitucionales– que se deben cumplir para autorizar dicha intervención y su eventual ejecución, y establece una obligación al legislador para regular exhaustiva y especialmente, mediante la creación </w:t>
      </w:r>
      <w:r w:rsidRPr="006A356C">
        <w:rPr>
          <w:rFonts w:ascii="Arial" w:hAnsi="Arial" w:cs="Arial"/>
          <w:i/>
          <w:iCs/>
          <w:color w:val="auto"/>
        </w:rPr>
        <w:t xml:space="preserve">a posteriori </w:t>
      </w:r>
      <w:r w:rsidRPr="006A356C">
        <w:rPr>
          <w:rFonts w:ascii="Arial" w:hAnsi="Arial" w:cs="Arial"/>
          <w:color w:val="auto"/>
        </w:rPr>
        <w:t xml:space="preserve">de una ley, dichos casos y su procedimiento –requisitos de legalidad ordinaria–.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Dado que, si bien es cierto la Constitución establece algunos requisitos para considerar válidas o legítimas la intervención de las telecomunicaciones, será a través de una ley especial que se regularán los casos de aplicación de la medida y su procedimiento, por lo que al tratarse de una ley de creación </w:t>
      </w:r>
      <w:r w:rsidRPr="006A356C">
        <w:rPr>
          <w:rFonts w:ascii="Arial" w:hAnsi="Arial" w:cs="Arial"/>
          <w:i/>
          <w:iCs/>
          <w:color w:val="auto"/>
        </w:rPr>
        <w:t>a posteriori</w:t>
      </w:r>
      <w:r w:rsidRPr="006A356C">
        <w:rPr>
          <w:rFonts w:ascii="Arial" w:hAnsi="Arial" w:cs="Arial"/>
          <w:color w:val="auto"/>
        </w:rPr>
        <w:t xml:space="preserve">, consideramos pertinente establecer o señalar los requisitos que deberá establecer dicha ley y que se deben cumplir al practicar las intervenciones de las telecomunicaciones, ya que en todos los casos en que se pretende restringir un derecho fundamental, se exigen una serie de requisitos que deberán cumplirse para que luego la diligencia no pueda ser tildada de prueba ilícita, por haber vulnerado o menoscabado derechos fundamentales.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Al respecto, es de tener en cuenta lo establecido por el Tribunal Europeo de Derechos Humanos, al señalar que cuando se trata de medidas secretas de vigilancia o de interceptación comunicaciones llevadas a cabo por las autoridades públicas, la exigencia de previsibilidad implica que el derecho interno debe manifestarse en términos lo suficientemente claros como para indicar a todos de una manera inteligible en qué circunstancias y bajo qué condiciones se habilita a los poderes públicos para adoptar semejantes medidas</w:t>
      </w:r>
      <w:hyperlink r:id="rId66" w:anchor="_ftn62" w:history="1">
        <w:r w:rsidRPr="006A356C">
          <w:rPr>
            <w:rStyle w:val="Hipervnculo"/>
            <w:rFonts w:ascii="Arial" w:hAnsi="Arial" w:cs="Arial"/>
            <w:color w:val="auto"/>
            <w:vertAlign w:val="superscript"/>
          </w:rPr>
          <w:t>[62]</w:t>
        </w:r>
      </w:hyperlink>
      <w:r w:rsidRPr="006A356C">
        <w:rPr>
          <w:rFonts w:ascii="Arial" w:hAnsi="Arial" w:cs="Arial"/>
          <w:color w:val="auto"/>
        </w:rPr>
        <w:t xml:space="preserve">, por lo que dicha previsibilidad debe ser lo suficientemente exhaustiva en la materia para evitar la arbitrariedad de los poderes que tienen encomendada esta función –de intervenir </w:t>
      </w:r>
      <w:r w:rsidRPr="006A356C">
        <w:rPr>
          <w:rFonts w:ascii="Arial" w:hAnsi="Arial" w:cs="Arial"/>
          <w:color w:val="auto"/>
        </w:rPr>
        <w:lastRenderedPageBreak/>
        <w:t>las telecomunicaciones–</w:t>
      </w:r>
      <w:hyperlink r:id="rId67" w:anchor="_ftn63" w:history="1">
        <w:r w:rsidRPr="006A356C">
          <w:rPr>
            <w:rStyle w:val="Hipervnculo"/>
            <w:rFonts w:ascii="Arial" w:hAnsi="Arial" w:cs="Arial"/>
            <w:color w:val="auto"/>
            <w:vertAlign w:val="superscript"/>
          </w:rPr>
          <w:t>[63]</w:t>
        </w:r>
      </w:hyperlink>
      <w:r w:rsidRPr="006A356C">
        <w:rPr>
          <w:rFonts w:ascii="Arial" w:hAnsi="Arial" w:cs="Arial"/>
          <w:color w:val="auto"/>
        </w:rPr>
        <w:t xml:space="preserve">, caso contrario, toda medida adoptada deberá considerarse violatoria del derecho al secreto de las comunicaciones.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En virtud de lo anterior, consideramos que los requisitos –tanto constitucionales como de legalidad ordinaria– que han de concurrir para la legitimidad y validez de las intervenciones telefónicas que determinan una injerencia en las comunicaciones personales y suprimen el secreto de las mismas, son</w:t>
      </w:r>
      <w:hyperlink r:id="rId68" w:anchor="_ftn64" w:history="1">
        <w:r w:rsidRPr="006A356C">
          <w:rPr>
            <w:rStyle w:val="Hipervnculo"/>
            <w:rFonts w:ascii="Arial" w:hAnsi="Arial" w:cs="Arial"/>
            <w:color w:val="auto"/>
            <w:vertAlign w:val="superscript"/>
          </w:rPr>
          <w:t>[64]</w:t>
        </w:r>
      </w:hyperlink>
      <w:r w:rsidRPr="006A356C">
        <w:rPr>
          <w:rFonts w:ascii="Arial" w:hAnsi="Arial" w:cs="Arial"/>
          <w:color w:val="auto"/>
        </w:rPr>
        <w:t xml:space="preserve"> –sin proceder en este momento a realizar un análisis pormenorizado de los mismos–: </w:t>
      </w:r>
    </w:p>
    <w:p w:rsidR="00C21A64" w:rsidRPr="006A356C" w:rsidRDefault="00C21A64" w:rsidP="00C21A64">
      <w:pPr>
        <w:spacing w:line="360" w:lineRule="auto"/>
        <w:ind w:left="720"/>
        <w:jc w:val="both"/>
        <w:rPr>
          <w:rFonts w:ascii="Arial" w:hAnsi="Arial" w:cs="Arial"/>
          <w:sz w:val="24"/>
          <w:szCs w:val="24"/>
        </w:rPr>
      </w:pPr>
      <w:r w:rsidRPr="006A356C">
        <w:rPr>
          <w:rFonts w:ascii="Arial" w:hAnsi="Arial" w:cs="Arial"/>
          <w:sz w:val="24"/>
          <w:szCs w:val="24"/>
        </w:rPr>
        <w:br/>
        <w:t>A) Legalidad</w:t>
      </w:r>
      <w:hyperlink r:id="rId69" w:anchor="_ftn65" w:history="1">
        <w:r w:rsidRPr="006A356C">
          <w:rPr>
            <w:rStyle w:val="Hipervnculo"/>
            <w:rFonts w:ascii="Arial" w:hAnsi="Arial" w:cs="Arial"/>
            <w:color w:val="auto"/>
            <w:sz w:val="24"/>
            <w:szCs w:val="24"/>
            <w:vertAlign w:val="superscript"/>
          </w:rPr>
          <w:t>[65]</w:t>
        </w:r>
      </w:hyperlink>
      <w:r w:rsidRPr="006A356C">
        <w:rPr>
          <w:rFonts w:ascii="Arial" w:hAnsi="Arial" w:cs="Arial"/>
          <w:sz w:val="24"/>
          <w:szCs w:val="24"/>
        </w:rPr>
        <w:t xml:space="preserve">, ya que toda injerencia de la autoridad en los derechos fundamentales de las personas debe estar prevista por la ley de manera suficiente y pormenorizada, con lo que la persona afectada por la medida no verá afectados sus derechos más allá de lo estrictamente necesario; podríamos decir, </w:t>
      </w:r>
      <w:r w:rsidRPr="006A356C">
        <w:rPr>
          <w:rFonts w:ascii="Arial" w:hAnsi="Arial" w:cs="Arial"/>
          <w:i/>
          <w:iCs/>
          <w:sz w:val="24"/>
          <w:szCs w:val="24"/>
        </w:rPr>
        <w:t>«nullum interventio sine praevia lege»</w:t>
      </w:r>
      <w:r w:rsidRPr="006A356C">
        <w:rPr>
          <w:rFonts w:ascii="Arial" w:hAnsi="Arial" w:cs="Arial"/>
          <w:sz w:val="24"/>
          <w:szCs w:val="24"/>
        </w:rPr>
        <w:t xml:space="preserve"> (no hay intervención sin ley previa). Consecuentemente, también debe existir el procedimiento para la aplicación de la medida restrictiva. </w:t>
      </w:r>
    </w:p>
    <w:p w:rsidR="00C21A64" w:rsidRPr="006A356C" w:rsidRDefault="00C21A64" w:rsidP="00C21A64">
      <w:pPr>
        <w:pStyle w:val="NormalWeb"/>
        <w:spacing w:line="360" w:lineRule="auto"/>
        <w:ind w:left="720"/>
        <w:jc w:val="both"/>
        <w:rPr>
          <w:rFonts w:ascii="Arial" w:hAnsi="Arial" w:cs="Arial"/>
          <w:color w:val="auto"/>
        </w:rPr>
      </w:pPr>
      <w:r w:rsidRPr="006A356C">
        <w:rPr>
          <w:rFonts w:ascii="Arial" w:hAnsi="Arial" w:cs="Arial"/>
          <w:color w:val="auto"/>
        </w:rPr>
        <w:t>B) La exclusividad jurisdiccional</w:t>
      </w:r>
      <w:hyperlink r:id="rId70" w:anchor="_ftn66" w:history="1">
        <w:r w:rsidRPr="006A356C">
          <w:rPr>
            <w:rStyle w:val="Hipervnculo"/>
            <w:rFonts w:ascii="Arial" w:hAnsi="Arial" w:cs="Arial"/>
            <w:color w:val="auto"/>
            <w:vertAlign w:val="superscript"/>
          </w:rPr>
          <w:t>[66]</w:t>
        </w:r>
      </w:hyperlink>
      <w:r w:rsidRPr="006A356C">
        <w:rPr>
          <w:rFonts w:ascii="Arial" w:hAnsi="Arial" w:cs="Arial"/>
          <w:color w:val="auto"/>
        </w:rPr>
        <w:t xml:space="preserve">, en el sentido de que únicamente la autoridad judicial puede establecer restricciones a los derechos fundamentales de las personas, particularmente y en el caso que nos ocupa, al derecho al secreto de las comunicaciones –relacionado, como ya se dijo, con el derecho a la intimidad–, ya que por medio de esta reserva se trata de evitar que medidas de tanta gravedad como la intervención de las telecomunicaciones, y que pueden afectar los seriamente derechos fundamentales de las personas, sean acordadas por autoridades no sujetas o vinculadas a los principios de independencia e imparcialidad. </w:t>
      </w:r>
    </w:p>
    <w:p w:rsidR="00C21A64" w:rsidRPr="006A356C" w:rsidRDefault="00C21A64" w:rsidP="00C21A64">
      <w:pPr>
        <w:pStyle w:val="NormalWeb"/>
        <w:spacing w:line="360" w:lineRule="auto"/>
        <w:ind w:left="720"/>
        <w:jc w:val="both"/>
        <w:rPr>
          <w:rFonts w:ascii="Arial" w:hAnsi="Arial" w:cs="Arial"/>
          <w:color w:val="auto"/>
        </w:rPr>
      </w:pPr>
      <w:r w:rsidRPr="006A356C">
        <w:rPr>
          <w:rFonts w:ascii="Arial" w:hAnsi="Arial" w:cs="Arial"/>
          <w:color w:val="auto"/>
        </w:rPr>
        <w:t>C) La existencia previa –objetiva– de indicios</w:t>
      </w:r>
      <w:hyperlink r:id="rId71" w:anchor="_ftn67" w:history="1">
        <w:r w:rsidRPr="006A356C">
          <w:rPr>
            <w:rStyle w:val="Hipervnculo"/>
            <w:rFonts w:ascii="Arial" w:hAnsi="Arial" w:cs="Arial"/>
            <w:color w:val="auto"/>
            <w:vertAlign w:val="superscript"/>
          </w:rPr>
          <w:t>[67]</w:t>
        </w:r>
      </w:hyperlink>
      <w:r w:rsidRPr="006A356C">
        <w:rPr>
          <w:rFonts w:ascii="Arial" w:hAnsi="Arial" w:cs="Arial"/>
          <w:color w:val="auto"/>
        </w:rPr>
        <w:t xml:space="preserve"> de la comisión de un delito y no meras sospechas irracionales o conjeturas, de tal modo que se cuente con información racional del hecho delictivo que se quiera comprobar y de la probabilidad de su existencia; es decir, que la solicitud de aplicación de la medida restrictiva de intervención de las telecomunicaciones debe ir </w:t>
      </w:r>
      <w:r w:rsidRPr="006A356C">
        <w:rPr>
          <w:rFonts w:ascii="Arial" w:hAnsi="Arial" w:cs="Arial"/>
          <w:color w:val="auto"/>
        </w:rPr>
        <w:lastRenderedPageBreak/>
        <w:t>sustentada en una previa investigación en relación con determinado delito o partícipes de tal hecho delictivo, pues las simples sospechas irracionales no son suficientes para justificar la petición, debiéndose aportar los datos, indicios racionales, pruebas y cualquier otro elemento válido que le permita al juez establecer la necesidad de la medida</w:t>
      </w:r>
      <w:hyperlink r:id="rId72" w:anchor="_ftn68" w:history="1">
        <w:r w:rsidRPr="006A356C">
          <w:rPr>
            <w:rStyle w:val="Hipervnculo"/>
            <w:rFonts w:ascii="Arial" w:hAnsi="Arial" w:cs="Arial"/>
            <w:color w:val="auto"/>
            <w:vertAlign w:val="superscript"/>
          </w:rPr>
          <w:t>[68]</w:t>
        </w:r>
      </w:hyperlink>
      <w:r w:rsidRPr="006A356C">
        <w:rPr>
          <w:rFonts w:ascii="Arial" w:hAnsi="Arial" w:cs="Arial"/>
          <w:color w:val="auto"/>
        </w:rPr>
        <w:t xml:space="preserve">. </w:t>
      </w:r>
    </w:p>
    <w:p w:rsidR="00C21A64" w:rsidRPr="006A356C" w:rsidRDefault="00C21A64" w:rsidP="00C21A64">
      <w:pPr>
        <w:spacing w:line="360" w:lineRule="auto"/>
        <w:ind w:left="1440"/>
        <w:jc w:val="both"/>
        <w:rPr>
          <w:rFonts w:ascii="Arial" w:hAnsi="Arial" w:cs="Arial"/>
          <w:sz w:val="24"/>
          <w:szCs w:val="24"/>
        </w:rPr>
      </w:pPr>
      <w:r w:rsidRPr="006A356C">
        <w:rPr>
          <w:rFonts w:ascii="Arial" w:hAnsi="Arial" w:cs="Arial"/>
          <w:sz w:val="24"/>
          <w:szCs w:val="24"/>
        </w:rPr>
        <w:br/>
        <w:t>Resulta de vital importancia aclarar que la concurrencia de indicios o sospechas objetivas y racionales impide categóricamente la adopción de la injerencia con una finalidad prospectiva o general de averiguación de delitos, en el sentido de que el secreto de las comunicaciones no puede ser desvelado para satisfacer la necesidad genérica de prevenir o descubrir delitos, o para despejar las sospechas sin base objetiva que surjan en la mente de los encargados de la investigación penal, por más legítima que sea esta aspiración, pues de otro modo se desvanecería la garantía constitucional</w:t>
      </w:r>
      <w:hyperlink r:id="rId73" w:anchor="_ftn69" w:history="1">
        <w:r w:rsidRPr="006A356C">
          <w:rPr>
            <w:rStyle w:val="Hipervnculo"/>
            <w:rFonts w:ascii="Arial" w:hAnsi="Arial" w:cs="Arial"/>
            <w:color w:val="auto"/>
            <w:sz w:val="24"/>
            <w:szCs w:val="24"/>
            <w:vertAlign w:val="superscript"/>
          </w:rPr>
          <w:t>[69]</w:t>
        </w:r>
      </w:hyperlink>
      <w:r w:rsidRPr="006A356C">
        <w:rPr>
          <w:rFonts w:ascii="Arial" w:hAnsi="Arial" w:cs="Arial"/>
          <w:sz w:val="24"/>
          <w:szCs w:val="24"/>
        </w:rPr>
        <w:t>.</w:t>
      </w:r>
    </w:p>
    <w:p w:rsidR="00C21A64" w:rsidRPr="006A356C" w:rsidRDefault="00C21A64" w:rsidP="00C21A64">
      <w:pPr>
        <w:spacing w:line="360" w:lineRule="auto"/>
        <w:ind w:left="720"/>
        <w:jc w:val="both"/>
        <w:rPr>
          <w:rFonts w:ascii="Arial" w:hAnsi="Arial" w:cs="Arial"/>
          <w:sz w:val="24"/>
          <w:szCs w:val="24"/>
        </w:rPr>
      </w:pPr>
      <w:r w:rsidRPr="006A356C">
        <w:rPr>
          <w:rFonts w:ascii="Arial" w:hAnsi="Arial" w:cs="Arial"/>
          <w:sz w:val="24"/>
          <w:szCs w:val="24"/>
        </w:rPr>
        <w:br/>
        <w:t>D) Motivación de las resoluciones judiciales</w:t>
      </w:r>
      <w:hyperlink r:id="rId74" w:anchor="_ftn70" w:history="1">
        <w:r w:rsidRPr="006A356C">
          <w:rPr>
            <w:rStyle w:val="Hipervnculo"/>
            <w:rFonts w:ascii="Arial" w:hAnsi="Arial" w:cs="Arial"/>
            <w:color w:val="auto"/>
            <w:sz w:val="24"/>
            <w:szCs w:val="24"/>
            <w:vertAlign w:val="superscript"/>
          </w:rPr>
          <w:t>[70]</w:t>
        </w:r>
      </w:hyperlink>
      <w:r w:rsidRPr="006A356C">
        <w:rPr>
          <w:rFonts w:ascii="Arial" w:hAnsi="Arial" w:cs="Arial"/>
          <w:sz w:val="24"/>
          <w:szCs w:val="24"/>
        </w:rPr>
        <w:t xml:space="preserve"> que autorizan la intervención de las telecomunicaciones, ya que a través de ella se explica a las partes afectadas por su resolución las razones de ésta, posibilitando la impugnación de la decisión y evitando la inseguridad jurídica producto de la arbitrariedad judicial. La motivación es un riguroso requisito para el sacrificio y restricción en casos concretos de derechos fundamentales reconocidos en la Constitución, y cuya importancia exige del Juez una explicación razonada y razonable de acuerdo con la Ley y los principios constitucionales, y en la cual encontrarán lugar la explicitación de los indicios sobre cuya base la medida se adopte. </w:t>
      </w:r>
    </w:p>
    <w:p w:rsidR="00C21A64" w:rsidRPr="006A356C" w:rsidRDefault="00C21A64" w:rsidP="00C21A64">
      <w:pPr>
        <w:pStyle w:val="NormalWeb"/>
        <w:spacing w:line="360" w:lineRule="auto"/>
        <w:ind w:left="720"/>
        <w:jc w:val="both"/>
        <w:rPr>
          <w:rFonts w:ascii="Arial" w:hAnsi="Arial" w:cs="Arial"/>
          <w:color w:val="auto"/>
        </w:rPr>
      </w:pPr>
      <w:r w:rsidRPr="006A356C">
        <w:rPr>
          <w:rFonts w:ascii="Arial" w:hAnsi="Arial" w:cs="Arial"/>
          <w:color w:val="auto"/>
        </w:rPr>
        <w:t>E) La proporcionalidad</w:t>
      </w:r>
      <w:hyperlink r:id="rId75" w:anchor="_ftn71" w:history="1">
        <w:r w:rsidRPr="006A356C">
          <w:rPr>
            <w:rStyle w:val="Hipervnculo"/>
            <w:rFonts w:ascii="Arial" w:hAnsi="Arial" w:cs="Arial"/>
            <w:color w:val="auto"/>
            <w:vertAlign w:val="superscript"/>
          </w:rPr>
          <w:t>[71]</w:t>
        </w:r>
      </w:hyperlink>
      <w:r w:rsidRPr="006A356C">
        <w:rPr>
          <w:rFonts w:ascii="Arial" w:hAnsi="Arial" w:cs="Arial"/>
          <w:color w:val="auto"/>
        </w:rPr>
        <w:t xml:space="preserve"> de las medidas restrictivas de derechos fundamentales, en particular, del derecho al secreto de las comunicaciones </w:t>
      </w:r>
      <w:r w:rsidRPr="006A356C">
        <w:rPr>
          <w:rFonts w:ascii="Arial" w:hAnsi="Arial" w:cs="Arial"/>
          <w:color w:val="auto"/>
        </w:rPr>
        <w:lastRenderedPageBreak/>
        <w:t xml:space="preserve">y a la intimidad, ya que sólo habrá de adoptarse en el caso de delitos en los que las circunstancias que concurran y la importancia de la trascendencia social del hecho delictivo aconsejen la adopción de la misma, de tal manera que la restricción en el caso concreto del principio garantizador sea proporcionada a la finalidad legítima perseguida; es decir, que en cualquier proceso de limitación de derechos fundamentales tiene que existir una ponderación de los derechos e intereses en conflicto del modo menos gravoso para la libertad, lo que implica justificar la limitación de un derecho en función de otro que en el caso concreto ha de prevalecer, que es lo que se entiende, se dirá, por proporcionalidad en sentido estricto. </w:t>
      </w:r>
    </w:p>
    <w:p w:rsidR="00C21A64" w:rsidRPr="006A356C" w:rsidRDefault="00C21A64" w:rsidP="00C21A64">
      <w:pPr>
        <w:pStyle w:val="NormalWeb"/>
        <w:spacing w:line="360" w:lineRule="auto"/>
        <w:ind w:left="720"/>
        <w:jc w:val="both"/>
        <w:rPr>
          <w:rFonts w:ascii="Arial" w:hAnsi="Arial" w:cs="Arial"/>
          <w:color w:val="auto"/>
        </w:rPr>
      </w:pPr>
      <w:r w:rsidRPr="006A356C">
        <w:rPr>
          <w:rFonts w:ascii="Arial" w:hAnsi="Arial" w:cs="Arial"/>
          <w:color w:val="auto"/>
        </w:rPr>
        <w:t>F) La excepcionalidad de la medida</w:t>
      </w:r>
      <w:hyperlink r:id="rId76" w:anchor="_ftn72" w:history="1">
        <w:r w:rsidRPr="006A356C">
          <w:rPr>
            <w:rStyle w:val="Hipervnculo"/>
            <w:rFonts w:ascii="Arial" w:hAnsi="Arial" w:cs="Arial"/>
            <w:color w:val="auto"/>
            <w:vertAlign w:val="superscript"/>
          </w:rPr>
          <w:t>[72]</w:t>
        </w:r>
      </w:hyperlink>
      <w:r w:rsidRPr="006A356C">
        <w:rPr>
          <w:rFonts w:ascii="Arial" w:hAnsi="Arial" w:cs="Arial"/>
          <w:color w:val="auto"/>
        </w:rPr>
        <w:t xml:space="preserve">, es decir que sólo habrá de adoptarse cuando no exista otro medio de investigación del delito, que sea de menor incidencia y causación de daños sobre los derechos y libertades fundamentales del individuo que los que inciden sobre la intimidad personal y el secreto de las comunicaciones. </w:t>
      </w:r>
    </w:p>
    <w:p w:rsidR="00C21A64" w:rsidRPr="006A356C" w:rsidRDefault="00C21A64" w:rsidP="00C21A64">
      <w:pPr>
        <w:pStyle w:val="NormalWeb"/>
        <w:spacing w:line="360" w:lineRule="auto"/>
        <w:ind w:left="720"/>
        <w:jc w:val="both"/>
        <w:rPr>
          <w:rFonts w:ascii="Arial" w:hAnsi="Arial" w:cs="Arial"/>
          <w:color w:val="auto"/>
        </w:rPr>
      </w:pPr>
      <w:r w:rsidRPr="006A356C">
        <w:rPr>
          <w:rFonts w:ascii="Arial" w:hAnsi="Arial" w:cs="Arial"/>
          <w:color w:val="auto"/>
        </w:rPr>
        <w:t xml:space="preserve">G) La limitación temporal de la utilización de las intervenciones de las telecomunicaciones, es decir que la Ley debe establecer los períodos en que se autoriza la práctica de la intervención, los cuales no deben ser desproporcionados, ya que no puede autorizar una medida restrictiva de un derecho fundamental de manera indefinida o excesiva; por lo tanto, es necesario que el legislador establezca un plazo de duración máximo durante el cual puede mantenerse legítimamente la intervención, precisar los momentos de inicio y duración de su computo, así como la posibilidad de su prórroga, por un número limitado, y su correspondiente plazo, en determinados supuestos que las razones de la investigación pueden aconsejar la ampliación del plazo ordinario para garantizar el éxito de la misma, pero que no deben conllevar una ampliación excesiva del plazo inicialmente previsto para la duración de la medida, por lo se deberá efectuar una nueva valoración de los presupuestos  y circunstancias que induzcan su adopción. </w:t>
      </w:r>
    </w:p>
    <w:p w:rsidR="00C21A64" w:rsidRPr="006A356C" w:rsidRDefault="00C21A64" w:rsidP="00C21A64">
      <w:pPr>
        <w:pStyle w:val="NormalWeb"/>
        <w:spacing w:line="360" w:lineRule="auto"/>
        <w:ind w:left="720"/>
        <w:jc w:val="both"/>
        <w:rPr>
          <w:rFonts w:ascii="Arial" w:hAnsi="Arial" w:cs="Arial"/>
          <w:color w:val="auto"/>
        </w:rPr>
      </w:pPr>
      <w:r w:rsidRPr="006A356C">
        <w:rPr>
          <w:rFonts w:ascii="Arial" w:hAnsi="Arial" w:cs="Arial"/>
          <w:color w:val="auto"/>
        </w:rPr>
        <w:lastRenderedPageBreak/>
        <w:t>H) La especialidad del hecho delictivo que se investigue, es decir, que no cabe decretar una intervención de las telecomunicaciones o en su caso, telefónica, para tratar de descubrir de manera general e indiscriminada todos o cualquier hecho delictivo, sino que su aplicación debe limitarse a delitos de especial gravedad o delitos con trascendencia social –siendo conscientes de los problemas que se originan, al constituir éstos conceptos indeterminados–</w:t>
      </w:r>
      <w:hyperlink r:id="rId77" w:anchor="_ftn73" w:history="1">
        <w:r w:rsidRPr="006A356C">
          <w:rPr>
            <w:rStyle w:val="Hipervnculo"/>
            <w:rFonts w:ascii="Arial" w:hAnsi="Arial" w:cs="Arial"/>
            <w:color w:val="auto"/>
            <w:vertAlign w:val="superscript"/>
          </w:rPr>
          <w:t>[73]</w:t>
        </w:r>
      </w:hyperlink>
      <w:r w:rsidRPr="006A356C">
        <w:rPr>
          <w:rFonts w:ascii="Arial" w:hAnsi="Arial" w:cs="Arial"/>
          <w:color w:val="auto"/>
        </w:rPr>
        <w:t>. Es por ello, que consideramos que, a efecto de colmar las exigencias constitucionales de seguridad jurídica</w:t>
      </w:r>
      <w:hyperlink r:id="rId78" w:anchor="_ftn74" w:history="1">
        <w:r w:rsidRPr="006A356C">
          <w:rPr>
            <w:rStyle w:val="Hipervnculo"/>
            <w:rFonts w:ascii="Arial" w:hAnsi="Arial" w:cs="Arial"/>
            <w:color w:val="auto"/>
            <w:vertAlign w:val="superscript"/>
          </w:rPr>
          <w:t>[74]</w:t>
        </w:r>
      </w:hyperlink>
      <w:r w:rsidRPr="006A356C">
        <w:rPr>
          <w:rFonts w:ascii="Arial" w:hAnsi="Arial" w:cs="Arial"/>
          <w:color w:val="auto"/>
        </w:rPr>
        <w:t xml:space="preserve"> y legalidad, la ley especial que regule la intervención de las telecomunicaciones deberá establecer «expresa y claramente», por lo menos, un criterio cualitativo o de listado de delitos graves o con trascendencia social por los que se podría autorizar la práctica de dicha medida restrictiva, o un criterio cuantitativo que pueda atender a la necesidad de la intervención según el </w:t>
      </w:r>
      <w:r w:rsidRPr="006A356C">
        <w:rPr>
          <w:rFonts w:ascii="Arial" w:hAnsi="Arial" w:cs="Arial"/>
          <w:i/>
          <w:iCs/>
          <w:color w:val="auto"/>
        </w:rPr>
        <w:t>quantum</w:t>
      </w:r>
      <w:r w:rsidRPr="006A356C">
        <w:rPr>
          <w:rFonts w:ascii="Arial" w:hAnsi="Arial" w:cs="Arial"/>
          <w:color w:val="auto"/>
        </w:rPr>
        <w:t xml:space="preserve"> de pena a imponer por el delito imputado</w:t>
      </w:r>
      <w:hyperlink r:id="rId79" w:anchor="_ftn75" w:history="1">
        <w:r w:rsidRPr="006A356C">
          <w:rPr>
            <w:rStyle w:val="Hipervnculo"/>
            <w:rFonts w:ascii="Arial" w:hAnsi="Arial" w:cs="Arial"/>
            <w:color w:val="auto"/>
            <w:vertAlign w:val="superscript"/>
          </w:rPr>
          <w:t>[75]</w:t>
        </w:r>
      </w:hyperlink>
      <w:r w:rsidRPr="006A356C">
        <w:rPr>
          <w:rFonts w:ascii="Arial" w:hAnsi="Arial" w:cs="Arial"/>
          <w:color w:val="auto"/>
        </w:rPr>
        <w:t xml:space="preserve">. </w:t>
      </w:r>
    </w:p>
    <w:p w:rsidR="00C21A64" w:rsidRPr="006A356C" w:rsidRDefault="00C21A64" w:rsidP="00C21A64">
      <w:pPr>
        <w:pStyle w:val="NormalWeb"/>
        <w:spacing w:line="360" w:lineRule="auto"/>
        <w:ind w:left="720"/>
        <w:jc w:val="both"/>
        <w:rPr>
          <w:rFonts w:ascii="Arial" w:hAnsi="Arial" w:cs="Arial"/>
          <w:color w:val="auto"/>
        </w:rPr>
      </w:pPr>
      <w:r w:rsidRPr="006A356C">
        <w:rPr>
          <w:rFonts w:ascii="Arial" w:hAnsi="Arial" w:cs="Arial"/>
          <w:color w:val="auto"/>
        </w:rPr>
        <w:t>I) La exigencia de control judicial</w:t>
      </w:r>
      <w:hyperlink r:id="rId80" w:anchor="_ftn76" w:history="1">
        <w:r w:rsidRPr="006A356C">
          <w:rPr>
            <w:rStyle w:val="Hipervnculo"/>
            <w:rFonts w:ascii="Arial" w:hAnsi="Arial" w:cs="Arial"/>
            <w:color w:val="auto"/>
            <w:vertAlign w:val="superscript"/>
          </w:rPr>
          <w:t>[76]</w:t>
        </w:r>
      </w:hyperlink>
      <w:r w:rsidRPr="006A356C">
        <w:rPr>
          <w:rFonts w:ascii="Arial" w:hAnsi="Arial" w:cs="Arial"/>
          <w:color w:val="auto"/>
        </w:rPr>
        <w:t xml:space="preserve"> en la ordenación, desarrollo y cese de la medida de intervención. Dicho control judicial implica: a) Que, en la medida de lo posible, se designen los funcionarios a los que se encomienda la práctica de las escuchas, o exista un control, a posteriori, de qué funcionario la ha realizado; b) Que la medida deberá recaer únicamente sobre los teléfonos de las personas indiciariamente implicadas, ya sean los titulares de los teléfonos o sus usuarios habituales, lo cuales deben ser expresamente determinados –los sujetos pasivos</w:t>
      </w:r>
      <w:hyperlink r:id="rId81" w:anchor="_ftn77" w:history="1">
        <w:r w:rsidRPr="006A356C">
          <w:rPr>
            <w:rStyle w:val="Hipervnculo"/>
            <w:rFonts w:ascii="Arial" w:hAnsi="Arial" w:cs="Arial"/>
            <w:color w:val="auto"/>
            <w:vertAlign w:val="superscript"/>
          </w:rPr>
          <w:t>[77]</w:t>
        </w:r>
      </w:hyperlink>
      <w:r w:rsidRPr="006A356C">
        <w:rPr>
          <w:rFonts w:ascii="Arial" w:hAnsi="Arial" w:cs="Arial"/>
          <w:color w:val="auto"/>
        </w:rPr>
        <w:t xml:space="preserve">, detallando sus nombres si es posible, y los números de teléfonos a intervenir–; c) Que se señale un plazo en el cual se deba dar cuenta de la marcha de las investigaciones realizadas, a efecto de corroborar si se debe continuar o no con la medida restrictiva; d) Que las grabaciones originales o soportes obtenidos de la intervención telefónica se entreguen a la autoridad judicial, íntegramente, sin que puedan admitirse previas manipulaciones o selecciones de su contenido; e) Que las cintas originales se conserven por parte de la autoridad judicial, con la posibilidad de su audición con presencia de las partes interesadas; y, f) La destrucción de los soportes </w:t>
      </w:r>
      <w:r w:rsidRPr="006A356C">
        <w:rPr>
          <w:rFonts w:ascii="Arial" w:hAnsi="Arial" w:cs="Arial"/>
          <w:color w:val="auto"/>
        </w:rPr>
        <w:lastRenderedPageBreak/>
        <w:t>físicos o material grabado –cintas magnetofónicas o casete, e incluso de las transcripciones realizadas–, la cual debe ser ordenada por la autoridad judicial competente una vez finalizado el proceso penal mediante sentencia firme, máxime tras un sobreseimiento o una absolución, con la finalidad de evitar posibles abusos, ya sea por las autoridades o por las partes intervinientes, pues su contenido puede afectar a las personas intervenidas.</w:t>
      </w:r>
    </w:p>
    <w:p w:rsidR="00C21A64" w:rsidRPr="006A356C" w:rsidRDefault="00C21A64" w:rsidP="00C21A64">
      <w:pPr>
        <w:spacing w:line="360" w:lineRule="auto"/>
        <w:jc w:val="both"/>
        <w:rPr>
          <w:rFonts w:ascii="Arial" w:hAnsi="Arial" w:cs="Arial"/>
          <w:sz w:val="24"/>
          <w:szCs w:val="24"/>
        </w:rPr>
      </w:pPr>
      <w:r w:rsidRPr="006A356C">
        <w:rPr>
          <w:rFonts w:ascii="Arial" w:hAnsi="Arial" w:cs="Arial"/>
          <w:sz w:val="24"/>
          <w:szCs w:val="24"/>
        </w:rPr>
        <w:br/>
        <w:t xml:space="preserve">Asimismo, el Art. 24 inciso 4° de la Constitución también establece requisitos que deberá contener la posterior ley especial, pero los cuales no son requisitos de validez de las intervenciones de las telecomunicaciones; dichos requisitos son: deberá regular los informes periódicos a la Asamblea Legislativa –aunque hasta este momento desconocemos quién deberá rendir dicho informe, qué se deberá informar y con qué finalidad–, y las responsabilidades y sanciones administrativas, civiles y penales en que incurrirán los funcionarios que apliquen ilegalmente esta medida excepcional –vale aclarar que el Art. 24 inciso 3° Cn., establece una sanción grave para los funcionarios que incurran en violación de dicha disposición al señalar que se procederá a la </w:t>
      </w:r>
      <w:r w:rsidRPr="006A356C">
        <w:rPr>
          <w:rFonts w:ascii="Arial" w:hAnsi="Arial" w:cs="Arial"/>
          <w:i/>
          <w:iCs/>
          <w:sz w:val="24"/>
          <w:szCs w:val="24"/>
        </w:rPr>
        <w:t>destitución inmediata de su cargo y dará lugar a la indemnización por los daños y perjuicios ocasionados</w:t>
      </w:r>
      <w:r w:rsidRPr="006A356C">
        <w:rPr>
          <w:rFonts w:ascii="Arial" w:hAnsi="Arial" w:cs="Arial"/>
          <w:sz w:val="24"/>
          <w:szCs w:val="24"/>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En definitiva, la futura legislación sobre la medida de intervención de las telecomunicaciones deberá recoger una serie de garantías y presupuestos para su adopción y ejecución, que tiendan principalmente a otorgar protección dentro de lo posible al individuo que ve su derecho fundamental limitado, sin olvidar su finalidad investigadora.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t>5. EFECTOS DEL INCUMPLIMIENTO DE LOS REQUISITOS DE VALIDEZ DE LAS INTERVENCIONES TELEFÓNICAS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Si bien no pretendemos realizar un análisis detallado respecto a los efectos del incumplimiento de los requisitos de validez de la medida particular de intervención </w:t>
      </w:r>
      <w:r w:rsidRPr="006A356C">
        <w:rPr>
          <w:rFonts w:ascii="Arial" w:hAnsi="Arial" w:cs="Arial"/>
          <w:color w:val="auto"/>
        </w:rPr>
        <w:lastRenderedPageBreak/>
        <w:t xml:space="preserve">telefónica –y de las telecomunicaciones en general–, vale señalar que de conformidad al art. 15 del Código Procesal Penal vigente –o de conformidad al Art. 175 del Código Procesal Penal Aprobado (D.L. Nº 733, del 22 de octubre de 2008, publicado en el D.O. Nº 20, Tomo Nº 382, del 30 de enero de 2009), en </w:t>
      </w:r>
      <w:r w:rsidRPr="006A356C">
        <w:rPr>
          <w:rFonts w:ascii="Arial" w:hAnsi="Arial" w:cs="Arial"/>
          <w:i/>
          <w:iCs/>
          <w:color w:val="auto"/>
        </w:rPr>
        <w:t>vacatio legis</w:t>
      </w:r>
      <w:r w:rsidRPr="006A356C">
        <w:rPr>
          <w:rFonts w:ascii="Arial" w:hAnsi="Arial" w:cs="Arial"/>
          <w:color w:val="auto"/>
        </w:rPr>
        <w:t>–, se considera que el incumplimiento o vulneración de un requisito de validez constitucional supone que la fuente de prueba se ha obtenido ilícitamente, es decir, con la violación de un derecho fundamental, por lo que su consecuencia es que esa fuente de prueba no surtirá efecto en el proceso mediante la declaratoria de nulidad absoluta de la misma (es la denominada «prueba ilícita»</w:t>
      </w:r>
      <w:hyperlink r:id="rId82" w:anchor="_ftn78" w:history="1">
        <w:r w:rsidRPr="006A356C">
          <w:rPr>
            <w:rStyle w:val="Hipervnculo"/>
            <w:rFonts w:ascii="Arial" w:hAnsi="Arial" w:cs="Arial"/>
            <w:color w:val="auto"/>
            <w:vertAlign w:val="superscript"/>
          </w:rPr>
          <w:t>[78]</w:t>
        </w:r>
      </w:hyperlink>
      <w:r w:rsidRPr="006A356C">
        <w:rPr>
          <w:rFonts w:ascii="Arial" w:hAnsi="Arial" w:cs="Arial"/>
          <w:color w:val="auto"/>
        </w:rPr>
        <w:t xml:space="preserve">); cuando la vulneración se refiere a un requisito de validez establecido en la legalidad ordinaria, supone sólo que la obtención e/o incorporación de la fuente de prueba al proceso se ha producido de manera no prevista por la ley, es decir, vulnerando el procedimiento establecido para tales efectos, por lo que, consecuentemente y </w:t>
      </w:r>
      <w:r w:rsidRPr="006A356C">
        <w:rPr>
          <w:rFonts w:ascii="Arial" w:hAnsi="Arial" w:cs="Arial"/>
          <w:i/>
          <w:iCs/>
          <w:color w:val="auto"/>
        </w:rPr>
        <w:t>prima facie</w:t>
      </w:r>
      <w:r w:rsidRPr="006A356C">
        <w:rPr>
          <w:rFonts w:ascii="Arial" w:hAnsi="Arial" w:cs="Arial"/>
          <w:color w:val="auto"/>
        </w:rPr>
        <w:t>, esa fuente no debería ser valorada (es la denominada «prueba irregular»</w:t>
      </w:r>
      <w:hyperlink r:id="rId83" w:anchor="_ftn79" w:history="1">
        <w:r w:rsidRPr="006A356C">
          <w:rPr>
            <w:rStyle w:val="Hipervnculo"/>
            <w:rFonts w:ascii="Arial" w:hAnsi="Arial" w:cs="Arial"/>
            <w:color w:val="auto"/>
            <w:vertAlign w:val="superscript"/>
          </w:rPr>
          <w:t>[79]</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Asimismo, a efecto de complementar y aclarar lo anterior respecto a los requisitos de legalidad constitucional y legalidad ordinaria, y en concordancia con el apartado número 4 del presente trabajo, resulta pertinente lo establecido por el Tribunal Supremo Español al manifestar que «esta Sala tiene ya elaborada una consistente y homogénea doctrina en cuanto a los requisitos de las intervenciones telefónicas tanto para evitar la infracción del derecho al secreto de las comunicaciones constitucionalmente garantizado, como las que han de reunirse para que puedan ser acogidas como prueba. Para la derogación en casos concretos de la regla general de protección del secreto de las intervenciones telefónicas se precisa que esté </w:t>
      </w:r>
      <w:r w:rsidRPr="006A356C">
        <w:rPr>
          <w:rFonts w:ascii="Arial" w:hAnsi="Arial" w:cs="Arial"/>
          <w:i/>
          <w:iCs/>
          <w:color w:val="auto"/>
        </w:rPr>
        <w:t>prevista legalmente</w:t>
      </w:r>
      <w:r w:rsidRPr="006A356C">
        <w:rPr>
          <w:rFonts w:ascii="Arial" w:hAnsi="Arial" w:cs="Arial"/>
          <w:color w:val="auto"/>
        </w:rPr>
        <w:t xml:space="preserve"> y que constituya una necesidad para la protección de intereses colectivos o generales como son la seguridad nacional y pública, la defensa del orden y la protección de derechos y libertades de los ciudadanos. Además, y de conformidad con la exigencia que expresa el artículo 18.3 de la Constitución, ha de ser </w:t>
      </w:r>
      <w:r w:rsidRPr="006A356C">
        <w:rPr>
          <w:rFonts w:ascii="Arial" w:hAnsi="Arial" w:cs="Arial"/>
          <w:i/>
          <w:iCs/>
          <w:color w:val="auto"/>
        </w:rPr>
        <w:t>acordada en todo caso judicialmente</w:t>
      </w:r>
      <w:r w:rsidRPr="006A356C">
        <w:rPr>
          <w:rFonts w:ascii="Arial" w:hAnsi="Arial" w:cs="Arial"/>
          <w:color w:val="auto"/>
        </w:rPr>
        <w:t xml:space="preserve"> y con una finalidad exclusiva de descubrir la existencia de delito y quienes sean las personas responsables del mismo. Deben </w:t>
      </w:r>
      <w:r w:rsidRPr="006A356C">
        <w:rPr>
          <w:rFonts w:ascii="Arial" w:hAnsi="Arial" w:cs="Arial"/>
          <w:i/>
          <w:iCs/>
          <w:color w:val="auto"/>
        </w:rPr>
        <w:t xml:space="preserve">acotarse con precisión los teléfonos sobre los que </w:t>
      </w:r>
      <w:r w:rsidRPr="006A356C">
        <w:rPr>
          <w:rFonts w:ascii="Arial" w:hAnsi="Arial" w:cs="Arial"/>
          <w:i/>
          <w:iCs/>
          <w:color w:val="auto"/>
        </w:rPr>
        <w:lastRenderedPageBreak/>
        <w:t>recaiga la intervención</w:t>
      </w:r>
      <w:r w:rsidRPr="006A356C">
        <w:rPr>
          <w:rFonts w:ascii="Arial" w:hAnsi="Arial" w:cs="Arial"/>
          <w:color w:val="auto"/>
        </w:rPr>
        <w:t xml:space="preserve">, que habrán de ser los de las personas que puedan aparecer indiciariamente implicadas o de los que se sirvan habitualmente. La medida ha de ser </w:t>
      </w:r>
      <w:r w:rsidRPr="006A356C">
        <w:rPr>
          <w:rFonts w:ascii="Arial" w:hAnsi="Arial" w:cs="Arial"/>
          <w:i/>
          <w:iCs/>
          <w:color w:val="auto"/>
        </w:rPr>
        <w:t>excepcional</w:t>
      </w:r>
      <w:r w:rsidRPr="006A356C">
        <w:rPr>
          <w:rFonts w:ascii="Arial" w:hAnsi="Arial" w:cs="Arial"/>
          <w:color w:val="auto"/>
        </w:rPr>
        <w:t xml:space="preserve"> en el sentido de que habrá de recurrirse a ella cuando no haya otro medio de investigación menos lesivo de los derechos individuales, </w:t>
      </w:r>
      <w:r w:rsidRPr="006A356C">
        <w:rPr>
          <w:rFonts w:ascii="Arial" w:hAnsi="Arial" w:cs="Arial"/>
          <w:i/>
          <w:iCs/>
          <w:color w:val="auto"/>
        </w:rPr>
        <w:t>proporcionada</w:t>
      </w:r>
      <w:r w:rsidRPr="006A356C">
        <w:rPr>
          <w:rFonts w:ascii="Arial" w:hAnsi="Arial" w:cs="Arial"/>
          <w:color w:val="auto"/>
        </w:rPr>
        <w:t xml:space="preserve"> a la gravedad de los hechos cuya averiguación se pretende, </w:t>
      </w:r>
      <w:r w:rsidRPr="006A356C">
        <w:rPr>
          <w:rFonts w:ascii="Arial" w:hAnsi="Arial" w:cs="Arial"/>
          <w:i/>
          <w:iCs/>
          <w:color w:val="auto"/>
        </w:rPr>
        <w:t>temporalmente limitada</w:t>
      </w:r>
      <w:r w:rsidRPr="006A356C">
        <w:rPr>
          <w:rFonts w:ascii="Arial" w:hAnsi="Arial" w:cs="Arial"/>
          <w:color w:val="auto"/>
        </w:rPr>
        <w:t xml:space="preserve"> sin que pueda admitirse intervenciones indefinidas o de duración excesiva, </w:t>
      </w:r>
      <w:r w:rsidRPr="006A356C">
        <w:rPr>
          <w:rFonts w:ascii="Arial" w:hAnsi="Arial" w:cs="Arial"/>
          <w:i/>
          <w:iCs/>
          <w:color w:val="auto"/>
        </w:rPr>
        <w:t>expresiva del delito concreto que se trata de descubrir</w:t>
      </w:r>
      <w:r w:rsidRPr="006A356C">
        <w:rPr>
          <w:rFonts w:ascii="Arial" w:hAnsi="Arial" w:cs="Arial"/>
          <w:color w:val="auto"/>
        </w:rPr>
        <w:t xml:space="preserve"> siendo inadmisible las que se encaminen a una averiguación indiscriminada de delitos, </w:t>
      </w:r>
      <w:r w:rsidRPr="006A356C">
        <w:rPr>
          <w:rFonts w:ascii="Arial" w:hAnsi="Arial" w:cs="Arial"/>
          <w:i/>
          <w:iCs/>
          <w:color w:val="auto"/>
        </w:rPr>
        <w:t>acordada en un procedimiento de investigación criminal o determinadora de su inicio</w:t>
      </w:r>
      <w:r w:rsidRPr="006A356C">
        <w:rPr>
          <w:rFonts w:ascii="Arial" w:hAnsi="Arial" w:cs="Arial"/>
          <w:color w:val="auto"/>
        </w:rPr>
        <w:t xml:space="preserve">, basarse imprescindiblemente en </w:t>
      </w:r>
      <w:r w:rsidRPr="006A356C">
        <w:rPr>
          <w:rFonts w:ascii="Arial" w:hAnsi="Arial" w:cs="Arial"/>
          <w:i/>
          <w:iCs/>
          <w:color w:val="auto"/>
        </w:rPr>
        <w:t>verdaderos indicios</w:t>
      </w:r>
      <w:r w:rsidRPr="006A356C">
        <w:rPr>
          <w:rFonts w:ascii="Arial" w:hAnsi="Arial" w:cs="Arial"/>
          <w:color w:val="auto"/>
        </w:rPr>
        <w:t xml:space="preserve"> que permitan, aun cuando no sean datos exhaustivos, afirmar se cuenta con noticia racional de la existencia de delito, no bastando meras sospechas o conjeturas, y acordarse por </w:t>
      </w:r>
      <w:r w:rsidRPr="006A356C">
        <w:rPr>
          <w:rFonts w:ascii="Arial" w:hAnsi="Arial" w:cs="Arial"/>
          <w:i/>
          <w:iCs/>
          <w:color w:val="auto"/>
        </w:rPr>
        <w:t>resolución motivada</w:t>
      </w:r>
      <w:r w:rsidRPr="006A356C">
        <w:rPr>
          <w:rFonts w:ascii="Arial" w:hAnsi="Arial" w:cs="Arial"/>
          <w:color w:val="auto"/>
        </w:rPr>
        <w:t xml:space="preserve"> que se refiera a las circunstancias concretas del caso en que la supresión de la protección constitucional se acuerde (sentencias de 22 de Julio, 19 de Octubre y 20 de Diciembre de 1.996 y 22 de Enero, 4 y 25 de Febrero, 30 de Marzo, 12 de Abril, 8 y 26 de Mayo y 26 de Junio de 1.997). </w:t>
      </w:r>
      <w:r w:rsidRPr="006A356C">
        <w:rPr>
          <w:rFonts w:ascii="Arial" w:hAnsi="Arial" w:cs="Arial"/>
          <w:i/>
          <w:iCs/>
          <w:color w:val="auto"/>
        </w:rPr>
        <w:t>Con el cumplimiento escrupuloso de anteriores requisitos se evita la infracción del derecho constitucionalmente garantizado</w:t>
      </w:r>
      <w:r w:rsidRPr="006A356C">
        <w:rPr>
          <w:rFonts w:ascii="Arial" w:hAnsi="Arial" w:cs="Arial"/>
          <w:color w:val="auto"/>
        </w:rPr>
        <w:t xml:space="preserve">, y se consigue obviar la falta de validez de toda prueba que directa o indirectamente de las escuchas derivara (artículo 11.1 de la Ley Orgánica del Poder Judicial). </w:t>
      </w:r>
      <w:r w:rsidRPr="006A356C">
        <w:rPr>
          <w:rFonts w:ascii="Arial" w:hAnsi="Arial" w:cs="Arial"/>
          <w:i/>
          <w:iCs/>
          <w:color w:val="auto"/>
        </w:rPr>
        <w:t>Pero se requieren otras exigencias de legalidad ordinaria para que los resultados de las escuchas telefónicas puedan llenar una finalidad probatoria y, entre ellas, fundamentalmente las referentes al control judicial de su puesta en práctica</w:t>
      </w:r>
      <w:r w:rsidRPr="006A356C">
        <w:rPr>
          <w:rFonts w:ascii="Arial" w:hAnsi="Arial" w:cs="Arial"/>
          <w:color w:val="auto"/>
        </w:rPr>
        <w:t>…»</w:t>
      </w:r>
      <w:hyperlink r:id="rId84" w:anchor="_ftn80" w:history="1">
        <w:r w:rsidRPr="006A356C">
          <w:rPr>
            <w:rStyle w:val="Hipervnculo"/>
            <w:rFonts w:ascii="Arial" w:hAnsi="Arial" w:cs="Arial"/>
            <w:color w:val="auto"/>
            <w:vertAlign w:val="superscript"/>
          </w:rPr>
          <w:t>[80]</w:t>
        </w:r>
      </w:hyperlink>
      <w:r w:rsidRPr="006A356C">
        <w:rPr>
          <w:rFonts w:ascii="Arial" w:hAnsi="Arial" w:cs="Arial"/>
          <w:color w:val="auto"/>
        </w:rPr>
        <w:t xml:space="preserve"> (las cursivas son nuestras).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De lo anterior, se puede concluir que cuando la intervención de las telecomunicaciones, en particular de las comunicaciones telefónicas, se realice con incumplimiento de los requisitos de legalidad ordinaria, se tratará de una «prueba irregular», y cuando se realice con incumplimiento de los requisitos de legalidad, constitucional, se tratará de una «prueba ilícita».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Así las cosas, resulta importante señalar respecto a la «prueba irregular», que si bien es cierto en principio consideramos que no debería valorarse, de conformidad a lo regulado en el inciso 7° del Art. 15 del Código Procesal Penal, se establece que sí puede valorarse como un indicio de acuerdo a las reglas de la sana crítica</w:t>
      </w:r>
      <w:hyperlink r:id="rId85" w:anchor="_ftn81" w:history="1">
        <w:r w:rsidRPr="006A356C">
          <w:rPr>
            <w:rStyle w:val="Hipervnculo"/>
            <w:rFonts w:ascii="Arial" w:hAnsi="Arial" w:cs="Arial"/>
            <w:color w:val="auto"/>
            <w:vertAlign w:val="superscript"/>
          </w:rPr>
          <w:t>[81]</w:t>
        </w:r>
      </w:hyperlink>
      <w:r w:rsidRPr="006A356C">
        <w:rPr>
          <w:rFonts w:ascii="Arial" w:hAnsi="Arial" w:cs="Arial"/>
          <w:color w:val="auto"/>
        </w:rPr>
        <w:t>. Esto implica que para poder valorar las intervenciones telefónicas –o en general de las telecomunicaciones– existe la necesidad de cumplir con los requisitos que se exigen para la valoración de los indicios, es decir, que exista pluralidad de indicios, que los mismos se encuentren plenamente probados, que se trate de indicios periféricos o concomitantes con respecto al hecho que se pretende probar, y que se trate de indicios interrelacionados entre sí, con convergencia conjunta hacia el hecho que ha de resultar probado</w:t>
      </w:r>
      <w:hyperlink r:id="rId86" w:anchor="_ftn82" w:history="1">
        <w:r w:rsidRPr="006A356C">
          <w:rPr>
            <w:rStyle w:val="Hipervnculo"/>
            <w:rFonts w:ascii="Arial" w:hAnsi="Arial" w:cs="Arial"/>
            <w:color w:val="auto"/>
            <w:vertAlign w:val="superscript"/>
          </w:rPr>
          <w:t>[82]</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Por el contrario, respecto a la «prueba ilícita», al ser obtenida o practicada con vulneración a derechos fundamentales, ésta se excluye de valoración</w:t>
      </w:r>
      <w:hyperlink r:id="rId87" w:anchor="_ftn83" w:history="1">
        <w:r w:rsidRPr="006A356C">
          <w:rPr>
            <w:rStyle w:val="Hipervnculo"/>
            <w:rFonts w:ascii="Arial" w:hAnsi="Arial" w:cs="Arial"/>
            <w:color w:val="auto"/>
            <w:vertAlign w:val="superscript"/>
          </w:rPr>
          <w:t>[83]</w:t>
        </w:r>
      </w:hyperlink>
      <w:r w:rsidRPr="006A356C">
        <w:rPr>
          <w:rFonts w:ascii="Arial" w:hAnsi="Arial" w:cs="Arial"/>
          <w:color w:val="auto"/>
        </w:rPr>
        <w:t>, ya que a efecto de que dichos derechos sean verdaderos límites en la actividad de investigación del Estado –a través de sus distintas instituciones–, no basta con que  una prueba sea considerada ilícita, por lo que es necesario establecer que dicha prueba no puede ser valorada dentro del proceso penal y debe ser excluida del mismo; es decir, que la violación a un derecho fundamental en los supuestos de obtención y/o práctica de prueba, implica la aplicación de la Regla de Exclusión</w:t>
      </w:r>
      <w:hyperlink r:id="rId88" w:anchor="_ftn84" w:history="1">
        <w:r w:rsidRPr="006A356C">
          <w:rPr>
            <w:rStyle w:val="Hipervnculo"/>
            <w:rFonts w:ascii="Arial" w:hAnsi="Arial" w:cs="Arial"/>
            <w:color w:val="auto"/>
            <w:vertAlign w:val="superscript"/>
          </w:rPr>
          <w:t>[84]</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Consideramos que a ello se refiere el Art. 24 inciso 2° –</w:t>
      </w:r>
      <w:r w:rsidRPr="006A356C">
        <w:rPr>
          <w:rFonts w:ascii="Arial" w:hAnsi="Arial" w:cs="Arial"/>
          <w:i/>
          <w:iCs/>
          <w:color w:val="auto"/>
        </w:rPr>
        <w:t>in fine</w:t>
      </w:r>
      <w:r w:rsidRPr="006A356C">
        <w:rPr>
          <w:rFonts w:ascii="Arial" w:hAnsi="Arial" w:cs="Arial"/>
          <w:color w:val="auto"/>
        </w:rPr>
        <w:t>– de la Constitución, cuando establece que «la información proveniente de una intervención ilegal carecerá de valor»; en primer lugar, porque «la prohibición de la admisión de la prueba ilícita no requiere regulación legislativa expresa sino que deriva directamente de la Constitución»</w:t>
      </w:r>
      <w:hyperlink r:id="rId89" w:anchor="_ftn85" w:history="1">
        <w:r w:rsidRPr="006A356C">
          <w:rPr>
            <w:rStyle w:val="Hipervnculo"/>
            <w:rFonts w:ascii="Arial" w:hAnsi="Arial" w:cs="Arial"/>
            <w:i/>
            <w:iCs/>
            <w:color w:val="auto"/>
            <w:vertAlign w:val="superscript"/>
          </w:rPr>
          <w:t>[85]</w:t>
        </w:r>
      </w:hyperlink>
      <w:r w:rsidRPr="006A356C">
        <w:rPr>
          <w:rFonts w:ascii="Arial" w:hAnsi="Arial" w:cs="Arial"/>
          <w:color w:val="auto"/>
        </w:rPr>
        <w:t>, ya que la exclusión de valoración de la prueba ilícita es una situación que emana de la naturaleza intrínseca de los derechos fundamentales, es decir, se origina de la posición preferente</w:t>
      </w:r>
      <w:hyperlink r:id="rId90" w:anchor="_ftn86" w:history="1">
        <w:r w:rsidRPr="006A356C">
          <w:rPr>
            <w:rStyle w:val="Hipervnculo"/>
            <w:rFonts w:ascii="Arial" w:hAnsi="Arial" w:cs="Arial"/>
            <w:color w:val="auto"/>
            <w:vertAlign w:val="superscript"/>
          </w:rPr>
          <w:t>[86]</w:t>
        </w:r>
      </w:hyperlink>
      <w:r w:rsidRPr="006A356C">
        <w:rPr>
          <w:rFonts w:ascii="Arial" w:hAnsi="Arial" w:cs="Arial"/>
          <w:color w:val="auto"/>
        </w:rPr>
        <w:t xml:space="preserve"> que tienen los derechos fundamentales respecto de los actos de investigación y prueba dentro del proceso penal; y, en segundo lugar,  porque «la exclusión de la prueba ilícita supone la imposibilidad de admitirla y valorarla; o sea su inutilizabilidad en el </w:t>
      </w:r>
      <w:r w:rsidRPr="006A356C">
        <w:rPr>
          <w:rFonts w:ascii="Arial" w:hAnsi="Arial" w:cs="Arial"/>
          <w:color w:val="auto"/>
        </w:rPr>
        <w:lastRenderedPageBreak/>
        <w:t>proceso, o si se quiere, su nulidad. Pero la prueba ilícita es sólo un supuesto particular de prueba nula, porque nula puede ser también la prueba obtenida violentando otras reglas institucionales de adquisición de la prueba. En todo caso es evidente que esta importante regla de exclusión de prueba merma las posibilidades de averiguación de la verdad en el proceso. De hecho, la exclusión de prueba ilícita es reflejo de una ideología jurídica comprometida con los derechos fundamentales y en virtud de la cual -como suele decirse- “la verdad no puede ser obtenida a cualquier precio”»</w:t>
      </w:r>
      <w:hyperlink r:id="rId91" w:anchor="_ftn87" w:history="1">
        <w:r w:rsidRPr="006A356C">
          <w:rPr>
            <w:rStyle w:val="Hipervnculo"/>
            <w:rFonts w:ascii="Arial" w:hAnsi="Arial" w:cs="Arial"/>
            <w:color w:val="auto"/>
            <w:vertAlign w:val="superscript"/>
          </w:rPr>
          <w:t>[87]</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Es evidente que cualquier prueba obtenida con violación a los derechos fundamentales no puede surtir efecto alguno, por lo tanto, la regla de exclusión abarca tanto a las pruebas directamente obtenidas del acto lesivo de dichos derechos, como a las pruebas indirectamente obtenidas, es decir, aquellas que pueden ser lícitas en su obtención pero que se originan en el acto lesivo de derechos fundamentales (esto es el denominado efecto reflejo de la prueba ilícita)</w:t>
      </w:r>
      <w:hyperlink r:id="rId92" w:anchor="_ftn88" w:history="1">
        <w:r w:rsidRPr="006A356C">
          <w:rPr>
            <w:rStyle w:val="Hipervnculo"/>
            <w:rFonts w:ascii="Arial" w:hAnsi="Arial" w:cs="Arial"/>
            <w:color w:val="auto"/>
            <w:vertAlign w:val="superscript"/>
          </w:rPr>
          <w:t>[88]</w:t>
        </w:r>
      </w:hyperlink>
      <w:r w:rsidRPr="006A356C">
        <w:rPr>
          <w:rFonts w:ascii="Arial" w:hAnsi="Arial" w:cs="Arial"/>
          <w:color w:val="auto"/>
        </w:rPr>
        <w:t>, ya que la prohibición de prueba ilícita tiene como finalidad «otorgar, en el ámbito de los procesos jurisdiccionales, el máximo de protección a los derechos fundamentales constitucionalmente garantizados y, al mismo tiempo, en el ámbito específico del proceso penal, ejercer un efecto disuasor de conductas anticonstitucionales en los agentes encargados de la investigación criminal»</w:t>
      </w:r>
      <w:hyperlink r:id="rId93" w:anchor="_ftn89" w:history="1">
        <w:r w:rsidRPr="006A356C">
          <w:rPr>
            <w:rStyle w:val="Hipervnculo"/>
            <w:rFonts w:ascii="Arial" w:hAnsi="Arial" w:cs="Arial"/>
            <w:color w:val="auto"/>
            <w:vertAlign w:val="superscript"/>
          </w:rPr>
          <w:t>[89]</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En concordancia con lo anterior, la Sala de lo Constitucional ha manifestado que «todo elemento probatorio producido o recabado mediante actuaciones –provenientes de una autoridad o de un particular– que generen detrimento a las categorías jurídicas de orden constitucional, tiene el carácter de prohibida, y trae aparejadas dos consecuencias: la primera, es la conocida regla de exclusión, según la cual no pueden introducirse en el proceso elementos materiales, hechos o declaraciones realizadas vulnerando derechos constitucionales; y la segunda, es el efecto reflejo de la prueba prohibida, mediante el cual se establece que los elementos de prueba obtenidos legalmente, pero derivados de una prueba recabada violentando la Constitución, estarán contaminados con la violación originaria; así, tal prueba está viciada en su origen y por tanto, prohibida su </w:t>
      </w:r>
      <w:r w:rsidRPr="006A356C">
        <w:rPr>
          <w:rFonts w:ascii="Arial" w:hAnsi="Arial" w:cs="Arial"/>
          <w:color w:val="auto"/>
        </w:rPr>
        <w:lastRenderedPageBreak/>
        <w:t>utilización y valoración. Lo anterior en esencia supone que en sede judicial debe rechazarse cualquier elemento en cuyo origen o producción, se haya infringido lo dispuesto en el texto constitucional»</w:t>
      </w:r>
      <w:hyperlink r:id="rId94" w:anchor="_ftn90" w:history="1">
        <w:r w:rsidRPr="006A356C">
          <w:rPr>
            <w:rStyle w:val="Hipervnculo"/>
            <w:rFonts w:ascii="Arial" w:hAnsi="Arial" w:cs="Arial"/>
            <w:color w:val="auto"/>
            <w:vertAlign w:val="superscript"/>
          </w:rPr>
          <w:t>[90]</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Finalmente, y no obstante lo anteriormente mencionado, es pertinente dejar constancia que nuestro Código Procesal Penal vigente establece en su Art. 15 inciso 2° ciertos supuestos que posibilitan la introducción y posterior valoración en el proceso de una prueba ilícita de manera excepcional; dichas excepciones a la regla de exclusión son: la buena fe</w:t>
      </w:r>
      <w:hyperlink r:id="rId95" w:anchor="_ftn91" w:history="1">
        <w:r w:rsidRPr="006A356C">
          <w:rPr>
            <w:rStyle w:val="Hipervnculo"/>
            <w:rFonts w:ascii="Arial" w:hAnsi="Arial" w:cs="Arial"/>
            <w:color w:val="auto"/>
            <w:vertAlign w:val="superscript"/>
          </w:rPr>
          <w:t>[91]</w:t>
        </w:r>
      </w:hyperlink>
      <w:r w:rsidRPr="006A356C">
        <w:rPr>
          <w:rFonts w:ascii="Arial" w:hAnsi="Arial" w:cs="Arial"/>
          <w:color w:val="auto"/>
        </w:rPr>
        <w:t xml:space="preserve"> –que afecta a la prueba directa–, el hallazgo inevitable</w:t>
      </w:r>
      <w:hyperlink r:id="rId96" w:anchor="_ftn92" w:history="1">
        <w:r w:rsidRPr="006A356C">
          <w:rPr>
            <w:rStyle w:val="Hipervnculo"/>
            <w:rFonts w:ascii="Arial" w:hAnsi="Arial" w:cs="Arial"/>
            <w:color w:val="auto"/>
            <w:vertAlign w:val="superscript"/>
          </w:rPr>
          <w:t>[92]</w:t>
        </w:r>
      </w:hyperlink>
      <w:r w:rsidRPr="006A356C">
        <w:rPr>
          <w:rFonts w:ascii="Arial" w:hAnsi="Arial" w:cs="Arial"/>
          <w:color w:val="auto"/>
        </w:rPr>
        <w:t xml:space="preserve"> y/o la existencia de una fuente independiente</w:t>
      </w:r>
      <w:hyperlink r:id="rId97" w:anchor="_ftn93" w:history="1">
        <w:r w:rsidRPr="006A356C">
          <w:rPr>
            <w:rStyle w:val="Hipervnculo"/>
            <w:rFonts w:ascii="Arial" w:hAnsi="Arial" w:cs="Arial"/>
            <w:color w:val="auto"/>
            <w:vertAlign w:val="superscript"/>
          </w:rPr>
          <w:t>[93]</w:t>
        </w:r>
      </w:hyperlink>
      <w:r w:rsidRPr="006A356C">
        <w:rPr>
          <w:rFonts w:ascii="Arial" w:hAnsi="Arial" w:cs="Arial"/>
          <w:color w:val="auto"/>
        </w:rPr>
        <w:t xml:space="preserve"> –los cuales afectan a las pruebas derivadas– (dichos supuestos excepcionales se mantienen regulados y sin modificaciones en el Art. 175 inciso 2° del Código Procesal Penal Aprobado, actualmente en </w:t>
      </w:r>
      <w:r w:rsidRPr="006A356C">
        <w:rPr>
          <w:rFonts w:ascii="Arial" w:hAnsi="Arial" w:cs="Arial"/>
          <w:i/>
          <w:iCs/>
          <w:color w:val="auto"/>
        </w:rPr>
        <w:t>vacatio legis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Al respecto, coincidimos con la opinión de Marina Gascón al manifestar que «en la medida en que la regla de exclusión de la prueba ilícitamente obtenida es una auténtica garantía constitucional de la eficacia de los derechos fundamentales, cualquier intento de articular excepciones a la misma constituye una agresión al sistema de protección de los derechos; [con dichas excepciones]se logra dar primacía al interés público en la represión de la criminalidad y en el mantenimiento de la paz social sobre el reconocimiento de plena eficacia de los derechos constitucionales. Pero esto está en perfecta contradicción con un modelo procesal-constitucional comprometido con la defensa de los derechos; un modelo en virtud del cual –ya se dijo- “la verdad no puede perseguirse a cualquier precio”»</w:t>
      </w:r>
      <w:hyperlink r:id="rId98" w:anchor="_ftn94" w:history="1">
        <w:r w:rsidRPr="006A356C">
          <w:rPr>
            <w:rStyle w:val="Hipervnculo"/>
            <w:rFonts w:ascii="Arial" w:hAnsi="Arial" w:cs="Arial"/>
            <w:color w:val="auto"/>
            <w:vertAlign w:val="superscript"/>
          </w:rPr>
          <w:t>[94]</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t>6. CONCLUSIONES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Producto de la reforma del Art. 24 de la Constitución se configura la permisión de intervenir las telecomunicaciones de manera excepcional, previa autorización judicial y temporalmente, constituyendo las comunicaciones telefónicas una especie del género telecomunicaciones.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 xml:space="preserve">Dicha «intervención telefónica» es un medio instrumental, mediante el cual se limita temporalmente el derecho fundamental al secreto de las comunicaciones, a través del registro y grabación de las conversaciones telefónicas de un imputado u otros sujetos con el que éste se relacione, lo cual es ordenado por el juez competente mediante resolución motivada, en relación con un hecho punible de especial gravedad o complejidad, con la finalidad de investigar dichos delitos y/o recabar prueba en relación con el hecho delictivo y la participación de su autor.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Asimismo, el Art. 24 de la Constitución –reformado– regula una serie de requisitos –constitucionales– que se deben cumplir para autorizar dicha intervención y su eventual ejecución, y establece una obligación al legislador para regular exhaustiva y especialmente, mediante la creación </w:t>
      </w:r>
      <w:r w:rsidRPr="006A356C">
        <w:rPr>
          <w:rFonts w:ascii="Arial" w:hAnsi="Arial" w:cs="Arial"/>
          <w:i/>
          <w:iCs/>
          <w:color w:val="auto"/>
        </w:rPr>
        <w:t xml:space="preserve">a posteriori </w:t>
      </w:r>
      <w:r w:rsidRPr="006A356C">
        <w:rPr>
          <w:rFonts w:ascii="Arial" w:hAnsi="Arial" w:cs="Arial"/>
          <w:color w:val="auto"/>
        </w:rPr>
        <w:t xml:space="preserve">de una ley, dichos casos y su procedimiento –requisitos de legalidad ordinaria–. Dicha ley deberá establecer o señalar los requisitos que se deben cumplir al practicar las intervenciones de las telecomunicaciones, ya que en todos los casos en que se pretende restringir un derecho fundamental, se exigen una serie de requisitos que deberán cumplirse para que luego la diligencia no pueda ser tildada como prueba ilícita, por haber vulnerado o menoscabado derechos fundamentales, o como prueba irregular, por haber vulnerado los requisitos procedimentales de legalidad ordinaria.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Es por ello que el Art. 24 inciso 2° –</w:t>
      </w:r>
      <w:r w:rsidRPr="006A356C">
        <w:rPr>
          <w:rFonts w:ascii="Arial" w:hAnsi="Arial" w:cs="Arial"/>
          <w:i/>
          <w:iCs/>
          <w:color w:val="auto"/>
        </w:rPr>
        <w:t>in fine</w:t>
      </w:r>
      <w:r w:rsidRPr="006A356C">
        <w:rPr>
          <w:rFonts w:ascii="Arial" w:hAnsi="Arial" w:cs="Arial"/>
          <w:color w:val="auto"/>
        </w:rPr>
        <w:t xml:space="preserve">– de la Constitución, establece que «la información proveniente de una intervención ilegal carecerá de valor».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Los requisitos –tanto constitucionales como de legalidad ordinaria– que han de concurrir para la legitimidad y validez de las intervenciones telefónicas que determinan una injerencia en las comunicaciones personales y suprimen el secreto de las mismas, son: A) Legalidad; B) La exclusividad jurisdiccional; C) La existencia previa –objetiva– de indicios de la comisión de un delito y no meras sospechas irracionales o conjeturas; D) Motivación de las resoluciones judiciales que autorizan la intervención de las telecomunicaciones; E) La proporcionalidad de las medidas restrictivas de derechos fundamentales, en particular, del derecho al </w:t>
      </w:r>
      <w:r w:rsidRPr="006A356C">
        <w:rPr>
          <w:rFonts w:ascii="Arial" w:hAnsi="Arial" w:cs="Arial"/>
          <w:color w:val="auto"/>
        </w:rPr>
        <w:lastRenderedPageBreak/>
        <w:t xml:space="preserve">secreto de las comunicaciones y a la intimidad; F) La excepcionalidad de la medida; G) La limitación temporal de la utilización de las intervenciones de las telecomunicaciones; H) La especialidad del hecho delictivo que se investigue; e, I) La exigencia de control judicial.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El Art. 24 inciso 4° de la Constitución también establece requisitos que deberá contener la posterior ley especial, pero los cuales no son requisitos de validez de las intervenciones de las telecomunicaciones; dichos requisitos son: deberá regular los informes periódicos a la Asamblea Legislativa –aunque hasta este momento desconocemos quién deberá rendir dicho informe, qué se deberá informar y con qué finalidad–, y las responsabilidades y sanciones administrativas, civiles y penales en que incurrirán los funcionarios que apliquen ilegalmente esta medida excepcional –vale aclarar que el Art. 24 inciso 3° Cn., establece una sanción grave para los funcionarios que incurran en violación de dicha disposición al señalar que se procederá a la </w:t>
      </w:r>
      <w:r w:rsidRPr="006A356C">
        <w:rPr>
          <w:rFonts w:ascii="Arial" w:hAnsi="Arial" w:cs="Arial"/>
          <w:i/>
          <w:iCs/>
          <w:color w:val="auto"/>
        </w:rPr>
        <w:t>destitución inmediata de su cargo y dará lugar a la indemnización por los daños y perjuicios ocasionados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En definitiva, la futura legislación sobre la medida de intervención de las telecomunicaciones deberá recoger una serie de garantías y presupuestos para su adopción y ejecución, que tiendan principalmente a otorgar protección dentro de lo posible al individuo que ve su derecho fundamental limitado, sin olvidar su finalidad investigadora, ya que «no puede ser eficaz la limitación de los derechos de todos los ciudadanos para contener el poder punitivo que se ejerce sobre estos mismos ciudadanos[…]si se legitima esa lesión a los derechos de todos los ciudadanos, se concede al poder la facultad de establecer hasta qué medida será necesario limitar los derechos para ejercer un poder que está en sus propias manos. De ese modo, el estado de derecho habrá sido abolido»</w:t>
      </w:r>
      <w:hyperlink r:id="rId99" w:anchor="_ftn95" w:history="1">
        <w:r w:rsidRPr="006A356C">
          <w:rPr>
            <w:rStyle w:val="Hipervnculo"/>
            <w:rFonts w:ascii="Arial" w:hAnsi="Arial" w:cs="Arial"/>
            <w:color w:val="auto"/>
            <w:vertAlign w:val="superscript"/>
          </w:rPr>
          <w:t>[95]</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Finalmente, somos conscientes que las intervenciones de las telecomunicaciones constituyen una novedad en nuestro ordenamiento jurídico, sobre la cual se deben realizar todos los estudios y análisis que se estimen convenientes, pues el presente trabajo no estaba dotado de una pretensión de exhaustividad y/o </w:t>
      </w:r>
      <w:r w:rsidRPr="006A356C">
        <w:rPr>
          <w:rFonts w:ascii="Arial" w:hAnsi="Arial" w:cs="Arial"/>
          <w:color w:val="auto"/>
        </w:rPr>
        <w:lastRenderedPageBreak/>
        <w:t xml:space="preserve">agotamiento del mismo; por el contrario, pretende incentivar la investigación de dicha medida restrictiva del derecho fundamental al secreto de las comunicaciones, a fin de lograr el establecimiento de una adecuada regulación procedimental, garantizando la protección de las personas que resulten afectadas por su aplicación.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b/>
          <w:bCs/>
          <w:color w:val="auto"/>
        </w:rPr>
        <w:t>7. BIBLIOGRAFÍA</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LIBROS Y REVISTAS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AGUIAR DE LUQUE, Luis, </w:t>
      </w:r>
      <w:r w:rsidRPr="006A356C">
        <w:rPr>
          <w:rFonts w:ascii="Arial" w:hAnsi="Arial" w:cs="Arial"/>
          <w:i/>
          <w:iCs/>
          <w:color w:val="auto"/>
        </w:rPr>
        <w:t>«Los Limites de los Derechos Fundamentales»</w:t>
      </w:r>
      <w:r w:rsidRPr="006A356C">
        <w:rPr>
          <w:rFonts w:ascii="Arial" w:hAnsi="Arial" w:cs="Arial"/>
          <w:color w:val="auto"/>
        </w:rPr>
        <w:t xml:space="preserve">, en Revista del Centro de Estudios Constitucionales, número 14, Enero-Abril 1993, España.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AGUILÓ REGLA, Josep, </w:t>
      </w:r>
      <w:r w:rsidRPr="006A356C">
        <w:rPr>
          <w:rFonts w:ascii="Arial" w:hAnsi="Arial" w:cs="Arial"/>
          <w:i/>
          <w:iCs/>
          <w:color w:val="auto"/>
        </w:rPr>
        <w:t>«Cuatro pares de concepciones opuestas de Constitución»</w:t>
      </w:r>
      <w:r w:rsidRPr="006A356C">
        <w:rPr>
          <w:rFonts w:ascii="Arial" w:hAnsi="Arial" w:cs="Arial"/>
          <w:color w:val="auto"/>
        </w:rPr>
        <w:t xml:space="preserve">, en </w:t>
      </w:r>
      <w:r w:rsidRPr="006A356C">
        <w:rPr>
          <w:rFonts w:ascii="Arial" w:hAnsi="Arial" w:cs="Arial"/>
          <w:i/>
          <w:iCs/>
          <w:color w:val="auto"/>
        </w:rPr>
        <w:t>«Fragmentos para una teoría de la Constitución»</w:t>
      </w:r>
      <w:r w:rsidRPr="006A356C">
        <w:rPr>
          <w:rFonts w:ascii="Arial" w:hAnsi="Arial" w:cs="Arial"/>
          <w:color w:val="auto"/>
        </w:rPr>
        <w:t xml:space="preserve">, Josep Aguiló Regla, Manuel Atienza y Juan Ruiz Manero, Editorial Iustel, España, 2007.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AGUILÓ REGLA, Josep, </w:t>
      </w:r>
      <w:r w:rsidRPr="006A356C">
        <w:rPr>
          <w:rFonts w:ascii="Arial" w:hAnsi="Arial" w:cs="Arial"/>
          <w:i/>
          <w:iCs/>
          <w:color w:val="auto"/>
        </w:rPr>
        <w:t>«La Constitución del Estado Constitucional»</w:t>
      </w:r>
      <w:r w:rsidRPr="006A356C">
        <w:rPr>
          <w:rFonts w:ascii="Arial" w:hAnsi="Arial" w:cs="Arial"/>
          <w:color w:val="auto"/>
        </w:rPr>
        <w:t xml:space="preserve">, Colección Pensamiento Jurídico Contemporáneo, Editorial Palestra y Editorial Temis, Lima-Bogotá, 2004.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ALARCÓN CABRERA, Carlos, </w:t>
      </w:r>
      <w:r w:rsidRPr="006A356C">
        <w:rPr>
          <w:rFonts w:ascii="Arial" w:hAnsi="Arial" w:cs="Arial"/>
          <w:i/>
          <w:iCs/>
          <w:color w:val="auto"/>
        </w:rPr>
        <w:t>«</w:t>
      </w:r>
      <w:hyperlink r:id="rId100" w:history="1">
        <w:r w:rsidRPr="006A356C">
          <w:rPr>
            <w:rStyle w:val="Hipervnculo"/>
            <w:rFonts w:ascii="Arial" w:hAnsi="Arial" w:cs="Arial"/>
            <w:i/>
            <w:iCs/>
            <w:color w:val="auto"/>
          </w:rPr>
          <w:t>Las lógicas deónticas de Georg Henrik von Wright</w:t>
        </w:r>
      </w:hyperlink>
      <w:r w:rsidRPr="006A356C">
        <w:rPr>
          <w:rFonts w:ascii="Arial" w:hAnsi="Arial" w:cs="Arial"/>
          <w:i/>
          <w:iCs/>
          <w:color w:val="auto"/>
        </w:rPr>
        <w:t>»</w:t>
      </w:r>
      <w:r w:rsidRPr="006A356C">
        <w:rPr>
          <w:rFonts w:ascii="Arial" w:hAnsi="Arial" w:cs="Arial"/>
          <w:color w:val="auto"/>
        </w:rPr>
        <w:t xml:space="preserve">, en DOXA. Cuadernos de Filosofía del Derecho n° 26, Universidad de Alicante, España, 2003.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ALEXY, Robert, «</w:t>
      </w:r>
      <w:r w:rsidRPr="006A356C">
        <w:rPr>
          <w:rFonts w:ascii="Arial" w:hAnsi="Arial" w:cs="Arial"/>
          <w:i/>
          <w:iCs/>
          <w:color w:val="auto"/>
        </w:rPr>
        <w:t xml:space="preserve">Teoría de los Derechos Fundamentales», </w:t>
      </w:r>
      <w:r w:rsidRPr="006A356C">
        <w:rPr>
          <w:rFonts w:ascii="Arial" w:hAnsi="Arial" w:cs="Arial"/>
          <w:color w:val="auto"/>
        </w:rPr>
        <w:t xml:space="preserve">Traducción y Estudio introductorio de Carlos Bernal Pulido, 2ª Edición en Castellano, Centro de Estudios Políticos y Constitucionales, Madrid, 2007.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 xml:space="preserve">ALEXY, Robert, </w:t>
      </w:r>
      <w:r w:rsidRPr="006A356C">
        <w:rPr>
          <w:rFonts w:ascii="Arial" w:hAnsi="Arial" w:cs="Arial"/>
          <w:i/>
          <w:iCs/>
          <w:color w:val="auto"/>
        </w:rPr>
        <w:t>«Tres escritos sobre los derechos fundamentales y la teoría de los principios»</w:t>
      </w:r>
      <w:r w:rsidRPr="006A356C">
        <w:rPr>
          <w:rFonts w:ascii="Arial" w:hAnsi="Arial" w:cs="Arial"/>
          <w:color w:val="auto"/>
        </w:rPr>
        <w:t xml:space="preserve">, Presentación y Traducción de Carlos Bernal Pulido, Serie de Teoría Jurídica y Filosofía del Derecho N° 28, Universidad Externado de Colombia, 2003.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ARAGÓN REYES, Manuel, «</w:t>
      </w:r>
      <w:r w:rsidRPr="006A356C">
        <w:rPr>
          <w:rFonts w:ascii="Arial" w:hAnsi="Arial" w:cs="Arial"/>
          <w:i/>
          <w:iCs/>
          <w:color w:val="auto"/>
        </w:rPr>
        <w:t>La Constitución como Paradigma »</w:t>
      </w:r>
      <w:r w:rsidRPr="006A356C">
        <w:rPr>
          <w:rFonts w:ascii="Arial" w:hAnsi="Arial" w:cs="Arial"/>
          <w:color w:val="auto"/>
        </w:rPr>
        <w:t>, en « </w:t>
      </w:r>
      <w:r w:rsidRPr="006A356C">
        <w:rPr>
          <w:rFonts w:ascii="Arial" w:hAnsi="Arial" w:cs="Arial"/>
          <w:i/>
          <w:iCs/>
          <w:color w:val="auto"/>
        </w:rPr>
        <w:t>Teoría del Neoconstitucionalismo. Ensayos Escogidos»</w:t>
      </w:r>
      <w:r w:rsidRPr="006A356C">
        <w:rPr>
          <w:rFonts w:ascii="Arial" w:hAnsi="Arial" w:cs="Arial"/>
          <w:color w:val="auto"/>
        </w:rPr>
        <w:t xml:space="preserve">, Edición de Miguel Carbonell, Editorial Trotta, España, 2007.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ATIENZA, Manuel, </w:t>
      </w:r>
      <w:r w:rsidRPr="006A356C">
        <w:rPr>
          <w:rFonts w:ascii="Arial" w:hAnsi="Arial" w:cs="Arial"/>
          <w:i/>
          <w:iCs/>
          <w:color w:val="auto"/>
        </w:rPr>
        <w:t>«El Derecho como Argumentación»</w:t>
      </w:r>
      <w:r w:rsidRPr="006A356C">
        <w:rPr>
          <w:rFonts w:ascii="Arial" w:hAnsi="Arial" w:cs="Arial"/>
          <w:color w:val="auto"/>
        </w:rPr>
        <w:t>, 1</w:t>
      </w:r>
      <w:r w:rsidRPr="006A356C">
        <w:rPr>
          <w:rFonts w:ascii="Arial" w:hAnsi="Arial" w:cs="Arial"/>
          <w:color w:val="auto"/>
          <w:vertAlign w:val="superscript"/>
        </w:rPr>
        <w:t>a.</w:t>
      </w:r>
      <w:r w:rsidRPr="006A356C">
        <w:rPr>
          <w:rFonts w:ascii="Arial" w:hAnsi="Arial" w:cs="Arial"/>
          <w:color w:val="auto"/>
        </w:rPr>
        <w:t xml:space="preserve"> Edición 2</w:t>
      </w:r>
      <w:r w:rsidRPr="006A356C">
        <w:rPr>
          <w:rFonts w:ascii="Arial" w:hAnsi="Arial" w:cs="Arial"/>
          <w:color w:val="auto"/>
          <w:vertAlign w:val="superscript"/>
        </w:rPr>
        <w:t>a.</w:t>
      </w:r>
      <w:r w:rsidRPr="006A356C">
        <w:rPr>
          <w:rFonts w:ascii="Arial" w:hAnsi="Arial" w:cs="Arial"/>
          <w:color w:val="auto"/>
        </w:rPr>
        <w:t xml:space="preserve"> Impresión, Editorial Ariel, España, 2007.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BERNAL PULIDO, Carlos, </w:t>
      </w:r>
      <w:r w:rsidRPr="006A356C">
        <w:rPr>
          <w:rFonts w:ascii="Arial" w:hAnsi="Arial" w:cs="Arial"/>
          <w:i/>
          <w:iCs/>
          <w:color w:val="auto"/>
        </w:rPr>
        <w:t>«El Principio de Proporcionalidad y los Derechos Fundamentales»</w:t>
      </w:r>
      <w:r w:rsidRPr="006A356C">
        <w:rPr>
          <w:rFonts w:ascii="Arial" w:hAnsi="Arial" w:cs="Arial"/>
          <w:color w:val="auto"/>
        </w:rPr>
        <w:t xml:space="preserve">, 3ª Edición, Centro de Estudios Políticos y Constitucionales, España, 2007.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BOROWSKI, Martín, </w:t>
      </w:r>
      <w:r w:rsidRPr="006A356C">
        <w:rPr>
          <w:rFonts w:ascii="Arial" w:hAnsi="Arial" w:cs="Arial"/>
          <w:i/>
          <w:iCs/>
          <w:color w:val="auto"/>
        </w:rPr>
        <w:t>«La estructura de los derechos fundamentales»</w:t>
      </w:r>
      <w:r w:rsidRPr="006A356C">
        <w:rPr>
          <w:rFonts w:ascii="Arial" w:hAnsi="Arial" w:cs="Arial"/>
          <w:color w:val="auto"/>
        </w:rPr>
        <w:t xml:space="preserve">, Traducción de Carlos Bernal Pulido, Serie de Teoría Jurídica y Filosofía del Derecho N° 25, Universidad Externado de Colombia, 2003.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BULYGIN, Eugenio, </w:t>
      </w:r>
      <w:r w:rsidRPr="006A356C">
        <w:rPr>
          <w:rFonts w:ascii="Arial" w:hAnsi="Arial" w:cs="Arial"/>
          <w:i/>
          <w:iCs/>
          <w:color w:val="auto"/>
        </w:rPr>
        <w:t xml:space="preserve">«Lógica Deóntica», </w:t>
      </w:r>
      <w:r w:rsidRPr="006A356C">
        <w:rPr>
          <w:rFonts w:ascii="Arial" w:hAnsi="Arial" w:cs="Arial"/>
          <w:color w:val="auto"/>
        </w:rPr>
        <w:t xml:space="preserve">en </w:t>
      </w:r>
      <w:r w:rsidRPr="006A356C">
        <w:rPr>
          <w:rFonts w:ascii="Arial" w:hAnsi="Arial" w:cs="Arial"/>
          <w:i/>
          <w:iCs/>
          <w:color w:val="auto"/>
        </w:rPr>
        <w:t>«Lógica»</w:t>
      </w:r>
      <w:r w:rsidRPr="006A356C">
        <w:rPr>
          <w:rFonts w:ascii="Arial" w:hAnsi="Arial" w:cs="Arial"/>
          <w:color w:val="auto"/>
        </w:rPr>
        <w:t xml:space="preserve">,  Edición de Carlos E. Alchourrón, Editorial Trotta, Serie Enciclopedia Iberoamericana de Filosofía n° 7, España, 1995.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CARBONELL, Miguel, </w:t>
      </w:r>
      <w:r w:rsidRPr="006A356C">
        <w:rPr>
          <w:rFonts w:ascii="Arial" w:hAnsi="Arial" w:cs="Arial"/>
          <w:i/>
          <w:iCs/>
          <w:color w:val="auto"/>
        </w:rPr>
        <w:t>«Marbury versus Madison: En los orígenes de la supremacía constitucional y el control de constitucionalidad»</w:t>
      </w:r>
      <w:r w:rsidRPr="006A356C">
        <w:rPr>
          <w:rFonts w:ascii="Arial" w:hAnsi="Arial" w:cs="Arial"/>
          <w:color w:val="auto"/>
        </w:rPr>
        <w:t xml:space="preserve">, en «Revista Iberoamericana de Derecho Procesal Constitucional N° 5», Eduardo Ferrer Mac-Gregor (director), Editorial Porrúa, Instituto Iberoamericano de Derecho Procesal Constitucional, México, 2006.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CELIS QUINTAL, Marcos Alejandro, </w:t>
      </w:r>
      <w:r w:rsidRPr="006A356C">
        <w:rPr>
          <w:rFonts w:ascii="Arial" w:hAnsi="Arial" w:cs="Arial"/>
          <w:i/>
          <w:iCs/>
          <w:color w:val="auto"/>
        </w:rPr>
        <w:t>«La protección de la intimidad como derecho fundamental de los mexicanos»</w:t>
      </w:r>
      <w:r w:rsidRPr="006A356C">
        <w:rPr>
          <w:rFonts w:ascii="Arial" w:hAnsi="Arial" w:cs="Arial"/>
          <w:color w:val="auto"/>
        </w:rPr>
        <w:t xml:space="preserve">, en Estudios en Homenaje a Marcia Muñoz de Alba Medrado. Protección de la Persona y Derechos Fundamentales, David Cienfuegos Salgado y María Carmen Macías Vázquez (Coordinadores), 1ª Edición, Universidad Nacional Autónoma de México, 2006.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CLIMENT DURÁN, Carlos, «</w:t>
      </w:r>
      <w:r w:rsidRPr="006A356C">
        <w:rPr>
          <w:rFonts w:ascii="Arial" w:hAnsi="Arial" w:cs="Arial"/>
          <w:i/>
          <w:iCs/>
          <w:color w:val="auto"/>
        </w:rPr>
        <w:t xml:space="preserve">La prueba penal», </w:t>
      </w:r>
      <w:r w:rsidRPr="006A356C">
        <w:rPr>
          <w:rFonts w:ascii="Arial" w:hAnsi="Arial" w:cs="Arial"/>
          <w:color w:val="auto"/>
        </w:rPr>
        <w:t xml:space="preserve">Tomo I, 2ª Edición, Editorial Tirant Lo Blanch, Valencia, España, 2005.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COMANDUCCI, Paolo, </w:t>
      </w:r>
      <w:r w:rsidRPr="006A356C">
        <w:rPr>
          <w:rFonts w:ascii="Arial" w:hAnsi="Arial" w:cs="Arial"/>
          <w:i/>
          <w:iCs/>
          <w:color w:val="auto"/>
        </w:rPr>
        <w:t>«Modelos e Interpretación de la Constitución»,</w:t>
      </w:r>
      <w:r w:rsidRPr="006A356C">
        <w:rPr>
          <w:rFonts w:ascii="Arial" w:hAnsi="Arial" w:cs="Arial"/>
          <w:color w:val="auto"/>
        </w:rPr>
        <w:t xml:space="preserve"> en « </w:t>
      </w:r>
      <w:r w:rsidRPr="006A356C">
        <w:rPr>
          <w:rFonts w:ascii="Arial" w:hAnsi="Arial" w:cs="Arial"/>
          <w:i/>
          <w:iCs/>
          <w:color w:val="auto"/>
        </w:rPr>
        <w:t>Teoría del Neoconstitucionalismo. Ensayos Escogidos»</w:t>
      </w:r>
      <w:r w:rsidRPr="006A356C">
        <w:rPr>
          <w:rFonts w:ascii="Arial" w:hAnsi="Arial" w:cs="Arial"/>
          <w:color w:val="auto"/>
        </w:rPr>
        <w:t xml:space="preserve">, Edición de Miguel Carbonell, Editorial Trotta, España, 2007.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CUELLAR SERRANO, Nicolás González, </w:t>
      </w:r>
      <w:r w:rsidRPr="006A356C">
        <w:rPr>
          <w:rFonts w:ascii="Arial" w:hAnsi="Arial" w:cs="Arial"/>
          <w:i/>
          <w:iCs/>
          <w:color w:val="auto"/>
        </w:rPr>
        <w:t>«Proporcionalidad y Derechos Fundamentales en el Proceso Penal»</w:t>
      </w:r>
      <w:r w:rsidRPr="006A356C">
        <w:rPr>
          <w:rFonts w:ascii="Arial" w:hAnsi="Arial" w:cs="Arial"/>
          <w:color w:val="auto"/>
        </w:rPr>
        <w:t xml:space="preserve">, Editorial Colex, España, 1990.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DE LA MATA BARRANCO, Norberto J., </w:t>
      </w:r>
      <w:r w:rsidRPr="006A356C">
        <w:rPr>
          <w:rFonts w:ascii="Arial" w:hAnsi="Arial" w:cs="Arial"/>
          <w:i/>
          <w:iCs/>
          <w:color w:val="auto"/>
        </w:rPr>
        <w:t>«El Principio de Proporcionalidad Penal»</w:t>
      </w:r>
      <w:r w:rsidRPr="006A356C">
        <w:rPr>
          <w:rFonts w:ascii="Arial" w:hAnsi="Arial" w:cs="Arial"/>
          <w:color w:val="auto"/>
        </w:rPr>
        <w:t xml:space="preserve">, Editorial Tirant Lo Blanch, España, 2007.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DE URBANO CASTRILLO, Eduardo y TORRES MORATO, Miguel Ángel, </w:t>
      </w:r>
      <w:r w:rsidRPr="006A356C">
        <w:rPr>
          <w:rFonts w:ascii="Arial" w:hAnsi="Arial" w:cs="Arial"/>
          <w:i/>
          <w:iCs/>
          <w:color w:val="auto"/>
        </w:rPr>
        <w:t>«La Prueba Ilícita Penal. Estudio jurisprudencial»</w:t>
      </w:r>
      <w:r w:rsidRPr="006A356C">
        <w:rPr>
          <w:rFonts w:ascii="Arial" w:hAnsi="Arial" w:cs="Arial"/>
          <w:color w:val="auto"/>
        </w:rPr>
        <w:t xml:space="preserve">, 3ª Edición, Thomson Aranzadi, España, 2003.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FERNÁNDEZ RODRÍGUEZ, José Julio, «</w:t>
      </w:r>
      <w:r w:rsidRPr="006A356C">
        <w:rPr>
          <w:rFonts w:ascii="Arial" w:hAnsi="Arial" w:cs="Arial"/>
          <w:i/>
          <w:iCs/>
          <w:color w:val="auto"/>
        </w:rPr>
        <w:t>Aproximación al concepto de Inconstitucionalidad por Omisión»</w:t>
      </w:r>
      <w:r w:rsidRPr="006A356C">
        <w:rPr>
          <w:rFonts w:ascii="Arial" w:hAnsi="Arial" w:cs="Arial"/>
          <w:color w:val="auto"/>
        </w:rPr>
        <w:t>, en «</w:t>
      </w:r>
      <w:r w:rsidRPr="006A356C">
        <w:rPr>
          <w:rFonts w:ascii="Arial" w:hAnsi="Arial" w:cs="Arial"/>
          <w:i/>
          <w:iCs/>
          <w:color w:val="auto"/>
        </w:rPr>
        <w:t>En busca de las normas ausentes. Ensayos sobre la Inconstitucionalidad por Omisión»</w:t>
      </w:r>
      <w:r w:rsidRPr="006A356C">
        <w:rPr>
          <w:rFonts w:ascii="Arial" w:hAnsi="Arial" w:cs="Arial"/>
          <w:color w:val="auto"/>
        </w:rPr>
        <w:t xml:space="preserve">, Coordinador Miguel Carbonell, Universidad Nacional Autónoma de México, Segunda Edición, 2007.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FERNÁNDEZ RODRÍGUEZ, José Julio, </w:t>
      </w:r>
      <w:r w:rsidRPr="006A356C">
        <w:rPr>
          <w:rFonts w:ascii="Arial" w:hAnsi="Arial" w:cs="Arial"/>
          <w:i/>
          <w:iCs/>
          <w:color w:val="auto"/>
        </w:rPr>
        <w:t>«Secreto e intervención de las comunicaciones en internet»</w:t>
      </w:r>
      <w:r w:rsidRPr="006A356C">
        <w:rPr>
          <w:rFonts w:ascii="Arial" w:hAnsi="Arial" w:cs="Arial"/>
          <w:color w:val="auto"/>
        </w:rPr>
        <w:t xml:space="preserve">, 1ª Edición, Thomson Civitas, Madrid, España, 2004.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GARCÍA GONZÁLEZ, Aristeo, </w:t>
      </w:r>
      <w:r w:rsidRPr="006A356C">
        <w:rPr>
          <w:rFonts w:ascii="Arial" w:hAnsi="Arial" w:cs="Arial"/>
          <w:i/>
          <w:iCs/>
          <w:color w:val="auto"/>
        </w:rPr>
        <w:t>«El derecho a la intimidad desde una perspectiva constitucional: equilibrio, alcances, límites y mecanismos de defensa»</w:t>
      </w:r>
      <w:r w:rsidRPr="006A356C">
        <w:rPr>
          <w:rFonts w:ascii="Arial" w:hAnsi="Arial" w:cs="Arial"/>
          <w:color w:val="auto"/>
        </w:rPr>
        <w:t xml:space="preserve">, México, Universidad Michoacana de San Nicolás de Hidalgo, Biblioteca de la Facultad de Derecho y Ciencias Sociales, 2005.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GASCÓN ABELLÁN, Marina, «</w:t>
      </w:r>
      <w:r w:rsidRPr="006A356C">
        <w:rPr>
          <w:rFonts w:ascii="Arial" w:hAnsi="Arial" w:cs="Arial"/>
          <w:i/>
          <w:iCs/>
          <w:color w:val="auto"/>
        </w:rPr>
        <w:t xml:space="preserve">La Interpretación constitucional», </w:t>
      </w:r>
      <w:r w:rsidRPr="006A356C">
        <w:rPr>
          <w:rFonts w:ascii="Arial" w:hAnsi="Arial" w:cs="Arial"/>
          <w:color w:val="auto"/>
        </w:rPr>
        <w:t xml:space="preserve">Textos de Apoyo Nº 5, Consejo Nacional de la Judicatura, Escuela de Capacitación Judicial, El Salvador, 2005.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 xml:space="preserve">GASCÓN ABELLÁN, Marina, </w:t>
      </w:r>
      <w:r w:rsidRPr="006A356C">
        <w:rPr>
          <w:rFonts w:ascii="Arial" w:hAnsi="Arial" w:cs="Arial"/>
          <w:i/>
          <w:iCs/>
          <w:color w:val="auto"/>
        </w:rPr>
        <w:t>«La Prueba de los Hechos»</w:t>
      </w:r>
      <w:r w:rsidRPr="006A356C">
        <w:rPr>
          <w:rFonts w:ascii="Arial" w:hAnsi="Arial" w:cs="Arial"/>
          <w:color w:val="auto"/>
        </w:rPr>
        <w:t xml:space="preserve">, en «Interpretación y Argumentación Jurídica», Marina Gascón Abellán y Alfonso García Figueroa (autores), Consejo Nacional de la Judicatura, Escuela de Capacitación Judicial, El Salvador, 2003.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GÓMEZ-ROBLEDO VERDUZCO, Alonso, </w:t>
      </w:r>
      <w:r w:rsidRPr="006A356C">
        <w:rPr>
          <w:rFonts w:ascii="Arial" w:hAnsi="Arial" w:cs="Arial"/>
          <w:i/>
          <w:iCs/>
          <w:color w:val="auto"/>
        </w:rPr>
        <w:t>«El derecho a la intimidad y el derecho a la libertad de expresión. Derechos Humanos Fundamentales»</w:t>
      </w:r>
      <w:r w:rsidRPr="006A356C">
        <w:rPr>
          <w:rFonts w:ascii="Arial" w:hAnsi="Arial" w:cs="Arial"/>
          <w:color w:val="auto"/>
        </w:rPr>
        <w:t xml:space="preserve">, en Estudios Básicos de Derechos Humanos, Tomo VI, Compilado por Antonio A. Cançado Trindade, </w:t>
      </w:r>
      <w:r w:rsidRPr="006A356C">
        <w:rPr>
          <w:rFonts w:ascii="Arial" w:hAnsi="Arial" w:cs="Arial"/>
          <w:i/>
          <w:iCs/>
          <w:color w:val="auto"/>
        </w:rPr>
        <w:t xml:space="preserve">et ali, </w:t>
      </w:r>
      <w:r w:rsidRPr="006A356C">
        <w:rPr>
          <w:rFonts w:ascii="Arial" w:hAnsi="Arial" w:cs="Arial"/>
          <w:color w:val="auto"/>
        </w:rPr>
        <w:t xml:space="preserve">Instituto Interamericano de Derechos Humanos, San José, 1996.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GUASTINI, Riccardo, </w:t>
      </w:r>
      <w:r w:rsidRPr="006A356C">
        <w:rPr>
          <w:rFonts w:ascii="Arial" w:hAnsi="Arial" w:cs="Arial"/>
          <w:i/>
          <w:iCs/>
          <w:color w:val="auto"/>
        </w:rPr>
        <w:t>«Sobre el Concepto de Constitución»</w:t>
      </w:r>
      <w:r w:rsidRPr="006A356C">
        <w:rPr>
          <w:rFonts w:ascii="Arial" w:hAnsi="Arial" w:cs="Arial"/>
          <w:color w:val="auto"/>
        </w:rPr>
        <w:t>, en « </w:t>
      </w:r>
      <w:r w:rsidRPr="006A356C">
        <w:rPr>
          <w:rFonts w:ascii="Arial" w:hAnsi="Arial" w:cs="Arial"/>
          <w:i/>
          <w:iCs/>
          <w:color w:val="auto"/>
        </w:rPr>
        <w:t>Teoría del Neoconstitucionalismo. Ensayos Escogidos»</w:t>
      </w:r>
      <w:r w:rsidRPr="006A356C">
        <w:rPr>
          <w:rFonts w:ascii="Arial" w:hAnsi="Arial" w:cs="Arial"/>
          <w:color w:val="auto"/>
        </w:rPr>
        <w:t xml:space="preserve">, Edición de Miguel Carbonell, Editorial Trotta, España, 2007.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GUTIÉRREZ CONTRERAS, Juan Carlos, </w:t>
      </w:r>
      <w:r w:rsidRPr="006A356C">
        <w:rPr>
          <w:rFonts w:ascii="Arial" w:hAnsi="Arial" w:cs="Arial"/>
          <w:i/>
          <w:iCs/>
          <w:color w:val="auto"/>
        </w:rPr>
        <w:t>«El Ejercicio de la Libertad de Expresión y la Ponderación de Intereses con el Honor y la Intimidad de las Personas»</w:t>
      </w:r>
      <w:r w:rsidRPr="006A356C">
        <w:rPr>
          <w:rFonts w:ascii="Arial" w:hAnsi="Arial" w:cs="Arial"/>
          <w:color w:val="auto"/>
        </w:rPr>
        <w:t xml:space="preserve">, en </w:t>
      </w:r>
      <w:hyperlink r:id="rId101" w:history="1">
        <w:r w:rsidRPr="006A356C">
          <w:rPr>
            <w:rStyle w:val="Hipervnculo"/>
            <w:rFonts w:ascii="Arial" w:hAnsi="Arial" w:cs="Arial"/>
            <w:color w:val="auto"/>
          </w:rPr>
          <w:t>Memorias del Seminario Internacional Los Derechos Humanos y la Libertad de Expresión</w:t>
        </w:r>
      </w:hyperlink>
      <w:r w:rsidRPr="006A356C">
        <w:rPr>
          <w:rFonts w:ascii="Arial" w:hAnsi="Arial" w:cs="Arial"/>
          <w:color w:val="auto"/>
        </w:rPr>
        <w:t xml:space="preserve"> en México, Programa de Cooperación Sobre Derechos Humanos – Comisión Europea, México, 2006.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HAIRABEDIÁN, Maximiliano, </w:t>
      </w:r>
      <w:r w:rsidRPr="006A356C">
        <w:rPr>
          <w:rFonts w:ascii="Arial" w:hAnsi="Arial" w:cs="Arial"/>
          <w:i/>
          <w:iCs/>
          <w:color w:val="auto"/>
        </w:rPr>
        <w:t>«Eficacia de la prueba ilícita y sus derivadas en el proceso penal»</w:t>
      </w:r>
      <w:r w:rsidRPr="006A356C">
        <w:rPr>
          <w:rFonts w:ascii="Arial" w:hAnsi="Arial" w:cs="Arial"/>
          <w:color w:val="auto"/>
        </w:rPr>
        <w:t xml:space="preserve">, Ad-hoc Villela Editor, Argentina, 2002.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IGARTUA SALAVERRÍA, Juan, </w:t>
      </w:r>
      <w:r w:rsidRPr="006A356C">
        <w:rPr>
          <w:rFonts w:ascii="Arial" w:hAnsi="Arial" w:cs="Arial"/>
          <w:i/>
          <w:iCs/>
          <w:color w:val="auto"/>
        </w:rPr>
        <w:t>«La Motivación de las Sentencias. Imperativo Constitucional»,</w:t>
      </w:r>
      <w:r w:rsidRPr="006A356C">
        <w:rPr>
          <w:rFonts w:ascii="Arial" w:hAnsi="Arial" w:cs="Arial"/>
          <w:color w:val="auto"/>
        </w:rPr>
        <w:t xml:space="preserve"> 1ª Edición, 1ª Reimpresión, Centro de Estudios Políticos y Constitucionales, Madrid, España, 2003.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JIMÉNEZ CAMPO, JAVIER, </w:t>
      </w:r>
      <w:r w:rsidRPr="006A356C">
        <w:rPr>
          <w:rFonts w:ascii="Arial" w:hAnsi="Arial" w:cs="Arial"/>
          <w:i/>
          <w:iCs/>
          <w:color w:val="auto"/>
        </w:rPr>
        <w:t>«La garantía constitucional del secreto de las comunicaciones»</w:t>
      </w:r>
      <w:r w:rsidRPr="006A356C">
        <w:rPr>
          <w:rFonts w:ascii="Arial" w:hAnsi="Arial" w:cs="Arial"/>
          <w:color w:val="auto"/>
        </w:rPr>
        <w:t xml:space="preserve">, en Revista Española de Derecho Constitucional, Año 7, número 20, Mayo-Agosto, 1987, España.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LOPERA MESA, Gloria Patricia, </w:t>
      </w:r>
      <w:r w:rsidRPr="006A356C">
        <w:rPr>
          <w:rFonts w:ascii="Arial" w:hAnsi="Arial" w:cs="Arial"/>
          <w:i/>
          <w:iCs/>
          <w:color w:val="auto"/>
        </w:rPr>
        <w:t>«Principio de Proporcionalidad y Ley Penal»</w:t>
      </w:r>
      <w:r w:rsidRPr="006A356C">
        <w:rPr>
          <w:rFonts w:ascii="Arial" w:hAnsi="Arial" w:cs="Arial"/>
          <w:color w:val="auto"/>
        </w:rPr>
        <w:t xml:space="preserve">, Centro de Estudios Políticos y Constitucionales, España, 2006.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 xml:space="preserve">MOLINA QUIROGA, Eduardo, </w:t>
      </w:r>
      <w:r w:rsidRPr="006A356C">
        <w:rPr>
          <w:rFonts w:ascii="Arial" w:hAnsi="Arial" w:cs="Arial"/>
          <w:i/>
          <w:iCs/>
          <w:color w:val="auto"/>
        </w:rPr>
        <w:t>«El uso arbitrario de la información personal»</w:t>
      </w:r>
      <w:r w:rsidRPr="006A356C">
        <w:rPr>
          <w:rFonts w:ascii="Arial" w:hAnsi="Arial" w:cs="Arial"/>
          <w:color w:val="auto"/>
        </w:rPr>
        <w:t xml:space="preserve">, en Informática y Derecho, Vol. 7, Editorial Depalma, Buenos Aires, Argentina, 2001.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MONTERO</w:t>
      </w:r>
      <w:r w:rsidRPr="006A356C">
        <w:rPr>
          <w:rFonts w:ascii="Arial" w:hAnsi="Arial" w:cs="Arial"/>
          <w:i/>
          <w:iCs/>
          <w:color w:val="auto"/>
        </w:rPr>
        <w:t xml:space="preserve"> </w:t>
      </w:r>
      <w:r w:rsidRPr="006A356C">
        <w:rPr>
          <w:rFonts w:ascii="Arial" w:hAnsi="Arial" w:cs="Arial"/>
          <w:color w:val="auto"/>
        </w:rPr>
        <w:t xml:space="preserve">AROCA, Juan, </w:t>
      </w:r>
      <w:r w:rsidRPr="006A356C">
        <w:rPr>
          <w:rFonts w:ascii="Arial" w:hAnsi="Arial" w:cs="Arial"/>
          <w:i/>
          <w:iCs/>
          <w:color w:val="auto"/>
        </w:rPr>
        <w:t>«La Intervención de las Comunicaciones Telefónicas en el Proceso Penal (Un estudio jurisprudencial)»</w:t>
      </w:r>
      <w:r w:rsidRPr="006A356C">
        <w:rPr>
          <w:rFonts w:ascii="Arial" w:hAnsi="Arial" w:cs="Arial"/>
          <w:color w:val="auto"/>
        </w:rPr>
        <w:t xml:space="preserve">, Editorial Tirant Lo Blanch, España, 1999.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NOYA FERREIRO, María Lourdes, en </w:t>
      </w:r>
      <w:r w:rsidRPr="006A356C">
        <w:rPr>
          <w:rFonts w:ascii="Arial" w:hAnsi="Arial" w:cs="Arial"/>
          <w:i/>
          <w:iCs/>
          <w:color w:val="auto"/>
        </w:rPr>
        <w:t>«La intervención de comunicaciones orales directas en el proceso penal»</w:t>
      </w:r>
      <w:r w:rsidRPr="006A356C">
        <w:rPr>
          <w:rFonts w:ascii="Arial" w:hAnsi="Arial" w:cs="Arial"/>
          <w:color w:val="auto"/>
        </w:rPr>
        <w:t xml:space="preserve">, Editorial Tirant Lo Blanch, Valencia, España, 2000.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PASCUA, Francisco Javier, </w:t>
      </w:r>
      <w:r w:rsidRPr="006A356C">
        <w:rPr>
          <w:rFonts w:ascii="Arial" w:hAnsi="Arial" w:cs="Arial"/>
          <w:i/>
          <w:iCs/>
          <w:color w:val="auto"/>
        </w:rPr>
        <w:t>«Escuchas telefónicas, grabaciones de audio subrepticias y filmaciones»</w:t>
      </w:r>
      <w:r w:rsidRPr="006A356C">
        <w:rPr>
          <w:rFonts w:ascii="Arial" w:hAnsi="Arial" w:cs="Arial"/>
          <w:color w:val="auto"/>
        </w:rPr>
        <w:t xml:space="preserve">, Primera Reimpresión, Ediciones Jurídicas Cuyo, Argentina, 2003.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RIVES SEVA, Antonio Pablo, </w:t>
      </w:r>
      <w:r w:rsidRPr="006A356C">
        <w:rPr>
          <w:rFonts w:ascii="Arial" w:hAnsi="Arial" w:cs="Arial"/>
          <w:i/>
          <w:iCs/>
          <w:color w:val="auto"/>
        </w:rPr>
        <w:t>«La Intervención de las Comunicaciones en la Jurisprudencia Penal»</w:t>
      </w:r>
      <w:r w:rsidRPr="006A356C">
        <w:rPr>
          <w:rFonts w:ascii="Arial" w:hAnsi="Arial" w:cs="Arial"/>
          <w:color w:val="auto"/>
        </w:rPr>
        <w:t xml:space="preserve">, Editorial Aranzadi, Navarra, España, 2002.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RODRÍGUEZ, Jorge L., </w:t>
      </w:r>
      <w:r w:rsidRPr="006A356C">
        <w:rPr>
          <w:rFonts w:ascii="Arial" w:hAnsi="Arial" w:cs="Arial"/>
          <w:i/>
          <w:iCs/>
          <w:color w:val="auto"/>
        </w:rPr>
        <w:t xml:space="preserve">«Naturaleza y Lógica de las proposiciones normativas. Contribución en homenaje a G.H. von Wright», </w:t>
      </w:r>
      <w:r w:rsidRPr="006A356C">
        <w:rPr>
          <w:rFonts w:ascii="Arial" w:hAnsi="Arial" w:cs="Arial"/>
          <w:color w:val="auto"/>
        </w:rPr>
        <w:t>en</w:t>
      </w:r>
      <w:r w:rsidRPr="006A356C">
        <w:rPr>
          <w:rFonts w:ascii="Arial" w:hAnsi="Arial" w:cs="Arial"/>
          <w:i/>
          <w:iCs/>
          <w:color w:val="auto"/>
        </w:rPr>
        <w:t xml:space="preserve"> </w:t>
      </w:r>
      <w:r w:rsidRPr="006A356C">
        <w:rPr>
          <w:rFonts w:ascii="Arial" w:hAnsi="Arial" w:cs="Arial"/>
          <w:color w:val="auto"/>
        </w:rPr>
        <w:t xml:space="preserve">DOXA. Cuadernos de Filosofía del Derecho n° 26, Universidad de Alicante, España, 2003.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SÁNCHEZ GIL, Rubén, </w:t>
      </w:r>
      <w:r w:rsidRPr="006A356C">
        <w:rPr>
          <w:rFonts w:ascii="Arial" w:hAnsi="Arial" w:cs="Arial"/>
          <w:i/>
          <w:iCs/>
          <w:color w:val="auto"/>
        </w:rPr>
        <w:t>«El Principio de Proporcionalidad»</w:t>
      </w:r>
      <w:r w:rsidRPr="006A356C">
        <w:rPr>
          <w:rFonts w:ascii="Arial" w:hAnsi="Arial" w:cs="Arial"/>
          <w:color w:val="auto"/>
        </w:rPr>
        <w:t xml:space="preserve">, 1ª Edición, Universidad Nacional Autónoma de México, 2007.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ZAFFARONI, Eugenio Raúl, </w:t>
      </w:r>
      <w:r w:rsidRPr="006A356C">
        <w:rPr>
          <w:rFonts w:ascii="Arial" w:hAnsi="Arial" w:cs="Arial"/>
          <w:i/>
          <w:iCs/>
          <w:color w:val="auto"/>
        </w:rPr>
        <w:t>«El Enemigo en el Derecho Penal»</w:t>
      </w:r>
      <w:r w:rsidRPr="006A356C">
        <w:rPr>
          <w:rFonts w:ascii="Arial" w:hAnsi="Arial" w:cs="Arial"/>
          <w:color w:val="auto"/>
        </w:rPr>
        <w:t xml:space="preserve">, 1ª Edición 1ª Reimpresión, Editorial Ediar, Buenos Aires, Argentina, 2007.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JURISPRUDENCIA (NACIONAL Y EXTRANJERA)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Sala de lo Constitucional de la Corte Suprema de Justicia, Sentencia de Amparo número 148-97, de fecha 21 de julio de 1998.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 xml:space="preserve">Sala de lo Constitucional de la Corte Suprema de Justicia, Sentencia de Amparo número 305-99, de fecha 19 de marzo de 2001.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Sala de lo Constitucional de la Corte Suprema de Justicia, Sentencia de Amparo número 7-98, de fecha 25 de agosto de 1999.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Sala de lo Constitucional de la Corte Suprema de Justicia, Sentencia de Hábeas Corpus número 135-2005/32-2007 acumulado, de fecha 16 de mayo de 2008.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Sala de lo Constitucional de la Corte Suprema de Justicia, Sentencia de Hábeas Corpus número 145-2001, de fecha 11 de febrero de 2002.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Sala de lo Constitucional de la Corte Suprema de Justicia, Sentencia de Inconstitucionalidad número 15-96, de fecha 14 de febrero de 1997.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Sala de lo Constitucional de la Corte Suprema de Justicia, Sentencia de Inconstitucionalidad número 1-92, de fecha 19 de julio de 1996.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Sala de lo Penal de la Corte Suprema de Justicia, Sentencia de Casación n° 489-CAS-2004, del día 29 de julio del año 2005.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Sala de lo Penal de la Corte Suprema de Justicia, Sentencia de Casación n° 92-CAS-2006, del día 17 de diciembre del año 2007.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Sala de lo Penal, Sentencia de Casación n° 260-CAS-2004, del día 15 de julio del año 2005.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Constitucional Español, Sala Primera, Sentencia 139/2001, de 18 de Junio;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Constitucional Español, Sala Primera. Sentencia 166/1999, de 27 de septiembre.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Constitucional Español, Sala Primera. Sentencia 49/1996, de 26 de Marzo.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 xml:space="preserve">Tribunal Constitucional Español, Sala Primera. Sentencia 70/2002, de 3 de abril.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Constitucional Español, Sala Segunda. Sentencia 114/1984, de 29 de noviembre.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Constitucional Español, Sala Segunda. Sentencia 202/2001, de 15 de octubre.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Constitucional Español, Sala Segunda. Sentencia 299/2000, de 11 de diciembre.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Constitucional Español Pleno. Sentencia 184/2003, de 23 de octubre.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Europeo de Derechos Humanos, Sentencia de 18 de Febrero de 2003, Caso Prado Bugallo contra España.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Europeo de Derechos Humanos, Sentencia de 30 de julio de 1998, Caso Valenzuela Contreras contra España.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Supremo Español, Sala II de lo Penal. Sentencia 1012/2006, de 19 de octubre.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Supremo Español, Sala II de lo Penal. Sentencia 119/2007, de 16 de febrero.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Supremo Español, Sala II de lo Penal. Sentencia 1203/2002, de 18 de julio.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Supremo Español, Sala II de lo Penal. Sentencia 1335/2001, de 19 de julio.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Supremo Español, Sala II de lo Penal. Sentencia 1521/2001, de 23 de julio.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 xml:space="preserve">Tribunal Supremo Español, Sala II de lo Penal. Sentencia 308/2002, de 22 de febrero.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Supremo Español, Sala II de lo Penal. Sentencia 511/1999, de 24 de marzo.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Supremo Español, Sala II de lo Penal. Sentencia 588/2002, de 4 de abril.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Supremo Español, Sala II de lo Penal. Sentencia 7015/1994, de 31 de octubre.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Supremo Español, Sala II de lo Penal. Sentencia 708/2008, de 4 de noviembre.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Supremo Español, Sala II de lo Penal. Sentencia 77/2007, de 7 de febrero.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Supremo Español, Sala II de lo Penal. Sentencia 9/1998, de 20 de enero.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Tribunal Supremo Español, Sala II de lo Penal. Sentencia 99/2005, de 2 de febrero.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TEXTOS LEGALES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Código Penal (D.L. Nº 1030, del 26 de abril de 1997, publicado en el D.O. Nº 105, Tomo Nº 335, del 10 de junio de 1997).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Código Procesal Penal (D.L. Nº 904, del 04 de diciembre de 1996, publicado en el D.O. Nº 11, Tomo Nº 334, del 20 de enero de 1997).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Código Procesal Penal Aprobado (D.L. Nº 733, del 22 de octubre de 2008, publicado en el D.O. Nº 20, Tomo Nº 382, del 30 de enero de 2009). Actualmente en </w:t>
      </w:r>
      <w:r w:rsidRPr="006A356C">
        <w:rPr>
          <w:rFonts w:ascii="Arial" w:hAnsi="Arial" w:cs="Arial"/>
          <w:i/>
          <w:iCs/>
          <w:color w:val="auto"/>
        </w:rPr>
        <w:t>vacatio legis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 xml:space="preserve">Constitución de la República de El Salvador (D.C. Nº 38, del 15 de diciembre de 1983, publicado en el D.O. Nº 234, Tomo Nº 281, del 16 de diciembre de 1983), y Decreto Legislativo mediante el cual se reforma el Art. 24 de la Constitución (D.L. Nº 36, del 27 de mayo de 2009, publicado en el D.O. Nº 102, Tomo Nº 383, del 4 de Junio del año 2009).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Convenio Internacional de Telecomunicaciones, Nairobi, 1982, Anexo 2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PÁGINAS WEB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Diccionario de la Lengua Española, vigésima segunda edición. Disponible en: </w:t>
      </w:r>
      <w:hyperlink r:id="rId102" w:history="1">
        <w:r w:rsidRPr="006A356C">
          <w:rPr>
            <w:rStyle w:val="Hipervnculo"/>
            <w:rFonts w:ascii="Arial" w:hAnsi="Arial" w:cs="Arial"/>
            <w:color w:val="auto"/>
          </w:rPr>
          <w:t>http://buscon.rae.es/draeI/</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Sentencias del Tribunal Europeo de Derecho Humanos. Disponibles en: </w:t>
      </w:r>
      <w:hyperlink r:id="rId103" w:history="1">
        <w:r w:rsidRPr="006A356C">
          <w:rPr>
            <w:rStyle w:val="Hipervnculo"/>
            <w:rFonts w:ascii="Arial" w:hAnsi="Arial" w:cs="Arial"/>
            <w:color w:val="auto"/>
          </w:rPr>
          <w:t>http://cmiskp.echr.coe.int/tkp197/search.asp?skin=hudoc-en</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Servicio de Mensajes Cortos, en «Wikipedia. La enciclopedia libre». Disponible en: </w:t>
      </w:r>
      <w:hyperlink r:id="rId104" w:history="1">
        <w:r w:rsidRPr="006A356C">
          <w:rPr>
            <w:rStyle w:val="Hipervnculo"/>
            <w:rFonts w:ascii="Arial" w:hAnsi="Arial" w:cs="Arial"/>
            <w:color w:val="auto"/>
          </w:rPr>
          <w:t>http://es.wikipedia.org/wiki/Servicio_de_mensajes_cortos</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p>
    <w:p w:rsidR="00C21A64" w:rsidRPr="006A356C" w:rsidRDefault="00C21A64" w:rsidP="00C21A64">
      <w:pPr>
        <w:spacing w:line="360" w:lineRule="auto"/>
        <w:jc w:val="both"/>
        <w:rPr>
          <w:rFonts w:ascii="Arial" w:hAnsi="Arial" w:cs="Arial"/>
          <w:sz w:val="24"/>
          <w:szCs w:val="24"/>
        </w:rPr>
      </w:pPr>
      <w:r w:rsidRPr="006A356C">
        <w:rPr>
          <w:rFonts w:ascii="Arial" w:hAnsi="Arial" w:cs="Arial"/>
          <w:sz w:val="24"/>
          <w:szCs w:val="24"/>
        </w:rPr>
        <w:pict>
          <v:rect id="_x0000_i1025" style="width:441.9pt;height:1.5pt" o:hrstd="t" o:hr="t" fillcolor="#a6a6a6" stroked="f"/>
        </w:pict>
      </w:r>
    </w:p>
    <w:p w:rsidR="00C21A64" w:rsidRPr="006A356C" w:rsidRDefault="00C21A64" w:rsidP="00C21A64">
      <w:pPr>
        <w:pStyle w:val="NormalWeb"/>
        <w:spacing w:line="360" w:lineRule="auto"/>
        <w:jc w:val="both"/>
        <w:rPr>
          <w:rFonts w:ascii="Arial" w:hAnsi="Arial" w:cs="Arial"/>
          <w:color w:val="auto"/>
        </w:rPr>
      </w:pPr>
      <w:hyperlink r:id="rId105" w:anchor="_ftnref1" w:history="1">
        <w:r w:rsidRPr="006A356C">
          <w:rPr>
            <w:rStyle w:val="Hipervnculo"/>
            <w:rFonts w:ascii="Arial" w:hAnsi="Arial" w:cs="Arial"/>
            <w:color w:val="auto"/>
            <w:vertAlign w:val="superscript"/>
          </w:rPr>
          <w:t>[1]</w:t>
        </w:r>
      </w:hyperlink>
      <w:r w:rsidRPr="006A356C">
        <w:rPr>
          <w:rFonts w:ascii="Arial" w:hAnsi="Arial" w:cs="Arial"/>
          <w:color w:val="auto"/>
        </w:rPr>
        <w:t xml:space="preserve"> Abogado, Licenciado en Ciencias Jurídicas de la Universidad de El Salvador (UES), Miembro graduado de la Tercera Promoción del Programa de Formación </w:t>
      </w:r>
      <w:r w:rsidRPr="006A356C">
        <w:rPr>
          <w:rFonts w:ascii="Arial" w:hAnsi="Arial" w:cs="Arial"/>
          <w:color w:val="auto"/>
        </w:rPr>
        <w:lastRenderedPageBreak/>
        <w:t xml:space="preserve">Inicial para Jueces (PFI) del Consejo Nacional de la Judicatura, Postgrado en Derecho Procesal Penal en la Universidad Centroamericana “José Simeón Cañas” (UCA). Colaborador Judicial del Juzgado Cuarto de Instrucción de San Salvador. </w:t>
      </w:r>
    </w:p>
    <w:p w:rsidR="00C21A64" w:rsidRPr="006A356C" w:rsidRDefault="00C21A64" w:rsidP="00C21A64">
      <w:pPr>
        <w:pStyle w:val="NormalWeb"/>
        <w:spacing w:line="360" w:lineRule="auto"/>
        <w:jc w:val="both"/>
        <w:rPr>
          <w:rFonts w:ascii="Arial" w:hAnsi="Arial" w:cs="Arial"/>
          <w:color w:val="auto"/>
        </w:rPr>
      </w:pPr>
      <w:hyperlink r:id="rId106" w:anchor="_ftnref2" w:history="1">
        <w:r w:rsidRPr="006A356C">
          <w:rPr>
            <w:rStyle w:val="Hipervnculo"/>
            <w:rFonts w:ascii="Arial" w:hAnsi="Arial" w:cs="Arial"/>
            <w:color w:val="auto"/>
            <w:vertAlign w:val="superscript"/>
          </w:rPr>
          <w:t>[2]</w:t>
        </w:r>
      </w:hyperlink>
      <w:r w:rsidRPr="006A356C">
        <w:rPr>
          <w:rFonts w:ascii="Arial" w:hAnsi="Arial" w:cs="Arial"/>
          <w:color w:val="auto"/>
        </w:rPr>
        <w:t xml:space="preserve"> Citado por ARAGÓN REYES, Manuel, «</w:t>
      </w:r>
      <w:r w:rsidRPr="006A356C">
        <w:rPr>
          <w:rFonts w:ascii="Arial" w:hAnsi="Arial" w:cs="Arial"/>
          <w:i/>
          <w:iCs/>
          <w:color w:val="auto"/>
        </w:rPr>
        <w:t>La Constitución como Paradigma »</w:t>
      </w:r>
      <w:r w:rsidRPr="006A356C">
        <w:rPr>
          <w:rFonts w:ascii="Arial" w:hAnsi="Arial" w:cs="Arial"/>
          <w:color w:val="auto"/>
        </w:rPr>
        <w:t>, en « </w:t>
      </w:r>
      <w:r w:rsidRPr="006A356C">
        <w:rPr>
          <w:rFonts w:ascii="Arial" w:hAnsi="Arial" w:cs="Arial"/>
          <w:i/>
          <w:iCs/>
          <w:color w:val="auto"/>
        </w:rPr>
        <w:t>Teoría del Neoconstitucionalismo. Ensayos Escogidos»</w:t>
      </w:r>
      <w:r w:rsidRPr="006A356C">
        <w:rPr>
          <w:rFonts w:ascii="Arial" w:hAnsi="Arial" w:cs="Arial"/>
          <w:color w:val="auto"/>
        </w:rPr>
        <w:t xml:space="preserve">, Edición de Miguel Carbonell, Editorial Trotta, España, 2007, pp. 35-36. </w:t>
      </w:r>
    </w:p>
    <w:p w:rsidR="00C21A64" w:rsidRPr="006A356C" w:rsidRDefault="00C21A64" w:rsidP="00C21A64">
      <w:pPr>
        <w:pStyle w:val="NormalWeb"/>
        <w:spacing w:line="360" w:lineRule="auto"/>
        <w:jc w:val="both"/>
        <w:rPr>
          <w:rFonts w:ascii="Arial" w:hAnsi="Arial" w:cs="Arial"/>
          <w:color w:val="auto"/>
        </w:rPr>
      </w:pPr>
      <w:hyperlink r:id="rId107" w:anchor="_ftnref3" w:history="1">
        <w:r w:rsidRPr="006A356C">
          <w:rPr>
            <w:rStyle w:val="Hipervnculo"/>
            <w:rFonts w:ascii="Arial" w:hAnsi="Arial" w:cs="Arial"/>
            <w:color w:val="auto"/>
            <w:vertAlign w:val="superscript"/>
          </w:rPr>
          <w:t>[3]</w:t>
        </w:r>
      </w:hyperlink>
      <w:r w:rsidRPr="006A356C">
        <w:rPr>
          <w:rFonts w:ascii="Arial" w:hAnsi="Arial" w:cs="Arial"/>
          <w:color w:val="auto"/>
        </w:rPr>
        <w:t xml:space="preserve"> Paolo Comanducci manifiesta que «‘‘Constitución’’  […] es hoy un término muy usado en el léxico de los juristas […] es un vocablo que se emplea, en el ámbito jurídico, con más de un significado; o, desde otro punto de vista, que existen varios conceptos de Constitución» (COMANDUCCI, Paolo, </w:t>
      </w:r>
      <w:r w:rsidRPr="006A356C">
        <w:rPr>
          <w:rFonts w:ascii="Arial" w:hAnsi="Arial" w:cs="Arial"/>
          <w:i/>
          <w:iCs/>
          <w:color w:val="auto"/>
        </w:rPr>
        <w:t xml:space="preserve">«Modelos e Interpretación de la Constitución», </w:t>
      </w:r>
      <w:r w:rsidRPr="006A356C">
        <w:rPr>
          <w:rFonts w:ascii="Arial" w:hAnsi="Arial" w:cs="Arial"/>
          <w:color w:val="auto"/>
        </w:rPr>
        <w:t>en  </w:t>
      </w:r>
      <w:r w:rsidRPr="006A356C">
        <w:rPr>
          <w:rFonts w:ascii="Arial" w:hAnsi="Arial" w:cs="Arial"/>
          <w:i/>
          <w:iCs/>
          <w:color w:val="auto"/>
        </w:rPr>
        <w:t xml:space="preserve">Teoría del Neoconstitucionalismo </w:t>
      </w:r>
      <w:r w:rsidRPr="006A356C">
        <w:rPr>
          <w:rFonts w:ascii="Arial" w:hAnsi="Arial" w:cs="Arial"/>
          <w:color w:val="auto"/>
        </w:rPr>
        <w:t xml:space="preserve">(nota 2), p. 42. En similar sentido, Riccardo Guastini reconoce la multiplicidad de significados del término «Constitución», distinguiendo capitalmente cuatro significados principales: «a) como ordenamiento político de tipo “liberal”; b) como conjunto de normas jurídicas que caracterizan e identifican todo ordenamiento; c) como documento normativo que tiene ese nombre (o un nombre equivalente); y, d) un particular texto normativo dotado de ciertas características “formales”, o sea, de un peculiar régimen jurídico»  (GUASTINI, Riccardo, </w:t>
      </w:r>
      <w:r w:rsidRPr="006A356C">
        <w:rPr>
          <w:rFonts w:ascii="Arial" w:hAnsi="Arial" w:cs="Arial"/>
          <w:i/>
          <w:iCs/>
          <w:color w:val="auto"/>
        </w:rPr>
        <w:t>«Sobre el Concepto de Constitución»</w:t>
      </w:r>
      <w:r w:rsidRPr="006A356C">
        <w:rPr>
          <w:rFonts w:ascii="Arial" w:hAnsi="Arial" w:cs="Arial"/>
          <w:color w:val="auto"/>
        </w:rPr>
        <w:t>, en  </w:t>
      </w:r>
      <w:r w:rsidRPr="006A356C">
        <w:rPr>
          <w:rFonts w:ascii="Arial" w:hAnsi="Arial" w:cs="Arial"/>
          <w:i/>
          <w:iCs/>
          <w:color w:val="auto"/>
        </w:rPr>
        <w:t xml:space="preserve">Teoría del Neoconstitucionalismo </w:t>
      </w:r>
      <w:r w:rsidRPr="006A356C">
        <w:rPr>
          <w:rFonts w:ascii="Arial" w:hAnsi="Arial" w:cs="Arial"/>
          <w:color w:val="auto"/>
        </w:rPr>
        <w:t>(nota 2), pp. 15-16; Josep Aguiló Regla, partiendo de la distinción entre propiedades de una Constitución y concepciones de la misma, analiza «Cuatro pares de concepciones opuestas de la Constitución»: La concepción mecánica frente a la normativa, la concepción procedimental frente a la sustantiva, la concepción política frente a la jurídica y la concepción de la Constitución como fuente de las fuentes del Derecho frente a la concepción de la misma como fuente de Derecho (</w:t>
      </w:r>
      <w:r w:rsidRPr="006A356C">
        <w:rPr>
          <w:rFonts w:ascii="Arial" w:hAnsi="Arial" w:cs="Arial"/>
          <w:i/>
          <w:iCs/>
          <w:color w:val="auto"/>
        </w:rPr>
        <w:t>Vid. «Cuatro pares de concepciones opuestas de Constitución»</w:t>
      </w:r>
      <w:r w:rsidRPr="006A356C">
        <w:rPr>
          <w:rFonts w:ascii="Arial" w:hAnsi="Arial" w:cs="Arial"/>
          <w:color w:val="auto"/>
        </w:rPr>
        <w:t xml:space="preserve">, en </w:t>
      </w:r>
      <w:r w:rsidRPr="006A356C">
        <w:rPr>
          <w:rFonts w:ascii="Arial" w:hAnsi="Arial" w:cs="Arial"/>
          <w:i/>
          <w:iCs/>
          <w:color w:val="auto"/>
        </w:rPr>
        <w:t>«Fragmentos para una teoría de la Constitución»</w:t>
      </w:r>
      <w:r w:rsidRPr="006A356C">
        <w:rPr>
          <w:rFonts w:ascii="Arial" w:hAnsi="Arial" w:cs="Arial"/>
          <w:color w:val="auto"/>
        </w:rPr>
        <w:t xml:space="preserve">, Josep Aguiló Regla, Manuel Atienza y Juan Ruiz Manero, Editorial Iustel, España, 2007, pp. 21-62. En igual sentido en AGUILÓ REGLA, Josep, </w:t>
      </w:r>
      <w:r w:rsidRPr="006A356C">
        <w:rPr>
          <w:rFonts w:ascii="Arial" w:hAnsi="Arial" w:cs="Arial"/>
          <w:i/>
          <w:iCs/>
          <w:color w:val="auto"/>
        </w:rPr>
        <w:t>«La Constitución del Estado Constitucional»</w:t>
      </w:r>
      <w:r w:rsidRPr="006A356C">
        <w:rPr>
          <w:rFonts w:ascii="Arial" w:hAnsi="Arial" w:cs="Arial"/>
          <w:color w:val="auto"/>
        </w:rPr>
        <w:t xml:space="preserve">, Colección Pensamiento Jurídico Contemporáneo, Editorial Palestra y Editorial Temis, Lima-Bogotá, 2004.). </w:t>
      </w:r>
    </w:p>
    <w:p w:rsidR="00C21A64" w:rsidRPr="006A356C" w:rsidRDefault="00C21A64" w:rsidP="00C21A64">
      <w:pPr>
        <w:pStyle w:val="NormalWeb"/>
        <w:spacing w:line="360" w:lineRule="auto"/>
        <w:jc w:val="both"/>
        <w:rPr>
          <w:rFonts w:ascii="Arial" w:hAnsi="Arial" w:cs="Arial"/>
          <w:color w:val="auto"/>
        </w:rPr>
      </w:pPr>
      <w:hyperlink r:id="rId108" w:anchor="_ftnref4" w:history="1">
        <w:r w:rsidRPr="006A356C">
          <w:rPr>
            <w:rStyle w:val="Hipervnculo"/>
            <w:rFonts w:ascii="Arial" w:hAnsi="Arial" w:cs="Arial"/>
            <w:color w:val="auto"/>
            <w:vertAlign w:val="superscript"/>
          </w:rPr>
          <w:t>[4]</w:t>
        </w:r>
      </w:hyperlink>
      <w:r w:rsidRPr="006A356C">
        <w:rPr>
          <w:rFonts w:ascii="Arial" w:hAnsi="Arial" w:cs="Arial"/>
          <w:color w:val="auto"/>
        </w:rPr>
        <w:t xml:space="preserve"> «Es ineludible entender que la Constitución no es una simple disciplina sobre las fuentes del derecho, sino que ella es efectivamente fuente del Derecho; lo que supone que de ella dimanan derechos y obligaciones para los particulares y para los entes estatales, aún el legislativo. Esta aptitud para regular en su forma y fondo tanto la producción de normas infraconstitucionales como actos y omisiones de particulares y entidades estatales, es lo que Hesse denominó fuerza normativa de la Constitución» (Sentencia de Inconstitucionalidad número 15-96, de fecha 14 de febrero de 1997, considerando II 5). </w:t>
      </w:r>
    </w:p>
    <w:p w:rsidR="00C21A64" w:rsidRPr="006A356C" w:rsidRDefault="00C21A64" w:rsidP="00C21A64">
      <w:pPr>
        <w:pStyle w:val="NormalWeb"/>
        <w:spacing w:line="360" w:lineRule="auto"/>
        <w:jc w:val="both"/>
        <w:rPr>
          <w:rFonts w:ascii="Arial" w:hAnsi="Arial" w:cs="Arial"/>
          <w:color w:val="auto"/>
        </w:rPr>
      </w:pPr>
      <w:hyperlink r:id="rId109" w:anchor="_ftnref5" w:history="1">
        <w:r w:rsidRPr="006A356C">
          <w:rPr>
            <w:rStyle w:val="Hipervnculo"/>
            <w:rFonts w:ascii="Arial" w:hAnsi="Arial" w:cs="Arial"/>
            <w:color w:val="auto"/>
            <w:vertAlign w:val="superscript"/>
          </w:rPr>
          <w:t>[5]</w:t>
        </w:r>
      </w:hyperlink>
      <w:r w:rsidRPr="006A356C">
        <w:rPr>
          <w:rFonts w:ascii="Arial" w:hAnsi="Arial" w:cs="Arial"/>
          <w:color w:val="auto"/>
        </w:rPr>
        <w:t xml:space="preserve"> La Sala de lo Constitucional ha establecido mediante Sentencia de Inconstitucionalidad número 1-92, de fecha 19 de julio de 1996, considerando IV 1, que el Estado «tendrá sentido sólo como un medio puesto al servicio de la persona humana […] como un instrumento para la realización de los fines de ésta». </w:t>
      </w:r>
    </w:p>
    <w:p w:rsidR="00C21A64" w:rsidRPr="006A356C" w:rsidRDefault="00C21A64" w:rsidP="00C21A64">
      <w:pPr>
        <w:pStyle w:val="NormalWeb"/>
        <w:spacing w:line="360" w:lineRule="auto"/>
        <w:jc w:val="both"/>
        <w:rPr>
          <w:rFonts w:ascii="Arial" w:hAnsi="Arial" w:cs="Arial"/>
          <w:color w:val="auto"/>
        </w:rPr>
      </w:pPr>
      <w:hyperlink r:id="rId110" w:anchor="_ftnref6" w:history="1">
        <w:r w:rsidRPr="006A356C">
          <w:rPr>
            <w:rStyle w:val="Hipervnculo"/>
            <w:rFonts w:ascii="Arial" w:hAnsi="Arial" w:cs="Arial"/>
            <w:color w:val="auto"/>
            <w:vertAlign w:val="superscript"/>
          </w:rPr>
          <w:t>[6]</w:t>
        </w:r>
      </w:hyperlink>
      <w:r w:rsidRPr="006A356C">
        <w:rPr>
          <w:rFonts w:ascii="Arial" w:hAnsi="Arial" w:cs="Arial"/>
          <w:color w:val="auto"/>
        </w:rPr>
        <w:t xml:space="preserve"> «Siendo la Constitución expresión jurídica de la soberanía, no puede ser únicamente un conjunto de normas que forman parte del ordenamiento jurídico, sino que tal cuerpo de normas y principios es precisamente el primero-y, por tanto, el fundamental-de tal ordenamiento» (Sentencia de Inconstitucionalidad número 15-96 (nota 4), considerando II 3). </w:t>
      </w:r>
    </w:p>
    <w:p w:rsidR="00C21A64" w:rsidRPr="006A356C" w:rsidRDefault="00C21A64" w:rsidP="00C21A64">
      <w:pPr>
        <w:pStyle w:val="NormalWeb"/>
        <w:spacing w:line="360" w:lineRule="auto"/>
        <w:jc w:val="both"/>
        <w:rPr>
          <w:rFonts w:ascii="Arial" w:hAnsi="Arial" w:cs="Arial"/>
          <w:color w:val="auto"/>
        </w:rPr>
      </w:pPr>
      <w:hyperlink r:id="rId111" w:anchor="_ftnref7" w:history="1">
        <w:r w:rsidRPr="006A356C">
          <w:rPr>
            <w:rStyle w:val="Hipervnculo"/>
            <w:rFonts w:ascii="Arial" w:hAnsi="Arial" w:cs="Arial"/>
            <w:color w:val="auto"/>
            <w:vertAlign w:val="superscript"/>
          </w:rPr>
          <w:t>[7]</w:t>
        </w:r>
      </w:hyperlink>
      <w:r w:rsidRPr="006A356C">
        <w:rPr>
          <w:rFonts w:ascii="Arial" w:hAnsi="Arial" w:cs="Arial"/>
          <w:color w:val="auto"/>
        </w:rPr>
        <w:t xml:space="preserve"> «O bien la Constitución es una ley superior inmodificable por medios ordinarios, o bien queda al nivel de las demás leyes del Congreso y como tales, puede ser alterada según el Legislativo quiera alterarla. Si el primer extremo de la alternativa es la verdad, entonces un acto legislativo contrario a la Constitución, no es una ley; si el Segundo extremo de la alternativa es el verdadero, entonces las constituciones escritas son intentos absurdos por parte del pueblo, para limitar un poder que por su propia naturaleza es ilimitable» (MARSHALL, John, </w:t>
      </w:r>
      <w:r w:rsidRPr="006A356C">
        <w:rPr>
          <w:rFonts w:ascii="Arial" w:hAnsi="Arial" w:cs="Arial"/>
          <w:i/>
          <w:iCs/>
          <w:color w:val="auto"/>
        </w:rPr>
        <w:t>« Marbury vs. Madison »</w:t>
      </w:r>
      <w:r w:rsidRPr="006A356C">
        <w:rPr>
          <w:rFonts w:ascii="Arial" w:hAnsi="Arial" w:cs="Arial"/>
          <w:color w:val="auto"/>
        </w:rPr>
        <w:t xml:space="preserve">, Sentencia de la Corte Suprema de los Estados Unidos (5. U.S. 137) del 24 de Febrero de 1803, citado por CARBONELL, Miguel, «Marbury versus Madison: En los orígenes de la supremacía constitucional y el control de constitucionalidad», en «Revista Iberoamericana de Derecho Procesal </w:t>
      </w:r>
      <w:r w:rsidRPr="006A356C">
        <w:rPr>
          <w:rFonts w:ascii="Arial" w:hAnsi="Arial" w:cs="Arial"/>
          <w:color w:val="auto"/>
        </w:rPr>
        <w:lastRenderedPageBreak/>
        <w:t xml:space="preserve">Constitucional N° 5», Eduardo Ferrer Mac-Gregor (director), Editorial Porrúa, Instituto Iberoamericano de Derecho Procesal Constitucional, México, 2006, pp. 295. </w:t>
      </w:r>
    </w:p>
    <w:p w:rsidR="00C21A64" w:rsidRPr="006A356C" w:rsidRDefault="00C21A64" w:rsidP="00C21A64">
      <w:pPr>
        <w:pStyle w:val="NormalWeb"/>
        <w:spacing w:line="360" w:lineRule="auto"/>
        <w:jc w:val="both"/>
        <w:rPr>
          <w:rFonts w:ascii="Arial" w:hAnsi="Arial" w:cs="Arial"/>
          <w:color w:val="auto"/>
        </w:rPr>
      </w:pPr>
      <w:hyperlink r:id="rId112" w:anchor="_ftnref8" w:history="1">
        <w:r w:rsidRPr="006A356C">
          <w:rPr>
            <w:rStyle w:val="Hipervnculo"/>
            <w:rFonts w:ascii="Arial" w:hAnsi="Arial" w:cs="Arial"/>
            <w:color w:val="auto"/>
            <w:vertAlign w:val="superscript"/>
          </w:rPr>
          <w:t>[8]</w:t>
        </w:r>
      </w:hyperlink>
      <w:r w:rsidRPr="006A356C">
        <w:rPr>
          <w:rFonts w:ascii="Arial" w:hAnsi="Arial" w:cs="Arial"/>
          <w:color w:val="auto"/>
        </w:rPr>
        <w:t xml:space="preserve"> Sentencia de Inconstitucionalidad número 15-96 (nota 4), considerando II 2. </w:t>
      </w:r>
    </w:p>
    <w:p w:rsidR="00C21A64" w:rsidRPr="006A356C" w:rsidRDefault="00C21A64" w:rsidP="00C21A64">
      <w:pPr>
        <w:pStyle w:val="NormalWeb"/>
        <w:spacing w:line="360" w:lineRule="auto"/>
        <w:jc w:val="both"/>
        <w:rPr>
          <w:rFonts w:ascii="Arial" w:hAnsi="Arial" w:cs="Arial"/>
          <w:color w:val="auto"/>
        </w:rPr>
      </w:pPr>
      <w:hyperlink r:id="rId113" w:anchor="_ftnref9" w:history="1">
        <w:r w:rsidRPr="006A356C">
          <w:rPr>
            <w:rStyle w:val="Hipervnculo"/>
            <w:rFonts w:ascii="Arial" w:hAnsi="Arial" w:cs="Arial"/>
            <w:color w:val="auto"/>
            <w:vertAlign w:val="superscript"/>
          </w:rPr>
          <w:t>[9]</w:t>
        </w:r>
      </w:hyperlink>
      <w:r w:rsidRPr="006A356C">
        <w:rPr>
          <w:rFonts w:ascii="Arial" w:hAnsi="Arial" w:cs="Arial"/>
          <w:color w:val="auto"/>
        </w:rPr>
        <w:t xml:space="preserve"> Ibídem, considerando II 4. </w:t>
      </w:r>
    </w:p>
    <w:p w:rsidR="00C21A64" w:rsidRPr="006A356C" w:rsidRDefault="00C21A64" w:rsidP="00C21A64">
      <w:pPr>
        <w:pStyle w:val="NormalWeb"/>
        <w:spacing w:line="360" w:lineRule="auto"/>
        <w:jc w:val="both"/>
        <w:rPr>
          <w:rFonts w:ascii="Arial" w:hAnsi="Arial" w:cs="Arial"/>
          <w:color w:val="auto"/>
        </w:rPr>
      </w:pPr>
      <w:hyperlink r:id="rId114" w:anchor="_ftnref10" w:history="1">
        <w:r w:rsidRPr="006A356C">
          <w:rPr>
            <w:rStyle w:val="Hipervnculo"/>
            <w:rFonts w:ascii="Arial" w:hAnsi="Arial" w:cs="Arial"/>
            <w:color w:val="auto"/>
            <w:vertAlign w:val="superscript"/>
          </w:rPr>
          <w:t>[10]</w:t>
        </w:r>
      </w:hyperlink>
      <w:r w:rsidRPr="006A356C">
        <w:rPr>
          <w:rFonts w:ascii="Arial" w:hAnsi="Arial" w:cs="Arial"/>
          <w:color w:val="auto"/>
        </w:rPr>
        <w:t xml:space="preserve"> </w:t>
      </w:r>
      <w:r w:rsidRPr="006A356C">
        <w:rPr>
          <w:rFonts w:ascii="Arial" w:hAnsi="Arial" w:cs="Arial"/>
          <w:i/>
          <w:iCs/>
          <w:color w:val="auto"/>
        </w:rPr>
        <w:t>Vid.</w:t>
      </w:r>
      <w:r w:rsidRPr="006A356C">
        <w:rPr>
          <w:rFonts w:ascii="Arial" w:hAnsi="Arial" w:cs="Arial"/>
          <w:color w:val="auto"/>
        </w:rPr>
        <w:t xml:space="preserve"> ALEXY, Robert, </w:t>
      </w:r>
      <w:r w:rsidRPr="006A356C">
        <w:rPr>
          <w:rFonts w:ascii="Arial" w:hAnsi="Arial" w:cs="Arial"/>
          <w:i/>
          <w:iCs/>
          <w:color w:val="auto"/>
        </w:rPr>
        <w:t>«Tres escritos sobre los derechos fundamentales y la teoría de los principios»</w:t>
      </w:r>
      <w:r w:rsidRPr="006A356C">
        <w:rPr>
          <w:rFonts w:ascii="Arial" w:hAnsi="Arial" w:cs="Arial"/>
          <w:color w:val="auto"/>
        </w:rPr>
        <w:t xml:space="preserve">, Presentación y Traducción de Carlos Bernal Pulido, Serie de Teoría Jurídica y Filosofía del Derecho N° 28, Universidad Externado de Colombia, 2003, pp. 19-31; BOROWSKI, Martín, </w:t>
      </w:r>
      <w:r w:rsidRPr="006A356C">
        <w:rPr>
          <w:rFonts w:ascii="Arial" w:hAnsi="Arial" w:cs="Arial"/>
          <w:i/>
          <w:iCs/>
          <w:color w:val="auto"/>
        </w:rPr>
        <w:t>«La estructura de los derechos fundamentales»</w:t>
      </w:r>
      <w:r w:rsidRPr="006A356C">
        <w:rPr>
          <w:rFonts w:ascii="Arial" w:hAnsi="Arial" w:cs="Arial"/>
          <w:color w:val="auto"/>
        </w:rPr>
        <w:t xml:space="preserve">, Traducción de Carlos Bernal Pulido, Serie de Teoría Jurídica y Filosofía del Derecho N° 25, Universidad Externado de Colombia, 2003, pp. 30-37. </w:t>
      </w:r>
    </w:p>
    <w:p w:rsidR="00C21A64" w:rsidRPr="006A356C" w:rsidRDefault="00C21A64" w:rsidP="00C21A64">
      <w:pPr>
        <w:pStyle w:val="NormalWeb"/>
        <w:spacing w:line="360" w:lineRule="auto"/>
        <w:jc w:val="both"/>
        <w:rPr>
          <w:rFonts w:ascii="Arial" w:hAnsi="Arial" w:cs="Arial"/>
          <w:color w:val="auto"/>
        </w:rPr>
      </w:pPr>
      <w:hyperlink r:id="rId115" w:anchor="_ftnref11" w:history="1">
        <w:r w:rsidRPr="006A356C">
          <w:rPr>
            <w:rStyle w:val="Hipervnculo"/>
            <w:rFonts w:ascii="Arial" w:hAnsi="Arial" w:cs="Arial"/>
            <w:color w:val="auto"/>
            <w:vertAlign w:val="superscript"/>
          </w:rPr>
          <w:t>[11]</w:t>
        </w:r>
      </w:hyperlink>
      <w:r w:rsidRPr="006A356C">
        <w:rPr>
          <w:rFonts w:ascii="Arial" w:hAnsi="Arial" w:cs="Arial"/>
          <w:color w:val="auto"/>
        </w:rPr>
        <w:t xml:space="preserve"> </w:t>
      </w:r>
      <w:r w:rsidRPr="006A356C">
        <w:rPr>
          <w:rFonts w:ascii="Arial" w:hAnsi="Arial" w:cs="Arial"/>
          <w:i/>
          <w:iCs/>
          <w:color w:val="auto"/>
        </w:rPr>
        <w:t>Vid.</w:t>
      </w:r>
      <w:r w:rsidRPr="006A356C">
        <w:rPr>
          <w:rFonts w:ascii="Arial" w:hAnsi="Arial" w:cs="Arial"/>
          <w:color w:val="auto"/>
        </w:rPr>
        <w:t xml:space="preserve"> ALEXY, Robert, «</w:t>
      </w:r>
      <w:r w:rsidRPr="006A356C">
        <w:rPr>
          <w:rFonts w:ascii="Arial" w:hAnsi="Arial" w:cs="Arial"/>
          <w:i/>
          <w:iCs/>
          <w:color w:val="auto"/>
        </w:rPr>
        <w:t xml:space="preserve">Teoría de los Derechos Fundamentales», </w:t>
      </w:r>
      <w:r w:rsidRPr="006A356C">
        <w:rPr>
          <w:rFonts w:ascii="Arial" w:hAnsi="Arial" w:cs="Arial"/>
          <w:color w:val="auto"/>
        </w:rPr>
        <w:t xml:space="preserve">Traducción y Estudio introductorio de Carlos Bernal Pulido, 2ª Edición en Castellano, Centro de Estudios Políticos y Constitucionales, Madrid, 2007, pp. 214-218; según Alexy </w:t>
      </w:r>
      <w:r w:rsidRPr="006A356C">
        <w:rPr>
          <w:rFonts w:ascii="Arial" w:hAnsi="Arial" w:cs="Arial"/>
          <w:i/>
          <w:iCs/>
          <w:color w:val="auto"/>
        </w:rPr>
        <w:t>«un derecho fundamental como un todo es un haz de posiciones de derecho fundamental […] [y] está compuesto por elementos con una estructura bien definida, es decir, las distintas posiciones del ciudadano y del Estado, y entre estas posiciones existen relaciones claramente determinables, las relaciones de precisión, de medio/fin y de ponderación».</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hyperlink r:id="rId116" w:anchor="_ftnref12" w:history="1">
        <w:r w:rsidRPr="006A356C">
          <w:rPr>
            <w:rStyle w:val="Hipervnculo"/>
            <w:rFonts w:ascii="Arial" w:hAnsi="Arial" w:cs="Arial"/>
            <w:color w:val="auto"/>
            <w:vertAlign w:val="superscript"/>
          </w:rPr>
          <w:t>[12]</w:t>
        </w:r>
      </w:hyperlink>
      <w:r w:rsidRPr="006A356C">
        <w:rPr>
          <w:rFonts w:ascii="Arial" w:hAnsi="Arial" w:cs="Arial"/>
          <w:color w:val="auto"/>
        </w:rPr>
        <w:t xml:space="preserve"> Ibídem, pp. 46-49.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En igual sentido, </w:t>
      </w:r>
      <w:r w:rsidRPr="006A356C">
        <w:rPr>
          <w:rFonts w:ascii="Arial" w:hAnsi="Arial" w:cs="Arial"/>
          <w:i/>
          <w:iCs/>
          <w:color w:val="auto"/>
        </w:rPr>
        <w:t>Vid.</w:t>
      </w:r>
      <w:r w:rsidRPr="006A356C">
        <w:rPr>
          <w:rFonts w:ascii="Arial" w:hAnsi="Arial" w:cs="Arial"/>
          <w:color w:val="auto"/>
        </w:rPr>
        <w:t xml:space="preserve"> BERNAL PULIDO, Carlos, </w:t>
      </w:r>
      <w:r w:rsidRPr="006A356C">
        <w:rPr>
          <w:rFonts w:ascii="Arial" w:hAnsi="Arial" w:cs="Arial"/>
          <w:i/>
          <w:iCs/>
          <w:color w:val="auto"/>
        </w:rPr>
        <w:t>«El Principio de Proporcionalidad y los Derechos Fundamentales»</w:t>
      </w:r>
      <w:r w:rsidRPr="006A356C">
        <w:rPr>
          <w:rFonts w:ascii="Arial" w:hAnsi="Arial" w:cs="Arial"/>
          <w:color w:val="auto"/>
        </w:rPr>
        <w:t xml:space="preserve">, 3ª Edición, Centro de Estudios Políticos y Constitucionales, España, 2007, p. 82-83.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Manifiesta Bernal Pulido que «las </w:t>
      </w:r>
      <w:r w:rsidRPr="006A356C">
        <w:rPr>
          <w:rFonts w:ascii="Arial" w:hAnsi="Arial" w:cs="Arial"/>
          <w:i/>
          <w:iCs/>
          <w:color w:val="auto"/>
        </w:rPr>
        <w:t>disposiciones de derecho  fundamental</w:t>
      </w:r>
      <w:r w:rsidRPr="006A356C">
        <w:rPr>
          <w:rFonts w:ascii="Arial" w:hAnsi="Arial" w:cs="Arial"/>
          <w:color w:val="auto"/>
        </w:rPr>
        <w:t xml:space="preserve"> son los enunciados de la Constitución que tipifican los derechos fundamentales». </w:t>
      </w:r>
    </w:p>
    <w:p w:rsidR="00C21A64" w:rsidRPr="006A356C" w:rsidRDefault="00C21A64" w:rsidP="00C21A64">
      <w:pPr>
        <w:pStyle w:val="NormalWeb"/>
        <w:spacing w:line="360" w:lineRule="auto"/>
        <w:jc w:val="both"/>
        <w:rPr>
          <w:rFonts w:ascii="Arial" w:hAnsi="Arial" w:cs="Arial"/>
          <w:color w:val="auto"/>
        </w:rPr>
      </w:pPr>
      <w:hyperlink r:id="rId117" w:anchor="_ftnref13" w:history="1">
        <w:r w:rsidRPr="006A356C">
          <w:rPr>
            <w:rStyle w:val="Hipervnculo"/>
            <w:rFonts w:ascii="Arial" w:hAnsi="Arial" w:cs="Arial"/>
            <w:color w:val="auto"/>
            <w:vertAlign w:val="superscript"/>
          </w:rPr>
          <w:t>[13]</w:t>
        </w:r>
      </w:hyperlink>
      <w:r w:rsidRPr="006A356C">
        <w:rPr>
          <w:rFonts w:ascii="Arial" w:hAnsi="Arial" w:cs="Arial"/>
          <w:color w:val="auto"/>
        </w:rPr>
        <w:t xml:space="preserve"> ALEXY, Robert, «</w:t>
      </w:r>
      <w:r w:rsidRPr="006A356C">
        <w:rPr>
          <w:rFonts w:ascii="Arial" w:hAnsi="Arial" w:cs="Arial"/>
          <w:i/>
          <w:iCs/>
          <w:color w:val="auto"/>
        </w:rPr>
        <w:t>Teoría…» op.cit.</w:t>
      </w:r>
      <w:r w:rsidRPr="006A356C">
        <w:rPr>
          <w:rFonts w:ascii="Arial" w:hAnsi="Arial" w:cs="Arial"/>
          <w:color w:val="auto"/>
        </w:rPr>
        <w:t xml:space="preserve"> (</w:t>
      </w:r>
      <w:proofErr w:type="gramStart"/>
      <w:r w:rsidRPr="006A356C">
        <w:rPr>
          <w:rFonts w:ascii="Arial" w:hAnsi="Arial" w:cs="Arial"/>
          <w:color w:val="auto"/>
        </w:rPr>
        <w:t>nota</w:t>
      </w:r>
      <w:proofErr w:type="gramEnd"/>
      <w:r w:rsidRPr="006A356C">
        <w:rPr>
          <w:rFonts w:ascii="Arial" w:hAnsi="Arial" w:cs="Arial"/>
          <w:color w:val="auto"/>
        </w:rPr>
        <w:t xml:space="preserve"> 11), pp. 46-49.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 xml:space="preserve">Expone Bernal Pulido que «las </w:t>
      </w:r>
      <w:r w:rsidRPr="006A356C">
        <w:rPr>
          <w:rFonts w:ascii="Arial" w:hAnsi="Arial" w:cs="Arial"/>
          <w:i/>
          <w:iCs/>
          <w:color w:val="auto"/>
        </w:rPr>
        <w:t>normas de derecho fundamental</w:t>
      </w:r>
      <w:r w:rsidRPr="006A356C">
        <w:rPr>
          <w:rFonts w:ascii="Arial" w:hAnsi="Arial" w:cs="Arial"/>
          <w:color w:val="auto"/>
        </w:rPr>
        <w:t xml:space="preserve"> se definen como el conjunto de significados prescriptivos de las disposiciones de derecho fundamental. Este conjunto de significados se expresa mediante proposiciones prescriptivas que establecen que algo está iusfundamentalmente ordenado, prohibido o permitido, o que atribuyen a un sujeto una competencia de derecho fundamental» (BERNAL PULIDO, Carlos, </w:t>
      </w:r>
      <w:r w:rsidRPr="006A356C">
        <w:rPr>
          <w:rFonts w:ascii="Arial" w:hAnsi="Arial" w:cs="Arial"/>
          <w:i/>
          <w:iCs/>
          <w:color w:val="auto"/>
        </w:rPr>
        <w:t xml:space="preserve">«El Principio…», 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12), p. 83). </w:t>
      </w:r>
    </w:p>
    <w:p w:rsidR="00C21A64" w:rsidRPr="006A356C" w:rsidRDefault="00C21A64" w:rsidP="00C21A64">
      <w:pPr>
        <w:pStyle w:val="NormalWeb"/>
        <w:spacing w:line="360" w:lineRule="auto"/>
        <w:jc w:val="both"/>
        <w:rPr>
          <w:rFonts w:ascii="Arial" w:hAnsi="Arial" w:cs="Arial"/>
          <w:color w:val="auto"/>
        </w:rPr>
      </w:pPr>
      <w:hyperlink r:id="rId118" w:anchor="_ftnref14" w:history="1">
        <w:r w:rsidRPr="006A356C">
          <w:rPr>
            <w:rStyle w:val="Hipervnculo"/>
            <w:rFonts w:ascii="Arial" w:hAnsi="Arial" w:cs="Arial"/>
            <w:color w:val="auto"/>
            <w:vertAlign w:val="superscript"/>
          </w:rPr>
          <w:t>[14]</w:t>
        </w:r>
      </w:hyperlink>
      <w:r w:rsidRPr="006A356C">
        <w:rPr>
          <w:rFonts w:ascii="Arial" w:hAnsi="Arial" w:cs="Arial"/>
          <w:color w:val="auto"/>
        </w:rPr>
        <w:t xml:space="preserve"> ALEXY, Robert, «</w:t>
      </w:r>
      <w:r w:rsidRPr="006A356C">
        <w:rPr>
          <w:rFonts w:ascii="Arial" w:hAnsi="Arial" w:cs="Arial"/>
          <w:i/>
          <w:iCs/>
          <w:color w:val="auto"/>
        </w:rPr>
        <w:t>Teoría…» cit.</w:t>
      </w:r>
      <w:r w:rsidRPr="006A356C">
        <w:rPr>
          <w:rFonts w:ascii="Arial" w:hAnsi="Arial" w:cs="Arial"/>
          <w:color w:val="auto"/>
        </w:rPr>
        <w:t xml:space="preserve"> (nota 11), pp. 163-214.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Manifiesta Bernal Pulido que «las posiciones de derecho fundamental son relaciones jurídicas entre los individuos o entre los individuos y el Estado. Como tales, las posiciones de derecho fundamental son una amplia gama de relaciones jurídicas existentes en el Derecho» (BERNAL PULIDO, Carlos, </w:t>
      </w:r>
      <w:r w:rsidRPr="006A356C">
        <w:rPr>
          <w:rFonts w:ascii="Arial" w:hAnsi="Arial" w:cs="Arial"/>
          <w:i/>
          <w:iCs/>
          <w:color w:val="auto"/>
        </w:rPr>
        <w:t xml:space="preserve">«El Principio…», 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12), p. 85). </w:t>
      </w:r>
    </w:p>
    <w:p w:rsidR="00C21A64" w:rsidRPr="006A356C" w:rsidRDefault="00C21A64" w:rsidP="00C21A64">
      <w:pPr>
        <w:pStyle w:val="NormalWeb"/>
        <w:spacing w:line="360" w:lineRule="auto"/>
        <w:jc w:val="both"/>
        <w:rPr>
          <w:rFonts w:ascii="Arial" w:hAnsi="Arial" w:cs="Arial"/>
          <w:color w:val="auto"/>
        </w:rPr>
      </w:pPr>
      <w:hyperlink r:id="rId119" w:anchor="_ftnref15" w:history="1">
        <w:r w:rsidRPr="006A356C">
          <w:rPr>
            <w:rStyle w:val="Hipervnculo"/>
            <w:rFonts w:ascii="Arial" w:hAnsi="Arial" w:cs="Arial"/>
            <w:color w:val="auto"/>
            <w:vertAlign w:val="superscript"/>
          </w:rPr>
          <w:t>[15]</w:t>
        </w:r>
      </w:hyperlink>
      <w:r w:rsidRPr="006A356C">
        <w:rPr>
          <w:rFonts w:ascii="Arial" w:hAnsi="Arial" w:cs="Arial"/>
          <w:color w:val="auto"/>
        </w:rPr>
        <w:t xml:space="preserve"> D.C. Nº 38, del 15 de diciembre de 1983, publicado en el D.O. Nº 234, Tomo Nº 281, del 16 de diciembre de 1983. </w:t>
      </w:r>
    </w:p>
    <w:p w:rsidR="00C21A64" w:rsidRPr="006A356C" w:rsidRDefault="00C21A64" w:rsidP="00C21A64">
      <w:pPr>
        <w:pStyle w:val="NormalWeb"/>
        <w:spacing w:line="360" w:lineRule="auto"/>
        <w:jc w:val="both"/>
        <w:rPr>
          <w:rFonts w:ascii="Arial" w:hAnsi="Arial" w:cs="Arial"/>
          <w:color w:val="auto"/>
        </w:rPr>
      </w:pPr>
      <w:hyperlink r:id="rId120" w:anchor="_ftnref16" w:history="1">
        <w:r w:rsidRPr="006A356C">
          <w:rPr>
            <w:rStyle w:val="Hipervnculo"/>
            <w:rFonts w:ascii="Arial" w:hAnsi="Arial" w:cs="Arial"/>
            <w:color w:val="auto"/>
            <w:vertAlign w:val="superscript"/>
          </w:rPr>
          <w:t>[16]</w:t>
        </w:r>
      </w:hyperlink>
      <w:r w:rsidRPr="006A356C">
        <w:rPr>
          <w:rFonts w:ascii="Arial" w:hAnsi="Arial" w:cs="Arial"/>
          <w:color w:val="auto"/>
        </w:rPr>
        <w:t xml:space="preserve"> Las modalidades deónticas básicas están constituidas por los conceptos: </w:t>
      </w:r>
      <w:r w:rsidRPr="006A356C">
        <w:rPr>
          <w:rFonts w:ascii="Arial" w:hAnsi="Arial" w:cs="Arial"/>
          <w:i/>
          <w:iCs/>
          <w:color w:val="auto"/>
        </w:rPr>
        <w:t>obligatorio, prohibido y permitido</w:t>
      </w:r>
      <w:r w:rsidRPr="006A356C">
        <w:rPr>
          <w:rFonts w:ascii="Arial" w:hAnsi="Arial" w:cs="Arial"/>
          <w:color w:val="auto"/>
        </w:rPr>
        <w:t xml:space="preserve">. La «Obligatoriedad» prescribe una acción como debida, y es simbolizada por el operador deóntico </w:t>
      </w:r>
      <w:r w:rsidRPr="006A356C">
        <w:rPr>
          <w:rFonts w:ascii="Arial" w:hAnsi="Arial" w:cs="Arial"/>
          <w:i/>
          <w:iCs/>
          <w:color w:val="auto"/>
        </w:rPr>
        <w:t>«O»;</w:t>
      </w:r>
      <w:r w:rsidRPr="006A356C">
        <w:rPr>
          <w:rFonts w:ascii="Arial" w:hAnsi="Arial" w:cs="Arial"/>
          <w:color w:val="auto"/>
        </w:rPr>
        <w:t xml:space="preserve"> la «Prohibición» constriñe al sujeto a un hacer o dejar de hacer algo, simbolizado por el operador deóntico </w:t>
      </w:r>
      <w:r w:rsidRPr="006A356C">
        <w:rPr>
          <w:rFonts w:ascii="Arial" w:hAnsi="Arial" w:cs="Arial"/>
          <w:i/>
          <w:iCs/>
          <w:color w:val="auto"/>
        </w:rPr>
        <w:t>«F»;</w:t>
      </w:r>
      <w:r w:rsidRPr="006A356C">
        <w:rPr>
          <w:rFonts w:ascii="Arial" w:hAnsi="Arial" w:cs="Arial"/>
          <w:color w:val="auto"/>
        </w:rPr>
        <w:t xml:space="preserve"> y, la «Permisión» se configura como la habilitación jurídica para elegir entre hacer y no hacer, simbolizado por el operador deóntico </w:t>
      </w:r>
      <w:r w:rsidRPr="006A356C">
        <w:rPr>
          <w:rFonts w:ascii="Arial" w:hAnsi="Arial" w:cs="Arial"/>
          <w:i/>
          <w:iCs/>
          <w:color w:val="auto"/>
        </w:rPr>
        <w:t>«P»</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Sobre la lógica deóntica y sus modalidades, </w:t>
      </w:r>
      <w:r w:rsidRPr="006A356C">
        <w:rPr>
          <w:rFonts w:ascii="Arial" w:hAnsi="Arial" w:cs="Arial"/>
          <w:i/>
          <w:iCs/>
          <w:color w:val="auto"/>
        </w:rPr>
        <w:t>Vid.</w:t>
      </w:r>
      <w:r w:rsidRPr="006A356C">
        <w:rPr>
          <w:rFonts w:ascii="Arial" w:hAnsi="Arial" w:cs="Arial"/>
          <w:color w:val="auto"/>
        </w:rPr>
        <w:t xml:space="preserve"> BULYGIN, Eugenio, </w:t>
      </w:r>
      <w:r w:rsidRPr="006A356C">
        <w:rPr>
          <w:rFonts w:ascii="Arial" w:hAnsi="Arial" w:cs="Arial"/>
          <w:i/>
          <w:iCs/>
          <w:color w:val="auto"/>
        </w:rPr>
        <w:t xml:space="preserve">«Lógica Deóntica», </w:t>
      </w:r>
      <w:r w:rsidRPr="006A356C">
        <w:rPr>
          <w:rFonts w:ascii="Arial" w:hAnsi="Arial" w:cs="Arial"/>
          <w:color w:val="auto"/>
        </w:rPr>
        <w:t xml:space="preserve">en </w:t>
      </w:r>
      <w:r w:rsidRPr="006A356C">
        <w:rPr>
          <w:rFonts w:ascii="Arial" w:hAnsi="Arial" w:cs="Arial"/>
          <w:i/>
          <w:iCs/>
          <w:color w:val="auto"/>
        </w:rPr>
        <w:t>«Lógica»</w:t>
      </w:r>
      <w:r w:rsidRPr="006A356C">
        <w:rPr>
          <w:rFonts w:ascii="Arial" w:hAnsi="Arial" w:cs="Arial"/>
          <w:color w:val="auto"/>
        </w:rPr>
        <w:t xml:space="preserve">,  Edición de Carlos E. Alchourrón, Editorial Trotta, Serie Enciclopedia Iberoamericana de Filosofía n° 7, España, 1995, pp. 129-141; ALARCÓN CABRERA, Carlos, </w:t>
      </w:r>
      <w:r w:rsidRPr="006A356C">
        <w:rPr>
          <w:rFonts w:ascii="Arial" w:hAnsi="Arial" w:cs="Arial"/>
          <w:i/>
          <w:iCs/>
          <w:color w:val="auto"/>
        </w:rPr>
        <w:t>«</w:t>
      </w:r>
      <w:hyperlink r:id="rId121" w:history="1">
        <w:r w:rsidRPr="006A356C">
          <w:rPr>
            <w:rStyle w:val="Hipervnculo"/>
            <w:rFonts w:ascii="Arial" w:hAnsi="Arial" w:cs="Arial"/>
            <w:i/>
            <w:iCs/>
            <w:color w:val="auto"/>
          </w:rPr>
          <w:t>Las lógicas deónticas de Georg Henrik von Wright</w:t>
        </w:r>
      </w:hyperlink>
      <w:r w:rsidRPr="006A356C">
        <w:rPr>
          <w:rFonts w:ascii="Arial" w:hAnsi="Arial" w:cs="Arial"/>
          <w:i/>
          <w:iCs/>
          <w:color w:val="auto"/>
        </w:rPr>
        <w:t>»</w:t>
      </w:r>
      <w:r w:rsidRPr="006A356C">
        <w:rPr>
          <w:rFonts w:ascii="Arial" w:hAnsi="Arial" w:cs="Arial"/>
          <w:color w:val="auto"/>
        </w:rPr>
        <w:t xml:space="preserve">, en DOXA. Cuadernos de Filosofía del Derecho n° 26, Universidad de Alicante, España, 2003, pp. 109-126; RODRÍGUEZ, Jorge L., </w:t>
      </w:r>
      <w:r w:rsidRPr="006A356C">
        <w:rPr>
          <w:rFonts w:ascii="Arial" w:hAnsi="Arial" w:cs="Arial"/>
          <w:i/>
          <w:iCs/>
          <w:color w:val="auto"/>
        </w:rPr>
        <w:t xml:space="preserve">«Naturaleza y Lógica de las proposiciones normativas. Contribución en homenaje a G.H. von Wright», </w:t>
      </w:r>
      <w:r w:rsidRPr="006A356C">
        <w:rPr>
          <w:rFonts w:ascii="Arial" w:hAnsi="Arial" w:cs="Arial"/>
          <w:color w:val="auto"/>
        </w:rPr>
        <w:t>en</w:t>
      </w:r>
      <w:r w:rsidRPr="006A356C">
        <w:rPr>
          <w:rFonts w:ascii="Arial" w:hAnsi="Arial" w:cs="Arial"/>
          <w:i/>
          <w:iCs/>
          <w:color w:val="auto"/>
        </w:rPr>
        <w:t xml:space="preserve"> </w:t>
      </w:r>
      <w:r w:rsidRPr="006A356C">
        <w:rPr>
          <w:rFonts w:ascii="Arial" w:hAnsi="Arial" w:cs="Arial"/>
          <w:color w:val="auto"/>
        </w:rPr>
        <w:t xml:space="preserve">DOXA. Cuadernos de Filosofía del Derecho n° 26, Universidad de </w:t>
      </w:r>
      <w:r w:rsidRPr="006A356C">
        <w:rPr>
          <w:rFonts w:ascii="Arial" w:hAnsi="Arial" w:cs="Arial"/>
          <w:color w:val="auto"/>
        </w:rPr>
        <w:lastRenderedPageBreak/>
        <w:t>Alicante, España, 2003, pp. 87-108;  ALEXY, Robert, «</w:t>
      </w:r>
      <w:r w:rsidRPr="006A356C">
        <w:rPr>
          <w:rFonts w:ascii="Arial" w:hAnsi="Arial" w:cs="Arial"/>
          <w:i/>
          <w:iCs/>
          <w:color w:val="auto"/>
        </w:rPr>
        <w:t>Teoría…» cit.</w:t>
      </w:r>
      <w:r w:rsidRPr="006A356C">
        <w:rPr>
          <w:rFonts w:ascii="Arial" w:hAnsi="Arial" w:cs="Arial"/>
          <w:color w:val="auto"/>
        </w:rPr>
        <w:t xml:space="preserve"> (nota 11), pp. 173-177; ATIENZA, Manuel, </w:t>
      </w:r>
      <w:r w:rsidRPr="006A356C">
        <w:rPr>
          <w:rFonts w:ascii="Arial" w:hAnsi="Arial" w:cs="Arial"/>
          <w:i/>
          <w:iCs/>
          <w:color w:val="auto"/>
        </w:rPr>
        <w:t>«El Derecho como Argumentación»</w:t>
      </w:r>
      <w:r w:rsidRPr="006A356C">
        <w:rPr>
          <w:rFonts w:ascii="Arial" w:hAnsi="Arial" w:cs="Arial"/>
          <w:color w:val="auto"/>
        </w:rPr>
        <w:t>, 1</w:t>
      </w:r>
      <w:r w:rsidRPr="006A356C">
        <w:rPr>
          <w:rFonts w:ascii="Arial" w:hAnsi="Arial" w:cs="Arial"/>
          <w:color w:val="auto"/>
          <w:vertAlign w:val="superscript"/>
        </w:rPr>
        <w:t>a.</w:t>
      </w:r>
      <w:r w:rsidRPr="006A356C">
        <w:rPr>
          <w:rFonts w:ascii="Arial" w:hAnsi="Arial" w:cs="Arial"/>
          <w:color w:val="auto"/>
        </w:rPr>
        <w:t xml:space="preserve"> Edición 2</w:t>
      </w:r>
      <w:r w:rsidRPr="006A356C">
        <w:rPr>
          <w:rFonts w:ascii="Arial" w:hAnsi="Arial" w:cs="Arial"/>
          <w:color w:val="auto"/>
          <w:vertAlign w:val="superscript"/>
        </w:rPr>
        <w:t>a.</w:t>
      </w:r>
      <w:r w:rsidRPr="006A356C">
        <w:rPr>
          <w:rFonts w:ascii="Arial" w:hAnsi="Arial" w:cs="Arial"/>
          <w:color w:val="auto"/>
        </w:rPr>
        <w:t xml:space="preserve"> Impresión, Editorial Ariel, España, 2007, pp. 125-142. </w:t>
      </w:r>
    </w:p>
    <w:p w:rsidR="00C21A64" w:rsidRPr="006A356C" w:rsidRDefault="00C21A64" w:rsidP="00C21A64">
      <w:pPr>
        <w:pStyle w:val="NormalWeb"/>
        <w:spacing w:line="360" w:lineRule="auto"/>
        <w:jc w:val="both"/>
        <w:rPr>
          <w:rFonts w:ascii="Arial" w:hAnsi="Arial" w:cs="Arial"/>
          <w:color w:val="auto"/>
        </w:rPr>
      </w:pPr>
      <w:hyperlink r:id="rId122" w:anchor="_ftnref17" w:history="1">
        <w:r w:rsidRPr="006A356C">
          <w:rPr>
            <w:rStyle w:val="Hipervnculo"/>
            <w:rFonts w:ascii="Arial" w:hAnsi="Arial" w:cs="Arial"/>
            <w:color w:val="auto"/>
            <w:vertAlign w:val="superscript"/>
          </w:rPr>
          <w:t>[17]</w:t>
        </w:r>
      </w:hyperlink>
      <w:r w:rsidRPr="006A356C">
        <w:rPr>
          <w:rFonts w:ascii="Arial" w:hAnsi="Arial" w:cs="Arial"/>
          <w:color w:val="auto"/>
        </w:rPr>
        <w:t xml:space="preserve"> Siendo que los operadores deónticos se puede pueden definirse recíprocamente, si está ordenado que la correspondencia de toda clase y de todas las personas es inviolable, así como sus comunicaciones telefónicas, significa que </w:t>
      </w:r>
      <w:r w:rsidRPr="006A356C">
        <w:rPr>
          <w:rFonts w:ascii="Arial" w:hAnsi="Arial" w:cs="Arial"/>
          <w:i/>
          <w:iCs/>
          <w:color w:val="auto"/>
        </w:rPr>
        <w:t xml:space="preserve">está prohibido violar la correspondencia de toda clase y de todas las personas, así como sus comunicaciones telefónicas </w:t>
      </w:r>
      <w:r w:rsidRPr="006A356C">
        <w:rPr>
          <w:rFonts w:ascii="Arial" w:hAnsi="Arial" w:cs="Arial"/>
          <w:color w:val="auto"/>
        </w:rPr>
        <w:t>(</w:t>
      </w:r>
      <w:r w:rsidRPr="006A356C">
        <w:rPr>
          <w:rFonts w:ascii="Arial" w:hAnsi="Arial" w:cs="Arial"/>
          <w:i/>
          <w:iCs/>
          <w:color w:val="auto"/>
        </w:rPr>
        <w:t>« F  ¬ p »</w:t>
      </w:r>
      <w:r w:rsidRPr="006A356C">
        <w:rPr>
          <w:rFonts w:ascii="Arial" w:hAnsi="Arial" w:cs="Arial"/>
          <w:color w:val="auto"/>
        </w:rPr>
        <w:t>) y que</w:t>
      </w:r>
      <w:r w:rsidRPr="006A356C">
        <w:rPr>
          <w:rFonts w:ascii="Arial" w:hAnsi="Arial" w:cs="Arial"/>
          <w:i/>
          <w:iCs/>
          <w:color w:val="auto"/>
        </w:rPr>
        <w:t xml:space="preserve"> no está permitido violar la correspondencia de toda clase y de todas las personas, así como sus comunicaciones telefónicas </w:t>
      </w:r>
      <w:r w:rsidRPr="006A356C">
        <w:rPr>
          <w:rFonts w:ascii="Arial" w:hAnsi="Arial" w:cs="Arial"/>
          <w:color w:val="auto"/>
        </w:rPr>
        <w:t>(</w:t>
      </w:r>
      <w:r w:rsidRPr="006A356C">
        <w:rPr>
          <w:rFonts w:ascii="Arial" w:hAnsi="Arial" w:cs="Arial"/>
          <w:i/>
          <w:iCs/>
          <w:color w:val="auto"/>
        </w:rPr>
        <w:t>« ¬ P  ¬ p »</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hyperlink r:id="rId123" w:anchor="_ftnref18" w:history="1">
        <w:r w:rsidRPr="006A356C">
          <w:rPr>
            <w:rStyle w:val="Hipervnculo"/>
            <w:rFonts w:ascii="Arial" w:hAnsi="Arial" w:cs="Arial"/>
            <w:color w:val="auto"/>
            <w:vertAlign w:val="superscript"/>
          </w:rPr>
          <w:t>[18]</w:t>
        </w:r>
      </w:hyperlink>
      <w:r w:rsidRPr="006A356C">
        <w:rPr>
          <w:rFonts w:ascii="Arial" w:hAnsi="Arial" w:cs="Arial"/>
          <w:color w:val="auto"/>
        </w:rPr>
        <w:t xml:space="preserve"> </w:t>
      </w:r>
      <w:r w:rsidRPr="006A356C">
        <w:rPr>
          <w:rFonts w:ascii="Arial" w:hAnsi="Arial" w:cs="Arial"/>
          <w:i/>
          <w:iCs/>
          <w:color w:val="auto"/>
        </w:rPr>
        <w:t>Vid.,</w:t>
      </w:r>
      <w:r w:rsidRPr="006A356C">
        <w:rPr>
          <w:rFonts w:ascii="Arial" w:hAnsi="Arial" w:cs="Arial"/>
          <w:color w:val="auto"/>
        </w:rPr>
        <w:t xml:space="preserve"> BERNAL PULIDO, Carlos,</w:t>
      </w:r>
      <w:r w:rsidRPr="006A356C">
        <w:rPr>
          <w:rFonts w:ascii="Arial" w:hAnsi="Arial" w:cs="Arial"/>
          <w:i/>
          <w:iCs/>
          <w:color w:val="auto"/>
        </w:rPr>
        <w:t xml:space="preserve"> «El Principio…»,</w:t>
      </w:r>
      <w:r w:rsidRPr="006A356C">
        <w:rPr>
          <w:rFonts w:ascii="Arial" w:hAnsi="Arial" w:cs="Arial"/>
          <w:color w:val="auto"/>
        </w:rPr>
        <w:t xml:space="preserve"> </w:t>
      </w:r>
      <w:r w:rsidRPr="006A356C">
        <w:rPr>
          <w:rFonts w:ascii="Arial" w:hAnsi="Arial" w:cs="Arial"/>
          <w:i/>
          <w:iCs/>
          <w:color w:val="auto"/>
        </w:rPr>
        <w:t xml:space="preserve">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12), pp. 115-116.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Sostiene Bernal Pulido que  las normas iusfundamentales directamente estatuidas poseen  un elevado grado de generalidad. «Estas normas expresan el significado literal de las disposiciones de derecho fundamental en sentido prescriptivo […] se originan como resultado de esta traducción a términos prescriptivos o de deber ser, de las expresiones contenidas en las disposiciones de los derechos fundamentales». </w:t>
      </w:r>
    </w:p>
    <w:p w:rsidR="00C21A64" w:rsidRPr="006A356C" w:rsidRDefault="00C21A64" w:rsidP="00C21A64">
      <w:pPr>
        <w:pStyle w:val="NormalWeb"/>
        <w:spacing w:line="360" w:lineRule="auto"/>
        <w:jc w:val="both"/>
        <w:rPr>
          <w:rFonts w:ascii="Arial" w:hAnsi="Arial" w:cs="Arial"/>
          <w:color w:val="auto"/>
        </w:rPr>
      </w:pPr>
      <w:hyperlink r:id="rId124" w:anchor="_ftnref19" w:history="1">
        <w:r w:rsidRPr="006A356C">
          <w:rPr>
            <w:rStyle w:val="Hipervnculo"/>
            <w:rFonts w:ascii="Arial" w:hAnsi="Arial" w:cs="Arial"/>
            <w:color w:val="auto"/>
            <w:vertAlign w:val="superscript"/>
          </w:rPr>
          <w:t>[19]</w:t>
        </w:r>
      </w:hyperlink>
      <w:r w:rsidRPr="006A356C">
        <w:rPr>
          <w:rFonts w:ascii="Arial" w:hAnsi="Arial" w:cs="Arial"/>
          <w:color w:val="auto"/>
        </w:rPr>
        <w:t xml:space="preserve"> Sobre las posiciones de derecho fundamental, </w:t>
      </w:r>
      <w:r w:rsidRPr="006A356C">
        <w:rPr>
          <w:rFonts w:ascii="Arial" w:hAnsi="Arial" w:cs="Arial"/>
          <w:i/>
          <w:iCs/>
          <w:color w:val="auto"/>
        </w:rPr>
        <w:t>Vid.</w:t>
      </w:r>
      <w:r w:rsidRPr="006A356C">
        <w:rPr>
          <w:rFonts w:ascii="Arial" w:hAnsi="Arial" w:cs="Arial"/>
          <w:color w:val="auto"/>
        </w:rPr>
        <w:t xml:space="preserve"> ALEXY, Robert, «</w:t>
      </w:r>
      <w:r w:rsidRPr="006A356C">
        <w:rPr>
          <w:rFonts w:ascii="Arial" w:hAnsi="Arial" w:cs="Arial"/>
          <w:i/>
          <w:iCs/>
          <w:color w:val="auto"/>
        </w:rPr>
        <w:t>Teoría…» cit.</w:t>
      </w:r>
      <w:r w:rsidRPr="006A356C">
        <w:rPr>
          <w:rFonts w:ascii="Arial" w:hAnsi="Arial" w:cs="Arial"/>
          <w:color w:val="auto"/>
        </w:rPr>
        <w:t xml:space="preserve"> (nota 11), p. 155 </w:t>
      </w:r>
      <w:r w:rsidRPr="006A356C">
        <w:rPr>
          <w:rFonts w:ascii="Arial" w:hAnsi="Arial" w:cs="Arial"/>
          <w:i/>
          <w:iCs/>
          <w:color w:val="auto"/>
        </w:rPr>
        <w:t>et sequens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hyperlink r:id="rId125" w:anchor="_ftnref20" w:history="1">
        <w:r w:rsidRPr="006A356C">
          <w:rPr>
            <w:rStyle w:val="Hipervnculo"/>
            <w:rFonts w:ascii="Arial" w:hAnsi="Arial" w:cs="Arial"/>
            <w:color w:val="auto"/>
            <w:vertAlign w:val="superscript"/>
          </w:rPr>
          <w:t>[20]</w:t>
        </w:r>
      </w:hyperlink>
      <w:r w:rsidRPr="006A356C">
        <w:rPr>
          <w:rFonts w:ascii="Arial" w:hAnsi="Arial" w:cs="Arial"/>
          <w:color w:val="auto"/>
        </w:rPr>
        <w:t xml:space="preserve"> Sobre los « derechos a algo », </w:t>
      </w:r>
      <w:r w:rsidRPr="006A356C">
        <w:rPr>
          <w:rFonts w:ascii="Arial" w:hAnsi="Arial" w:cs="Arial"/>
          <w:i/>
          <w:iCs/>
          <w:color w:val="auto"/>
        </w:rPr>
        <w:t>Vid.</w:t>
      </w:r>
      <w:r w:rsidRPr="006A356C">
        <w:rPr>
          <w:rFonts w:ascii="Arial" w:hAnsi="Arial" w:cs="Arial"/>
          <w:color w:val="auto"/>
        </w:rPr>
        <w:t xml:space="preserve"> ALEXY, Robert, «</w:t>
      </w:r>
      <w:r w:rsidRPr="006A356C">
        <w:rPr>
          <w:rFonts w:ascii="Arial" w:hAnsi="Arial" w:cs="Arial"/>
          <w:i/>
          <w:iCs/>
          <w:color w:val="auto"/>
        </w:rPr>
        <w:t>Teoría…» cit.</w:t>
      </w:r>
      <w:r w:rsidRPr="006A356C">
        <w:rPr>
          <w:rFonts w:ascii="Arial" w:hAnsi="Arial" w:cs="Arial"/>
          <w:color w:val="auto"/>
        </w:rPr>
        <w:t xml:space="preserve"> (nota 11), pp. 163-185. </w:t>
      </w:r>
    </w:p>
    <w:p w:rsidR="00C21A64" w:rsidRPr="006A356C" w:rsidRDefault="00C21A64" w:rsidP="00C21A64">
      <w:pPr>
        <w:pStyle w:val="NormalWeb"/>
        <w:spacing w:line="360" w:lineRule="auto"/>
        <w:jc w:val="both"/>
        <w:rPr>
          <w:rFonts w:ascii="Arial" w:hAnsi="Arial" w:cs="Arial"/>
          <w:color w:val="auto"/>
        </w:rPr>
      </w:pPr>
      <w:hyperlink r:id="rId126" w:anchor="_ftnref21" w:history="1">
        <w:r w:rsidRPr="006A356C">
          <w:rPr>
            <w:rStyle w:val="Hipervnculo"/>
            <w:rFonts w:ascii="Arial" w:hAnsi="Arial" w:cs="Arial"/>
            <w:color w:val="auto"/>
            <w:vertAlign w:val="superscript"/>
          </w:rPr>
          <w:t>[21]</w:t>
        </w:r>
      </w:hyperlink>
      <w:r w:rsidRPr="006A356C">
        <w:rPr>
          <w:rFonts w:ascii="Arial" w:hAnsi="Arial" w:cs="Arial"/>
          <w:color w:val="auto"/>
        </w:rPr>
        <w:t xml:space="preserve"> Respecto a las acciones negativas (derechos de defensa) y positivas (derechos prestacionales), </w:t>
      </w:r>
      <w:r w:rsidRPr="006A356C">
        <w:rPr>
          <w:rFonts w:ascii="Arial" w:hAnsi="Arial" w:cs="Arial"/>
          <w:i/>
          <w:iCs/>
          <w:color w:val="auto"/>
        </w:rPr>
        <w:t>Vid.</w:t>
      </w:r>
      <w:r w:rsidRPr="006A356C">
        <w:rPr>
          <w:rFonts w:ascii="Arial" w:hAnsi="Arial" w:cs="Arial"/>
          <w:color w:val="auto"/>
        </w:rPr>
        <w:t xml:space="preserve"> ALEXY, Robert, «</w:t>
      </w:r>
      <w:r w:rsidRPr="006A356C">
        <w:rPr>
          <w:rFonts w:ascii="Arial" w:hAnsi="Arial" w:cs="Arial"/>
          <w:i/>
          <w:iCs/>
          <w:color w:val="auto"/>
        </w:rPr>
        <w:t>Teoría…» cit.</w:t>
      </w:r>
      <w:r w:rsidRPr="006A356C">
        <w:rPr>
          <w:rFonts w:ascii="Arial" w:hAnsi="Arial" w:cs="Arial"/>
          <w:color w:val="auto"/>
        </w:rPr>
        <w:t xml:space="preserve"> (nota 62), pp. 165-173 </w:t>
      </w:r>
    </w:p>
    <w:p w:rsidR="00C21A64" w:rsidRPr="006A356C" w:rsidRDefault="00C21A64" w:rsidP="00C21A64">
      <w:pPr>
        <w:pStyle w:val="NormalWeb"/>
        <w:spacing w:line="360" w:lineRule="auto"/>
        <w:jc w:val="both"/>
        <w:rPr>
          <w:rFonts w:ascii="Arial" w:hAnsi="Arial" w:cs="Arial"/>
          <w:color w:val="auto"/>
        </w:rPr>
      </w:pPr>
      <w:hyperlink r:id="rId127" w:anchor="_ftnref22" w:history="1">
        <w:r w:rsidRPr="006A356C">
          <w:rPr>
            <w:rStyle w:val="Hipervnculo"/>
            <w:rFonts w:ascii="Arial" w:hAnsi="Arial" w:cs="Arial"/>
            <w:color w:val="auto"/>
            <w:vertAlign w:val="superscript"/>
          </w:rPr>
          <w:t>[22]</w:t>
        </w:r>
      </w:hyperlink>
      <w:r w:rsidRPr="006A356C">
        <w:rPr>
          <w:rFonts w:ascii="Arial" w:hAnsi="Arial" w:cs="Arial"/>
          <w:color w:val="auto"/>
        </w:rPr>
        <w:t xml:space="preserve"> </w:t>
      </w:r>
      <w:r w:rsidRPr="006A356C">
        <w:rPr>
          <w:rFonts w:ascii="Arial" w:hAnsi="Arial" w:cs="Arial"/>
          <w:i/>
          <w:iCs/>
          <w:color w:val="auto"/>
        </w:rPr>
        <w:t>« </w:t>
      </w:r>
      <w:r w:rsidRPr="006A356C">
        <w:rPr>
          <w:rFonts w:ascii="Arial" w:hAnsi="Arial" w:cs="Arial"/>
          <w:color w:val="auto"/>
        </w:rPr>
        <w:t xml:space="preserve">En el marco de una investigación judicial o de la Fiscalía General de la República, no se considerará como interferencia o intervención telefónica, ni violación al derecho de intimidad, cuando se estuviere recibiendo amenazas, exigiendo rescate de una persona que estuviere privada de libertad o secuestrada </w:t>
      </w:r>
      <w:r w:rsidRPr="006A356C">
        <w:rPr>
          <w:rFonts w:ascii="Arial" w:hAnsi="Arial" w:cs="Arial"/>
          <w:color w:val="auto"/>
        </w:rPr>
        <w:lastRenderedPageBreak/>
        <w:t>o se pidiere el cumplimiento de determinados hechos a cambio de la liberación de dicha persona, o a cambio de no intentar ninguna acción penal o se trate de delitos de crimen organizado, y la víctima, el ofendido o su representante, en su caso, solicitaren o permitieren por escrito a la Fiscalía General de la República, la escucha y grabación de las conversaciones o acciones en que se reciban tales amenazas o exigencias. La escucha y grabación así obtenida podrá ser utilizada con fines probatorios en juicio y, en este caso, deberá ser valorada por el juez</w:t>
      </w:r>
      <w:r w:rsidRPr="006A356C">
        <w:rPr>
          <w:rFonts w:ascii="Arial" w:hAnsi="Arial" w:cs="Arial"/>
          <w:i/>
          <w:iCs/>
          <w:color w:val="auto"/>
        </w:rPr>
        <w:t> ».</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hyperlink r:id="rId128" w:anchor="_ftnref23" w:history="1">
        <w:r w:rsidRPr="006A356C">
          <w:rPr>
            <w:rStyle w:val="Hipervnculo"/>
            <w:rFonts w:ascii="Arial" w:hAnsi="Arial" w:cs="Arial"/>
            <w:color w:val="auto"/>
            <w:vertAlign w:val="superscript"/>
          </w:rPr>
          <w:t>[23]</w:t>
        </w:r>
      </w:hyperlink>
      <w:r w:rsidRPr="006A356C">
        <w:rPr>
          <w:rFonts w:ascii="Arial" w:hAnsi="Arial" w:cs="Arial"/>
          <w:color w:val="auto"/>
        </w:rPr>
        <w:t xml:space="preserve"> Según Fernández Rodríguez, existen diversas conceptualizaciones respecto a la Inconstitucionalidad por Omisión, las cuales pueden dividirse en dos grupos: el primero, integrado por aquéllos que conciben el instituto con un carácter extenso, el segundo, por los que lo entienden de dimensión más reducida. En el primer caso, la vulneración de las normas constitucionales puede producirse por la inactividad de los poderes públicos en un sentido general, con lo que se incluirían la no emisión de determinados actos políticos, actos administrativos e, incluso, la no emisión de decisiones judiciales. Así, el instituto se conecta al genérico incumplimiento de una obligación de desarrollo o de una obligación de actuar de origen constitucional sin ulteriores precisiones. En el segundo grupo, la inconstitucionalidad por omisión se limitaría a la inercia del Poder Legislativo (FERNÁNDEZ RODRÍGUEZ, José Julio, «</w:t>
      </w:r>
      <w:r w:rsidRPr="006A356C">
        <w:rPr>
          <w:rFonts w:ascii="Arial" w:hAnsi="Arial" w:cs="Arial"/>
          <w:i/>
          <w:iCs/>
          <w:color w:val="auto"/>
        </w:rPr>
        <w:t>Aproximación al concepto de Inconstitucionalidad por Omisión»</w:t>
      </w:r>
      <w:r w:rsidRPr="006A356C">
        <w:rPr>
          <w:rFonts w:ascii="Arial" w:hAnsi="Arial" w:cs="Arial"/>
          <w:color w:val="auto"/>
        </w:rPr>
        <w:t>, en «</w:t>
      </w:r>
      <w:r w:rsidRPr="006A356C">
        <w:rPr>
          <w:rFonts w:ascii="Arial" w:hAnsi="Arial" w:cs="Arial"/>
          <w:i/>
          <w:iCs/>
          <w:color w:val="auto"/>
        </w:rPr>
        <w:t>En busca de las normas ausentes. Ensayos sobre la Inconstitucionalidad por Omisión»</w:t>
      </w:r>
      <w:r w:rsidRPr="006A356C">
        <w:rPr>
          <w:rFonts w:ascii="Arial" w:hAnsi="Arial" w:cs="Arial"/>
          <w:color w:val="auto"/>
        </w:rPr>
        <w:t xml:space="preserve">, Coordinador Miguel Carbonell, Universidad Nacional Autónoma de México, Segunda Edición, 2007, p. 7) </w:t>
      </w:r>
    </w:p>
    <w:p w:rsidR="00C21A64" w:rsidRPr="006A356C" w:rsidRDefault="00C21A64" w:rsidP="00C21A64">
      <w:pPr>
        <w:pStyle w:val="NormalWeb"/>
        <w:spacing w:line="360" w:lineRule="auto"/>
        <w:jc w:val="both"/>
        <w:rPr>
          <w:rFonts w:ascii="Arial" w:hAnsi="Arial" w:cs="Arial"/>
          <w:color w:val="auto"/>
        </w:rPr>
      </w:pPr>
      <w:hyperlink r:id="rId129" w:anchor="_ftnref24" w:history="1">
        <w:r w:rsidRPr="006A356C">
          <w:rPr>
            <w:rStyle w:val="Hipervnculo"/>
            <w:rFonts w:ascii="Arial" w:hAnsi="Arial" w:cs="Arial"/>
            <w:color w:val="auto"/>
            <w:vertAlign w:val="superscript"/>
          </w:rPr>
          <w:t>[24]</w:t>
        </w:r>
      </w:hyperlink>
      <w:r w:rsidRPr="006A356C">
        <w:rPr>
          <w:rFonts w:ascii="Arial" w:hAnsi="Arial" w:cs="Arial"/>
          <w:color w:val="auto"/>
        </w:rPr>
        <w:t xml:space="preserve"> Sentencia de Hábeas Corpus número 135-2005/32-2007 acumulado, de fecha 16 de mayo de 2008, considerando IV 1.1 </w:t>
      </w:r>
    </w:p>
    <w:p w:rsidR="00C21A64" w:rsidRPr="006A356C" w:rsidRDefault="00C21A64" w:rsidP="00C21A64">
      <w:pPr>
        <w:pStyle w:val="NormalWeb"/>
        <w:spacing w:line="360" w:lineRule="auto"/>
        <w:jc w:val="both"/>
        <w:rPr>
          <w:rFonts w:ascii="Arial" w:hAnsi="Arial" w:cs="Arial"/>
          <w:color w:val="auto"/>
        </w:rPr>
      </w:pPr>
      <w:hyperlink r:id="rId130" w:anchor="_ftnref25" w:history="1">
        <w:r w:rsidRPr="006A356C">
          <w:rPr>
            <w:rStyle w:val="Hipervnculo"/>
            <w:rFonts w:ascii="Arial" w:hAnsi="Arial" w:cs="Arial"/>
            <w:color w:val="auto"/>
            <w:vertAlign w:val="superscript"/>
          </w:rPr>
          <w:t>[25]</w:t>
        </w:r>
      </w:hyperlink>
      <w:r w:rsidRPr="006A356C">
        <w:rPr>
          <w:rFonts w:ascii="Arial" w:hAnsi="Arial" w:cs="Arial"/>
          <w:color w:val="auto"/>
        </w:rPr>
        <w:t xml:space="preserve"> «La jurisprudencia de esta Sala sostiene de modo uniforme -SS. de 23-12-94, 9-5-95, 5-10-96, 5-2-97, 4-2-99 y 25-9-00, entre otras muchas- que dentro del concepto de correspondencia postal, a efectos de la garantía constitucional de su secreto, deben ser incluidos los paquetes postales por la posibilidad de que </w:t>
      </w:r>
      <w:r w:rsidRPr="006A356C">
        <w:rPr>
          <w:rFonts w:ascii="Arial" w:hAnsi="Arial" w:cs="Arial"/>
          <w:color w:val="auto"/>
        </w:rPr>
        <w:lastRenderedPageBreak/>
        <w:t xml:space="preserve">quienes los remitan incluyan en ellos mensajes personales dignos de ser amparados por el derecho a la intimidad que garantiza el art. 18.1 CE., de suerte que la apertura de un paquete postal no autorizada por auto motivado de la Autoridad judicial y no practicada de acuerdo con las formalidades establecidas en el art. 586 LECr vulneraría el derecho al secreto de las comunicaciones reconocido en el art. 18.3 CE y no podría producir, con arreglo al art. 11.1 LOPJ, efecto probatorio alguno, ni directa ni indirectamente. Pero también ha establecido la doctrina de esta Sala, en SS. como las de 15-11-94, 18-6-97, 7-1-99 y 19-4-00, que en la mencionada extensión del concepto de correspondencia postal no deben ser incluidos los paquetes cursados bajo el régimen de "etiqueta verde" a que se refiere el art. 117.1 del Reglamento del Convenio sobre paquetes postales de 14-12-89, en cuya envoltura exterior el remitente haya hecho constar su contenido, pues ello implica el reconocimiento de que no se envía mensaje que se quiera mantener reservado y la aceptación de que las autoridades competentes puedan abrir el paquete para el control de su contenido» (Tribunal Supremo, Sala II de lo Penal. Sentencia 308/2002, de 22 de febrero).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«Esta Sala ha venido entendiendo, y así se acordó en el Pleno no jurisdiccional de 4 de abril de 1995, que está comprendido en el derecho al secreto de las comunicaciones no solo las cartas sino todo género de correspondencia postal, entre ellas los paquetes postales, al poder ser portadores de mensajes personales de índole confidencial. Por ello, la detención y registro de esta clase de envíos queda bajo la salvaguardia de la Autoridad judicial, siendo nula la diligencia de apertura que no respete las garantías que la legitiman. Como excepción, sin embargo, el reconocimiento de los envíos postales puede ejecutarse de oficio y sin formalidades especiales sobre objetos abiertos y sobre los que se expidan en régimen de etiqueta verde» (Tribunal Supremo, Sala II de lo Penal. Sentencia 99/2005, de 2 de febrero). </w:t>
      </w:r>
    </w:p>
    <w:p w:rsidR="00C21A64" w:rsidRPr="006A356C" w:rsidRDefault="00C21A64" w:rsidP="00C21A64">
      <w:pPr>
        <w:pStyle w:val="NormalWeb"/>
        <w:spacing w:line="360" w:lineRule="auto"/>
        <w:jc w:val="both"/>
        <w:rPr>
          <w:rFonts w:ascii="Arial" w:hAnsi="Arial" w:cs="Arial"/>
          <w:color w:val="auto"/>
        </w:rPr>
      </w:pPr>
      <w:hyperlink r:id="rId131" w:anchor="_ftnref26" w:history="1">
        <w:r w:rsidRPr="006A356C">
          <w:rPr>
            <w:rStyle w:val="Hipervnculo"/>
            <w:rFonts w:ascii="Arial" w:hAnsi="Arial" w:cs="Arial"/>
            <w:color w:val="auto"/>
            <w:vertAlign w:val="superscript"/>
          </w:rPr>
          <w:t>[26]</w:t>
        </w:r>
      </w:hyperlink>
      <w:r w:rsidRPr="006A356C">
        <w:rPr>
          <w:rFonts w:ascii="Arial" w:hAnsi="Arial" w:cs="Arial"/>
          <w:color w:val="auto"/>
        </w:rPr>
        <w:t xml:space="preserve"> Diccionario de la Lengua Española, vigésima segunda edición, en el cual se define, en lo pertinente, comunicación como «1. Hacer a otro partícipe de lo que uno tiene. </w:t>
      </w:r>
      <w:bookmarkStart w:id="0" w:name="0_2"/>
      <w:bookmarkEnd w:id="0"/>
      <w:r w:rsidRPr="006A356C">
        <w:rPr>
          <w:rFonts w:ascii="Arial" w:hAnsi="Arial" w:cs="Arial"/>
          <w:color w:val="auto"/>
        </w:rPr>
        <w:t xml:space="preserve">2. Descubrir, manifestar o hacer saber a alguien algo. </w:t>
      </w:r>
      <w:bookmarkStart w:id="1" w:name="0_3"/>
      <w:bookmarkEnd w:id="1"/>
      <w:r w:rsidRPr="006A356C">
        <w:rPr>
          <w:rFonts w:ascii="Arial" w:hAnsi="Arial" w:cs="Arial"/>
          <w:color w:val="auto"/>
        </w:rPr>
        <w:t xml:space="preserve">3. Conversar, </w:t>
      </w:r>
      <w:r w:rsidRPr="006A356C">
        <w:rPr>
          <w:rFonts w:ascii="Arial" w:hAnsi="Arial" w:cs="Arial"/>
          <w:color w:val="auto"/>
        </w:rPr>
        <w:lastRenderedPageBreak/>
        <w:t xml:space="preserve">tratar con alguien de palabra o por escrito». </w:t>
      </w:r>
      <w:hyperlink r:id="rId132" w:history="1">
        <w:r w:rsidRPr="006A356C">
          <w:rPr>
            <w:rStyle w:val="Hipervnculo"/>
            <w:rFonts w:ascii="Arial" w:hAnsi="Arial" w:cs="Arial"/>
            <w:color w:val="auto"/>
          </w:rPr>
          <w:t>http://buscon.rae.es/draeI/SrvltConsulta?TIPO_BUS=3&amp;LEMA=telecomunicaci%C3%B3n</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hyperlink r:id="rId133" w:anchor="_ftnref27" w:history="1">
        <w:r w:rsidRPr="006A356C">
          <w:rPr>
            <w:rStyle w:val="Hipervnculo"/>
            <w:rFonts w:ascii="Arial" w:hAnsi="Arial" w:cs="Arial"/>
            <w:color w:val="auto"/>
            <w:vertAlign w:val="superscript"/>
          </w:rPr>
          <w:t>[27]</w:t>
        </w:r>
      </w:hyperlink>
      <w:r w:rsidRPr="006A356C">
        <w:rPr>
          <w:rFonts w:ascii="Arial" w:hAnsi="Arial" w:cs="Arial"/>
          <w:color w:val="auto"/>
        </w:rPr>
        <w:t xml:space="preserve"> Las cuales se encuentran consideradas dentro del término «correspondencia». </w:t>
      </w:r>
      <w:r w:rsidRPr="006A356C">
        <w:rPr>
          <w:rFonts w:ascii="Arial" w:hAnsi="Arial" w:cs="Arial"/>
          <w:i/>
          <w:iCs/>
          <w:color w:val="auto"/>
        </w:rPr>
        <w:t>Vid. Infra</w:t>
      </w:r>
      <w:r w:rsidRPr="006A356C">
        <w:rPr>
          <w:rFonts w:ascii="Arial" w:hAnsi="Arial" w:cs="Arial"/>
          <w:color w:val="auto"/>
        </w:rPr>
        <w:t xml:space="preserve"> 1.1 </w:t>
      </w:r>
    </w:p>
    <w:p w:rsidR="00C21A64" w:rsidRPr="006A356C" w:rsidRDefault="00C21A64" w:rsidP="00C21A64">
      <w:pPr>
        <w:pStyle w:val="NormalWeb"/>
        <w:spacing w:line="360" w:lineRule="auto"/>
        <w:jc w:val="both"/>
        <w:rPr>
          <w:rFonts w:ascii="Arial" w:hAnsi="Arial" w:cs="Arial"/>
          <w:color w:val="auto"/>
        </w:rPr>
      </w:pPr>
      <w:hyperlink r:id="rId134" w:anchor="_ftnref28" w:history="1">
        <w:r w:rsidRPr="006A356C">
          <w:rPr>
            <w:rStyle w:val="Hipervnculo"/>
            <w:rFonts w:ascii="Arial" w:hAnsi="Arial" w:cs="Arial"/>
            <w:color w:val="auto"/>
            <w:vertAlign w:val="superscript"/>
          </w:rPr>
          <w:t>[28]</w:t>
        </w:r>
      </w:hyperlink>
      <w:r w:rsidRPr="006A356C">
        <w:rPr>
          <w:rFonts w:ascii="Arial" w:hAnsi="Arial" w:cs="Arial"/>
          <w:color w:val="auto"/>
        </w:rPr>
        <w:t xml:space="preserve"> Tribunal Constitucional, Sala Primera. Sentencia 70/2002, de 3 de abril. </w:t>
      </w:r>
    </w:p>
    <w:p w:rsidR="00C21A64" w:rsidRPr="006A356C" w:rsidRDefault="00C21A64" w:rsidP="00C21A64">
      <w:pPr>
        <w:pStyle w:val="NormalWeb"/>
        <w:spacing w:line="360" w:lineRule="auto"/>
        <w:jc w:val="both"/>
        <w:rPr>
          <w:rFonts w:ascii="Arial" w:hAnsi="Arial" w:cs="Arial"/>
          <w:color w:val="auto"/>
        </w:rPr>
      </w:pPr>
      <w:hyperlink r:id="rId135" w:anchor="_ftnref29" w:history="1">
        <w:r w:rsidRPr="006A356C">
          <w:rPr>
            <w:rStyle w:val="Hipervnculo"/>
            <w:rFonts w:ascii="Arial" w:hAnsi="Arial" w:cs="Arial"/>
            <w:color w:val="auto"/>
            <w:vertAlign w:val="superscript"/>
          </w:rPr>
          <w:t>[29]</w:t>
        </w:r>
      </w:hyperlink>
      <w:r w:rsidRPr="006A356C">
        <w:rPr>
          <w:rFonts w:ascii="Arial" w:hAnsi="Arial" w:cs="Arial"/>
          <w:color w:val="auto"/>
        </w:rPr>
        <w:t xml:space="preserve"> Diccionario de la Lengua Española, vigésima segunda edición. </w:t>
      </w:r>
      <w:hyperlink r:id="rId136" w:history="1">
        <w:r w:rsidRPr="006A356C">
          <w:rPr>
            <w:rStyle w:val="Hipervnculo"/>
            <w:rFonts w:ascii="Arial" w:hAnsi="Arial" w:cs="Arial"/>
            <w:color w:val="auto"/>
          </w:rPr>
          <w:t>http://buscon.rae.es/draeI/SrvltConsulta?TIPO_BUS=3&amp;LEMA=telecomunicaci%C3%B3n</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hyperlink r:id="rId137" w:anchor="_ftnref30" w:history="1">
        <w:r w:rsidRPr="006A356C">
          <w:rPr>
            <w:rStyle w:val="Hipervnculo"/>
            <w:rFonts w:ascii="Arial" w:hAnsi="Arial" w:cs="Arial"/>
            <w:color w:val="auto"/>
            <w:vertAlign w:val="superscript"/>
          </w:rPr>
          <w:t>[30]</w:t>
        </w:r>
      </w:hyperlink>
      <w:r w:rsidRPr="006A356C">
        <w:rPr>
          <w:rFonts w:ascii="Arial" w:hAnsi="Arial" w:cs="Arial"/>
          <w:color w:val="auto"/>
        </w:rPr>
        <w:t xml:space="preserve"> Convenio Internacional de Telecomunicaciones, Nairobi, 1982 Anexo 2, Disp. 2015 </w:t>
      </w:r>
    </w:p>
    <w:p w:rsidR="00C21A64" w:rsidRPr="006A356C" w:rsidRDefault="00C21A64" w:rsidP="00C21A64">
      <w:pPr>
        <w:pStyle w:val="NormalWeb"/>
        <w:spacing w:line="360" w:lineRule="auto"/>
        <w:jc w:val="both"/>
        <w:rPr>
          <w:rFonts w:ascii="Arial" w:hAnsi="Arial" w:cs="Arial"/>
          <w:color w:val="auto"/>
        </w:rPr>
      </w:pPr>
      <w:hyperlink r:id="rId138" w:anchor="_ftnref31" w:history="1">
        <w:r w:rsidRPr="006A356C">
          <w:rPr>
            <w:rStyle w:val="Hipervnculo"/>
            <w:rFonts w:ascii="Arial" w:hAnsi="Arial" w:cs="Arial"/>
            <w:color w:val="auto"/>
            <w:vertAlign w:val="superscript"/>
          </w:rPr>
          <w:t>[31]</w:t>
        </w:r>
      </w:hyperlink>
      <w:r w:rsidRPr="006A356C">
        <w:rPr>
          <w:rFonts w:ascii="Arial" w:hAnsi="Arial" w:cs="Arial"/>
          <w:color w:val="auto"/>
        </w:rPr>
        <w:t xml:space="preserve"> «Este tipo de canal hace que no haya destinatarios determinados y que lo buscado sea precisamente lo contrario al secreto, o sea, la máxima difusión del mensaje y no la expectativa del secreto» (FERNÁNDEZ RODRÍGUEZ, José Julio, </w:t>
      </w:r>
      <w:r w:rsidRPr="006A356C">
        <w:rPr>
          <w:rFonts w:ascii="Arial" w:hAnsi="Arial" w:cs="Arial"/>
          <w:i/>
          <w:iCs/>
          <w:color w:val="auto"/>
        </w:rPr>
        <w:t>«Secreto e intervención de las comunicaciones en internet»</w:t>
      </w:r>
      <w:r w:rsidRPr="006A356C">
        <w:rPr>
          <w:rFonts w:ascii="Arial" w:hAnsi="Arial" w:cs="Arial"/>
          <w:color w:val="auto"/>
        </w:rPr>
        <w:t xml:space="preserve">, 1ª Edición, Thomson Civitas, Madrid, España, 2004, p. 99.) </w:t>
      </w:r>
    </w:p>
    <w:p w:rsidR="00C21A64" w:rsidRPr="006A356C" w:rsidRDefault="00C21A64" w:rsidP="00C21A64">
      <w:pPr>
        <w:pStyle w:val="NormalWeb"/>
        <w:spacing w:line="360" w:lineRule="auto"/>
        <w:jc w:val="both"/>
        <w:rPr>
          <w:rFonts w:ascii="Arial" w:hAnsi="Arial" w:cs="Arial"/>
          <w:color w:val="auto"/>
        </w:rPr>
      </w:pPr>
      <w:hyperlink r:id="rId139" w:anchor="_ftnref32" w:history="1">
        <w:r w:rsidRPr="006A356C">
          <w:rPr>
            <w:rStyle w:val="Hipervnculo"/>
            <w:rFonts w:ascii="Arial" w:hAnsi="Arial" w:cs="Arial"/>
            <w:color w:val="auto"/>
            <w:vertAlign w:val="superscript"/>
          </w:rPr>
          <w:t>[32]</w:t>
        </w:r>
      </w:hyperlink>
      <w:r w:rsidRPr="006A356C">
        <w:rPr>
          <w:rFonts w:ascii="Arial" w:hAnsi="Arial" w:cs="Arial"/>
          <w:color w:val="auto"/>
        </w:rPr>
        <w:t xml:space="preserve"> FERNÁNDEZ RODRÍGUEZ, José Julio, </w:t>
      </w:r>
      <w:r w:rsidRPr="006A356C">
        <w:rPr>
          <w:rFonts w:ascii="Arial" w:hAnsi="Arial" w:cs="Arial"/>
          <w:i/>
          <w:iCs/>
          <w:color w:val="auto"/>
        </w:rPr>
        <w:t>«Secreto e intervención… »</w:t>
      </w:r>
      <w:r w:rsidRPr="006A356C">
        <w:rPr>
          <w:rFonts w:ascii="Arial" w:hAnsi="Arial" w:cs="Arial"/>
          <w:color w:val="auto"/>
        </w:rPr>
        <w:t xml:space="preserve">, </w:t>
      </w:r>
      <w:r w:rsidRPr="006A356C">
        <w:rPr>
          <w:rFonts w:ascii="Arial" w:hAnsi="Arial" w:cs="Arial"/>
          <w:i/>
          <w:iCs/>
          <w:color w:val="auto"/>
        </w:rPr>
        <w:t xml:space="preserve">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31), p. 99 </w:t>
      </w:r>
    </w:p>
    <w:p w:rsidR="00C21A64" w:rsidRPr="006A356C" w:rsidRDefault="00C21A64" w:rsidP="00C21A64">
      <w:pPr>
        <w:pStyle w:val="NormalWeb"/>
        <w:spacing w:line="360" w:lineRule="auto"/>
        <w:jc w:val="both"/>
        <w:rPr>
          <w:rFonts w:ascii="Arial" w:hAnsi="Arial" w:cs="Arial"/>
          <w:color w:val="auto"/>
        </w:rPr>
      </w:pPr>
      <w:hyperlink r:id="rId140" w:anchor="_ftnref33" w:history="1">
        <w:r w:rsidRPr="006A356C">
          <w:rPr>
            <w:rStyle w:val="Hipervnculo"/>
            <w:rFonts w:ascii="Arial" w:hAnsi="Arial" w:cs="Arial"/>
            <w:color w:val="auto"/>
            <w:vertAlign w:val="superscript"/>
          </w:rPr>
          <w:t>[33]</w:t>
        </w:r>
      </w:hyperlink>
      <w:r w:rsidRPr="006A356C">
        <w:rPr>
          <w:rFonts w:ascii="Arial" w:hAnsi="Arial" w:cs="Arial"/>
          <w:color w:val="auto"/>
        </w:rPr>
        <w:t xml:space="preserve"> El servicio de mensajes cortos o SMS (</w:t>
      </w:r>
      <w:r w:rsidRPr="006A356C">
        <w:rPr>
          <w:rFonts w:ascii="Arial" w:hAnsi="Arial" w:cs="Arial"/>
          <w:i/>
          <w:iCs/>
          <w:color w:val="auto"/>
        </w:rPr>
        <w:t>Short Message Service</w:t>
      </w:r>
      <w:r w:rsidRPr="006A356C">
        <w:rPr>
          <w:rFonts w:ascii="Arial" w:hAnsi="Arial" w:cs="Arial"/>
          <w:color w:val="auto"/>
        </w:rPr>
        <w:t xml:space="preserve">) es un servicio disponible en los teléfonos móviles que permite el envío de mensajes cortos (también conocidos como mensajes de texto, o más coloquialmente, textos o mensajitos) entre teléfonos móviles, teléfonos fijos y otros dispositivos de mano. SMS fue diseñado originariamente como parte del estándar de </w:t>
      </w:r>
      <w:hyperlink r:id="rId141" w:history="1">
        <w:r w:rsidRPr="006A356C">
          <w:rPr>
            <w:rStyle w:val="Hipervnculo"/>
            <w:rFonts w:ascii="Arial" w:hAnsi="Arial" w:cs="Arial"/>
            <w:color w:val="auto"/>
          </w:rPr>
          <w:t>telefonía móvil</w:t>
        </w:r>
      </w:hyperlink>
      <w:r w:rsidRPr="006A356C">
        <w:rPr>
          <w:rFonts w:ascii="Arial" w:hAnsi="Arial" w:cs="Arial"/>
          <w:color w:val="auto"/>
        </w:rPr>
        <w:t xml:space="preserve"> digital </w:t>
      </w:r>
      <w:hyperlink r:id="rId142" w:history="1">
        <w:r w:rsidRPr="006A356C">
          <w:rPr>
            <w:rStyle w:val="Hipervnculo"/>
            <w:rFonts w:ascii="Arial" w:hAnsi="Arial" w:cs="Arial"/>
            <w:color w:val="auto"/>
          </w:rPr>
          <w:t>GSM</w:t>
        </w:r>
      </w:hyperlink>
      <w:r w:rsidRPr="006A356C">
        <w:rPr>
          <w:rFonts w:ascii="Arial" w:hAnsi="Arial" w:cs="Arial"/>
          <w:color w:val="auto"/>
        </w:rPr>
        <w:t xml:space="preserve">, pero en la actualidad está disponible en una amplia variedad de redes, incluyendo las redes </w:t>
      </w:r>
      <w:hyperlink r:id="rId143" w:history="1">
        <w:r w:rsidRPr="006A356C">
          <w:rPr>
            <w:rStyle w:val="Hipervnculo"/>
            <w:rFonts w:ascii="Arial" w:hAnsi="Arial" w:cs="Arial"/>
            <w:color w:val="auto"/>
          </w:rPr>
          <w:t>3G</w:t>
        </w:r>
      </w:hyperlink>
      <w:r w:rsidRPr="006A356C">
        <w:rPr>
          <w:rFonts w:ascii="Arial" w:hAnsi="Arial" w:cs="Arial"/>
          <w:color w:val="auto"/>
        </w:rPr>
        <w:t xml:space="preserve"> (</w:t>
      </w:r>
      <w:hyperlink r:id="rId144" w:history="1">
        <w:r w:rsidRPr="006A356C">
          <w:rPr>
            <w:rStyle w:val="Hipervnculo"/>
            <w:rFonts w:ascii="Arial" w:hAnsi="Arial" w:cs="Arial"/>
            <w:color w:val="auto"/>
          </w:rPr>
          <w:t>http://es.wikipedia.org/wiki/Servicio_de_mensajes_cortos</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hyperlink r:id="rId145" w:anchor="_ftnref34" w:history="1">
        <w:r w:rsidRPr="006A356C">
          <w:rPr>
            <w:rStyle w:val="Hipervnculo"/>
            <w:rFonts w:ascii="Arial" w:hAnsi="Arial" w:cs="Arial"/>
            <w:color w:val="auto"/>
            <w:vertAlign w:val="superscript"/>
          </w:rPr>
          <w:t>[34]</w:t>
        </w:r>
      </w:hyperlink>
      <w:r w:rsidRPr="006A356C">
        <w:rPr>
          <w:rFonts w:ascii="Arial" w:hAnsi="Arial" w:cs="Arial"/>
          <w:color w:val="auto"/>
        </w:rPr>
        <w:t xml:space="preserve"> FERNÁNDEZ RODRÍGUEZ, José Julio, </w:t>
      </w:r>
      <w:r w:rsidRPr="006A356C">
        <w:rPr>
          <w:rFonts w:ascii="Arial" w:hAnsi="Arial" w:cs="Arial"/>
          <w:i/>
          <w:iCs/>
          <w:color w:val="auto"/>
        </w:rPr>
        <w:t>«Secreto e intervención… »</w:t>
      </w:r>
      <w:r w:rsidRPr="006A356C">
        <w:rPr>
          <w:rFonts w:ascii="Arial" w:hAnsi="Arial" w:cs="Arial"/>
          <w:color w:val="auto"/>
        </w:rPr>
        <w:t xml:space="preserve">, </w:t>
      </w:r>
      <w:r w:rsidRPr="006A356C">
        <w:rPr>
          <w:rFonts w:ascii="Arial" w:hAnsi="Arial" w:cs="Arial"/>
          <w:i/>
          <w:iCs/>
          <w:color w:val="auto"/>
        </w:rPr>
        <w:t xml:space="preserve">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31), p. 87. </w:t>
      </w:r>
    </w:p>
    <w:p w:rsidR="00C21A64" w:rsidRPr="006A356C" w:rsidRDefault="00C21A64" w:rsidP="00C21A64">
      <w:pPr>
        <w:pStyle w:val="NormalWeb"/>
        <w:spacing w:line="360" w:lineRule="auto"/>
        <w:jc w:val="both"/>
        <w:rPr>
          <w:rFonts w:ascii="Arial" w:hAnsi="Arial" w:cs="Arial"/>
          <w:color w:val="auto"/>
        </w:rPr>
      </w:pPr>
      <w:hyperlink r:id="rId146" w:anchor="_ftnref35" w:history="1">
        <w:r w:rsidRPr="006A356C">
          <w:rPr>
            <w:rStyle w:val="Hipervnculo"/>
            <w:rFonts w:ascii="Arial" w:hAnsi="Arial" w:cs="Arial"/>
            <w:color w:val="auto"/>
            <w:vertAlign w:val="superscript"/>
          </w:rPr>
          <w:t>[35]</w:t>
        </w:r>
      </w:hyperlink>
      <w:r w:rsidRPr="006A356C">
        <w:rPr>
          <w:rFonts w:ascii="Arial" w:hAnsi="Arial" w:cs="Arial"/>
          <w:color w:val="auto"/>
        </w:rPr>
        <w:t xml:space="preserve"> JIMÉNEZ CAMPO, JAVIER, </w:t>
      </w:r>
      <w:r w:rsidRPr="006A356C">
        <w:rPr>
          <w:rFonts w:ascii="Arial" w:hAnsi="Arial" w:cs="Arial"/>
          <w:i/>
          <w:iCs/>
          <w:color w:val="auto"/>
        </w:rPr>
        <w:t>«La garantía constitucional del secreto de las comunicaciones»</w:t>
      </w:r>
      <w:r w:rsidRPr="006A356C">
        <w:rPr>
          <w:rFonts w:ascii="Arial" w:hAnsi="Arial" w:cs="Arial"/>
          <w:color w:val="auto"/>
        </w:rPr>
        <w:t xml:space="preserve">, en Revista Española de Derecho Constitucional, Año 7, número 20, Mayo-Agosto, 1987, España, p. 36. </w:t>
      </w:r>
    </w:p>
    <w:p w:rsidR="00C21A64" w:rsidRPr="006A356C" w:rsidRDefault="00C21A64" w:rsidP="00C21A64">
      <w:pPr>
        <w:pStyle w:val="NormalWeb"/>
        <w:spacing w:line="360" w:lineRule="auto"/>
        <w:jc w:val="both"/>
        <w:rPr>
          <w:rFonts w:ascii="Arial" w:hAnsi="Arial" w:cs="Arial"/>
          <w:color w:val="auto"/>
        </w:rPr>
      </w:pPr>
      <w:hyperlink r:id="rId147" w:anchor="_ftnref36" w:history="1">
        <w:r w:rsidRPr="006A356C">
          <w:rPr>
            <w:rStyle w:val="Hipervnculo"/>
            <w:rFonts w:ascii="Arial" w:hAnsi="Arial" w:cs="Arial"/>
            <w:color w:val="auto"/>
            <w:vertAlign w:val="superscript"/>
          </w:rPr>
          <w:t>[36]</w:t>
        </w:r>
      </w:hyperlink>
      <w:r w:rsidRPr="006A356C">
        <w:rPr>
          <w:rFonts w:ascii="Arial" w:hAnsi="Arial" w:cs="Arial"/>
          <w:color w:val="auto"/>
        </w:rPr>
        <w:t xml:space="preserve"> </w:t>
      </w:r>
      <w:r w:rsidRPr="006A356C">
        <w:rPr>
          <w:rFonts w:ascii="Arial" w:hAnsi="Arial" w:cs="Arial"/>
          <w:i/>
          <w:iCs/>
          <w:color w:val="auto"/>
        </w:rPr>
        <w:t>Ibídem</w:t>
      </w:r>
      <w:r w:rsidRPr="006A356C">
        <w:rPr>
          <w:rFonts w:ascii="Arial" w:hAnsi="Arial" w:cs="Arial"/>
          <w:color w:val="auto"/>
        </w:rPr>
        <w:t xml:space="preserve">., p. 51 </w:t>
      </w:r>
    </w:p>
    <w:p w:rsidR="00C21A64" w:rsidRPr="006A356C" w:rsidRDefault="00C21A64" w:rsidP="00C21A64">
      <w:pPr>
        <w:pStyle w:val="NormalWeb"/>
        <w:spacing w:line="360" w:lineRule="auto"/>
        <w:jc w:val="both"/>
        <w:rPr>
          <w:rFonts w:ascii="Arial" w:hAnsi="Arial" w:cs="Arial"/>
          <w:color w:val="auto"/>
        </w:rPr>
      </w:pPr>
      <w:hyperlink r:id="rId148" w:anchor="_ftnref37" w:history="1">
        <w:r w:rsidRPr="006A356C">
          <w:rPr>
            <w:rStyle w:val="Hipervnculo"/>
            <w:rFonts w:ascii="Arial" w:hAnsi="Arial" w:cs="Arial"/>
            <w:color w:val="auto"/>
            <w:vertAlign w:val="superscript"/>
          </w:rPr>
          <w:t>[37]</w:t>
        </w:r>
      </w:hyperlink>
      <w:r w:rsidRPr="006A356C">
        <w:rPr>
          <w:rFonts w:ascii="Arial" w:hAnsi="Arial" w:cs="Arial"/>
          <w:color w:val="auto"/>
        </w:rPr>
        <w:t xml:space="preserve"> Tribunal Constitucional, Sala Segunda. Sentencia 114/1984, de 29 de noviembre. </w:t>
      </w:r>
    </w:p>
    <w:p w:rsidR="00C21A64" w:rsidRPr="006A356C" w:rsidRDefault="00C21A64" w:rsidP="00C21A64">
      <w:pPr>
        <w:pStyle w:val="NormalWeb"/>
        <w:spacing w:line="360" w:lineRule="auto"/>
        <w:jc w:val="both"/>
        <w:rPr>
          <w:rFonts w:ascii="Arial" w:hAnsi="Arial" w:cs="Arial"/>
          <w:color w:val="auto"/>
        </w:rPr>
      </w:pPr>
      <w:hyperlink r:id="rId149" w:anchor="_ftnref38" w:history="1">
        <w:r w:rsidRPr="006A356C">
          <w:rPr>
            <w:rStyle w:val="Hipervnculo"/>
            <w:rFonts w:ascii="Arial" w:hAnsi="Arial" w:cs="Arial"/>
            <w:color w:val="auto"/>
            <w:vertAlign w:val="superscript"/>
          </w:rPr>
          <w:t>[38]</w:t>
        </w:r>
      </w:hyperlink>
      <w:r w:rsidRPr="006A356C">
        <w:rPr>
          <w:rFonts w:ascii="Arial" w:hAnsi="Arial" w:cs="Arial"/>
          <w:color w:val="auto"/>
        </w:rPr>
        <w:t xml:space="preserve"> La Sala de lo Constitucional ha manifestado que «debemos deducir una concepción amplia del secreto de las comunicaciones telefónicas, lo que se traduce en que lo relevante -constitucionalmente hablando- es la injerencia de terceros extraños a la comunicación, independiente de los medios o formas que se utilicen para captar las llamadas telefónicas y es que, lo que se protege en la garantía de inviolabilidad de las comunicaciones telefónicas, es la doble facultad que tienen los intervinientes en la comunicación, por un lado, la de comunicar libremente su pensamiento y además, la de hacerlo reservadamente con relación a destinatarios específicos, es decir, sin que otras personas distintas de los comunicantes conozcan el contenido de la comunicación. De lo anterior se puede deducir, que la garantía a la inviolabilidad de las comunicaciones telefónicas, no puede oponerse, sin quebrar su sentido constitucional, frente a quien tomó parte en la comunicación telefónica protegida, pues lo que se tutela es precisamente la libertad de las comunicaciones, específicamente su secreto, garantizando la norma constitucional, la impenetrabilidad de las comunicaciones por terceros (públicos o privados) ajenos a la comunicación misma, por lo que se afirma, que no constituye contravención alguna a la no interferencia o no intervención telefónica, la conducta del propio interlocutor que graba su conversación o que consiente la grabación de la misma. En esta delimitación del contenido esencial de la garantía de inviolabilidad de las comunicaciones telefónicas, cobran especial significado los sujetos que pueden resultar lesionados en una intervención </w:t>
      </w:r>
      <w:r w:rsidRPr="006A356C">
        <w:rPr>
          <w:rFonts w:ascii="Arial" w:hAnsi="Arial" w:cs="Arial"/>
          <w:color w:val="auto"/>
        </w:rPr>
        <w:lastRenderedPageBreak/>
        <w:t xml:space="preserve">telefónica, entendiendo este Tribunal que pueden ser dos los perjudicados: uno será el titular del derecho fundamental violado, que es la persona que sufre la intromisión ilegítima, es decir son las personas que intervienen en la comunicación ya sea emisores o receptores; y el otro es el sujeto legitimado, que es aquella persona que aunque no haya tenido participación directa en la comunicación se ve afectada por la interferencia o intervención telefónica o por la revelación de su contenido» (Sentencia de Hábeas Corpus número 145-2001, de fecha 11 de febrero de 2002, considerando III a).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El Tribunal Constitucional Español ha manifestado que «sea cual sea el ámbito objetivo del concepto de «comunicación», la norma constitucional se dirige inequívocamente a garantizar su impenetrabilidad por terceros (públicos o privados: el derecho posee eficacia erga omnes) ajenos a la comunicación misma. La presencia de un elemento ajeno a aquéllos entre los que media el proceso de comunicación, es indispensable para configurar el ilícito constitucional aquí perfilado» (STC 114/1984 (nota 37)).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Asimismo, Víctor Moreno Catena considera que la idea de secreto implica un concepto de relación. El secreto no nace en relación con uno mismo, puesto que si supone la ocultación de algo, tal ocultación ha de producirse en relación con un número más o menos amplio de personas (Citado por NOYA FERREIRO, María Lourdes, en </w:t>
      </w:r>
      <w:r w:rsidRPr="006A356C">
        <w:rPr>
          <w:rFonts w:ascii="Arial" w:hAnsi="Arial" w:cs="Arial"/>
          <w:i/>
          <w:iCs/>
          <w:color w:val="auto"/>
        </w:rPr>
        <w:t>«La intervención de comunicaciones orales directas en el proceso penal»</w:t>
      </w:r>
      <w:r w:rsidRPr="006A356C">
        <w:rPr>
          <w:rFonts w:ascii="Arial" w:hAnsi="Arial" w:cs="Arial"/>
          <w:color w:val="auto"/>
        </w:rPr>
        <w:t xml:space="preserve">, Editorial Tirant Lo Blanch, Valencia, España, 2000, p. 54). </w:t>
      </w:r>
    </w:p>
    <w:p w:rsidR="00C21A64" w:rsidRPr="006A356C" w:rsidRDefault="00C21A64" w:rsidP="00C21A64">
      <w:pPr>
        <w:pStyle w:val="NormalWeb"/>
        <w:spacing w:line="360" w:lineRule="auto"/>
        <w:jc w:val="both"/>
        <w:rPr>
          <w:rFonts w:ascii="Arial" w:hAnsi="Arial" w:cs="Arial"/>
          <w:color w:val="auto"/>
        </w:rPr>
      </w:pPr>
      <w:hyperlink r:id="rId150" w:anchor="_ftnref39" w:history="1">
        <w:r w:rsidRPr="006A356C">
          <w:rPr>
            <w:rStyle w:val="Hipervnculo"/>
            <w:rFonts w:ascii="Arial" w:hAnsi="Arial" w:cs="Arial"/>
            <w:color w:val="auto"/>
            <w:vertAlign w:val="superscript"/>
          </w:rPr>
          <w:t>[39]</w:t>
        </w:r>
      </w:hyperlink>
      <w:r w:rsidRPr="006A356C">
        <w:rPr>
          <w:rFonts w:ascii="Arial" w:hAnsi="Arial" w:cs="Arial"/>
          <w:color w:val="auto"/>
        </w:rPr>
        <w:t xml:space="preserve"> En ese sentido, </w:t>
      </w:r>
      <w:r w:rsidRPr="006A356C">
        <w:rPr>
          <w:rFonts w:ascii="Arial" w:hAnsi="Arial" w:cs="Arial"/>
          <w:i/>
          <w:iCs/>
          <w:color w:val="auto"/>
        </w:rPr>
        <w:t xml:space="preserve">Vid. </w:t>
      </w:r>
      <w:r w:rsidRPr="006A356C">
        <w:rPr>
          <w:rFonts w:ascii="Arial" w:hAnsi="Arial" w:cs="Arial"/>
          <w:color w:val="auto"/>
        </w:rPr>
        <w:t xml:space="preserve">STC 114/1984 (nota 37); FERNÁNDEZ RODRÍGUEZ, José Julio, </w:t>
      </w:r>
      <w:r w:rsidRPr="006A356C">
        <w:rPr>
          <w:rFonts w:ascii="Arial" w:hAnsi="Arial" w:cs="Arial"/>
          <w:i/>
          <w:iCs/>
          <w:color w:val="auto"/>
        </w:rPr>
        <w:t>«Secreto e intervención…»</w:t>
      </w:r>
      <w:r w:rsidRPr="006A356C">
        <w:rPr>
          <w:rFonts w:ascii="Arial" w:hAnsi="Arial" w:cs="Arial"/>
          <w:color w:val="auto"/>
        </w:rPr>
        <w:t xml:space="preserve">, </w:t>
      </w:r>
      <w:r w:rsidRPr="006A356C">
        <w:rPr>
          <w:rFonts w:ascii="Arial" w:hAnsi="Arial" w:cs="Arial"/>
          <w:i/>
          <w:iCs/>
          <w:color w:val="auto"/>
        </w:rPr>
        <w:t xml:space="preserve">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31), p. 100; Asimismo, manifiesta Jiménez Campo, respecto al secreto de las comunicaciones, que «es, en la Constitución, rigurosamente formal. No se dispensa el secreto en virtud del contenido de la comunicación ni tiene nada que ver esta protección con el hecho –jurídicamente indiferente– de que lo comunicado entre o no en el ámbito de la privacy. Toda comunicación es, para la norma fundamental, secreta, aunque sólo </w:t>
      </w:r>
      <w:r w:rsidRPr="006A356C">
        <w:rPr>
          <w:rFonts w:ascii="Arial" w:hAnsi="Arial" w:cs="Arial"/>
          <w:color w:val="auto"/>
        </w:rPr>
        <w:lastRenderedPageBreak/>
        <w:t xml:space="preserve">algunas, como es obvio, serán íntimas…» (JIMÉNEZ CAMPO, JAVIER, </w:t>
      </w:r>
      <w:r w:rsidRPr="006A356C">
        <w:rPr>
          <w:rFonts w:ascii="Arial" w:hAnsi="Arial" w:cs="Arial"/>
          <w:i/>
          <w:iCs/>
          <w:color w:val="auto"/>
        </w:rPr>
        <w:t>«La garantía…</w:t>
      </w:r>
      <w:r w:rsidRPr="006A356C">
        <w:rPr>
          <w:rFonts w:ascii="Arial" w:hAnsi="Arial" w:cs="Arial"/>
          <w:color w:val="auto"/>
        </w:rPr>
        <w:t xml:space="preserve">», </w:t>
      </w:r>
      <w:r w:rsidRPr="006A356C">
        <w:rPr>
          <w:rFonts w:ascii="Arial" w:hAnsi="Arial" w:cs="Arial"/>
          <w:i/>
          <w:iCs/>
          <w:color w:val="auto"/>
        </w:rPr>
        <w:t>op.cit.</w:t>
      </w:r>
      <w:r w:rsidRPr="006A356C">
        <w:rPr>
          <w:rFonts w:ascii="Arial" w:hAnsi="Arial" w:cs="Arial"/>
          <w:color w:val="auto"/>
        </w:rPr>
        <w:t xml:space="preserve"> (</w:t>
      </w:r>
      <w:proofErr w:type="gramStart"/>
      <w:r w:rsidRPr="006A356C">
        <w:rPr>
          <w:rFonts w:ascii="Arial" w:hAnsi="Arial" w:cs="Arial"/>
          <w:color w:val="auto"/>
        </w:rPr>
        <w:t>nota</w:t>
      </w:r>
      <w:proofErr w:type="gramEnd"/>
      <w:r w:rsidRPr="006A356C">
        <w:rPr>
          <w:rFonts w:ascii="Arial" w:hAnsi="Arial" w:cs="Arial"/>
          <w:color w:val="auto"/>
        </w:rPr>
        <w:t xml:space="preserve"> 35), p. 41)</w:t>
      </w:r>
      <w:r w:rsidRPr="006A356C">
        <w:rPr>
          <w:rFonts w:ascii="Arial" w:hAnsi="Arial" w:cs="Arial"/>
          <w:i/>
          <w:iCs/>
          <w:color w:val="auto"/>
        </w:rPr>
        <w:t xml:space="preserve"> </w:t>
      </w:r>
    </w:p>
    <w:p w:rsidR="00C21A64" w:rsidRPr="006A356C" w:rsidRDefault="00C21A64" w:rsidP="00C21A64">
      <w:pPr>
        <w:pStyle w:val="NormalWeb"/>
        <w:spacing w:line="360" w:lineRule="auto"/>
        <w:jc w:val="both"/>
        <w:rPr>
          <w:rFonts w:ascii="Arial" w:hAnsi="Arial" w:cs="Arial"/>
          <w:color w:val="auto"/>
        </w:rPr>
      </w:pPr>
      <w:hyperlink r:id="rId151" w:anchor="_ftnref40" w:history="1">
        <w:r w:rsidRPr="006A356C">
          <w:rPr>
            <w:rStyle w:val="Hipervnculo"/>
            <w:rFonts w:ascii="Arial" w:hAnsi="Arial" w:cs="Arial"/>
            <w:color w:val="auto"/>
            <w:vertAlign w:val="superscript"/>
          </w:rPr>
          <w:t>[40]</w:t>
        </w:r>
      </w:hyperlink>
      <w:r w:rsidRPr="006A356C">
        <w:rPr>
          <w:rFonts w:ascii="Arial" w:hAnsi="Arial" w:cs="Arial"/>
          <w:color w:val="auto"/>
        </w:rPr>
        <w:t xml:space="preserve"> JIMÉNEZ CAMPO, JAVIER, </w:t>
      </w:r>
      <w:r w:rsidRPr="006A356C">
        <w:rPr>
          <w:rFonts w:ascii="Arial" w:hAnsi="Arial" w:cs="Arial"/>
          <w:i/>
          <w:iCs/>
          <w:color w:val="auto"/>
        </w:rPr>
        <w:t>«La garantía…</w:t>
      </w:r>
      <w:r w:rsidRPr="006A356C">
        <w:rPr>
          <w:rFonts w:ascii="Arial" w:hAnsi="Arial" w:cs="Arial"/>
          <w:color w:val="auto"/>
        </w:rPr>
        <w:t xml:space="preserve">», </w:t>
      </w:r>
      <w:r w:rsidRPr="006A356C">
        <w:rPr>
          <w:rFonts w:ascii="Arial" w:hAnsi="Arial" w:cs="Arial"/>
          <w:i/>
          <w:iCs/>
          <w:color w:val="auto"/>
        </w:rPr>
        <w:t>op.cit.</w:t>
      </w:r>
      <w:r w:rsidRPr="006A356C">
        <w:rPr>
          <w:rFonts w:ascii="Arial" w:hAnsi="Arial" w:cs="Arial"/>
          <w:color w:val="auto"/>
        </w:rPr>
        <w:t xml:space="preserve"> (</w:t>
      </w:r>
      <w:proofErr w:type="gramStart"/>
      <w:r w:rsidRPr="006A356C">
        <w:rPr>
          <w:rFonts w:ascii="Arial" w:hAnsi="Arial" w:cs="Arial"/>
          <w:color w:val="auto"/>
        </w:rPr>
        <w:t>nota</w:t>
      </w:r>
      <w:proofErr w:type="gramEnd"/>
      <w:r w:rsidRPr="006A356C">
        <w:rPr>
          <w:rFonts w:ascii="Arial" w:hAnsi="Arial" w:cs="Arial"/>
          <w:color w:val="auto"/>
        </w:rPr>
        <w:t xml:space="preserve"> 35), p. 41 </w:t>
      </w:r>
    </w:p>
    <w:p w:rsidR="00C21A64" w:rsidRPr="006A356C" w:rsidRDefault="00C21A64" w:rsidP="00C21A64">
      <w:pPr>
        <w:pStyle w:val="NormalWeb"/>
        <w:spacing w:line="360" w:lineRule="auto"/>
        <w:jc w:val="both"/>
        <w:rPr>
          <w:rFonts w:ascii="Arial" w:hAnsi="Arial" w:cs="Arial"/>
          <w:color w:val="auto"/>
        </w:rPr>
      </w:pPr>
      <w:hyperlink r:id="rId152" w:anchor="_ftnref41" w:history="1">
        <w:r w:rsidRPr="006A356C">
          <w:rPr>
            <w:rStyle w:val="Hipervnculo"/>
            <w:rFonts w:ascii="Arial" w:hAnsi="Arial" w:cs="Arial"/>
            <w:color w:val="auto"/>
            <w:vertAlign w:val="superscript"/>
          </w:rPr>
          <w:t>[41]</w:t>
        </w:r>
      </w:hyperlink>
      <w:r w:rsidRPr="006A356C">
        <w:rPr>
          <w:rFonts w:ascii="Arial" w:hAnsi="Arial" w:cs="Arial"/>
          <w:color w:val="auto"/>
        </w:rPr>
        <w:t xml:space="preserve"> «la norma que crea la libertad es la misma que prevé su posible negación </w:t>
      </w:r>
      <w:r w:rsidRPr="006A356C">
        <w:rPr>
          <w:rFonts w:ascii="Arial" w:hAnsi="Arial" w:cs="Arial"/>
          <w:i/>
          <w:iCs/>
          <w:color w:val="auto"/>
        </w:rPr>
        <w:t>secundum constitutionem</w:t>
      </w:r>
      <w:r w:rsidRPr="006A356C">
        <w:rPr>
          <w:rFonts w:ascii="Arial" w:hAnsi="Arial" w:cs="Arial"/>
          <w:color w:val="auto"/>
        </w:rPr>
        <w:t xml:space="preserve">» (JIMÉNEZ CAMPO, JAVIER, </w:t>
      </w:r>
      <w:r w:rsidRPr="006A356C">
        <w:rPr>
          <w:rFonts w:ascii="Arial" w:hAnsi="Arial" w:cs="Arial"/>
          <w:i/>
          <w:iCs/>
          <w:color w:val="auto"/>
        </w:rPr>
        <w:t>«La garantía…</w:t>
      </w:r>
      <w:r w:rsidRPr="006A356C">
        <w:rPr>
          <w:rFonts w:ascii="Arial" w:hAnsi="Arial" w:cs="Arial"/>
          <w:color w:val="auto"/>
        </w:rPr>
        <w:t xml:space="preserve">», </w:t>
      </w:r>
      <w:r w:rsidRPr="006A356C">
        <w:rPr>
          <w:rFonts w:ascii="Arial" w:hAnsi="Arial" w:cs="Arial"/>
          <w:i/>
          <w:iCs/>
          <w:color w:val="auto"/>
        </w:rPr>
        <w:t>op.cit.</w:t>
      </w:r>
      <w:r w:rsidRPr="006A356C">
        <w:rPr>
          <w:rFonts w:ascii="Arial" w:hAnsi="Arial" w:cs="Arial"/>
          <w:color w:val="auto"/>
        </w:rPr>
        <w:t xml:space="preserve"> (</w:t>
      </w:r>
      <w:proofErr w:type="gramStart"/>
      <w:r w:rsidRPr="006A356C">
        <w:rPr>
          <w:rFonts w:ascii="Arial" w:hAnsi="Arial" w:cs="Arial"/>
          <w:color w:val="auto"/>
        </w:rPr>
        <w:t>nota</w:t>
      </w:r>
      <w:proofErr w:type="gramEnd"/>
      <w:r w:rsidRPr="006A356C">
        <w:rPr>
          <w:rFonts w:ascii="Arial" w:hAnsi="Arial" w:cs="Arial"/>
          <w:color w:val="auto"/>
        </w:rPr>
        <w:t xml:space="preserve"> 35), p. 37). Asimismo, en cuanto a los limites de los derechos fundamentales, </w:t>
      </w:r>
      <w:r w:rsidRPr="006A356C">
        <w:rPr>
          <w:rFonts w:ascii="Arial" w:hAnsi="Arial" w:cs="Arial"/>
          <w:i/>
          <w:iCs/>
          <w:color w:val="auto"/>
        </w:rPr>
        <w:t xml:space="preserve">Cfr. </w:t>
      </w:r>
      <w:r w:rsidRPr="006A356C">
        <w:rPr>
          <w:rFonts w:ascii="Arial" w:hAnsi="Arial" w:cs="Arial"/>
          <w:color w:val="auto"/>
        </w:rPr>
        <w:t xml:space="preserve">AGUIAR DE LUQUE, Luis, </w:t>
      </w:r>
      <w:r w:rsidRPr="006A356C">
        <w:rPr>
          <w:rFonts w:ascii="Arial" w:hAnsi="Arial" w:cs="Arial"/>
          <w:i/>
          <w:iCs/>
          <w:color w:val="auto"/>
        </w:rPr>
        <w:t>«Los Limites de los Derechos Fundamentales»</w:t>
      </w:r>
      <w:r w:rsidRPr="006A356C">
        <w:rPr>
          <w:rFonts w:ascii="Arial" w:hAnsi="Arial" w:cs="Arial"/>
          <w:color w:val="auto"/>
        </w:rPr>
        <w:t xml:space="preserve">, en Revista del Centro de Estudios Constitucionales, número 14, Enero-Abril 1993, España. </w:t>
      </w:r>
    </w:p>
    <w:p w:rsidR="00C21A64" w:rsidRPr="006A356C" w:rsidRDefault="00C21A64" w:rsidP="00C21A64">
      <w:pPr>
        <w:pStyle w:val="NormalWeb"/>
        <w:spacing w:line="360" w:lineRule="auto"/>
        <w:jc w:val="both"/>
        <w:rPr>
          <w:rFonts w:ascii="Arial" w:hAnsi="Arial" w:cs="Arial"/>
          <w:color w:val="auto"/>
        </w:rPr>
      </w:pPr>
      <w:hyperlink r:id="rId153" w:anchor="_ftnref42" w:history="1">
        <w:r w:rsidRPr="006A356C">
          <w:rPr>
            <w:rStyle w:val="Hipervnculo"/>
            <w:rFonts w:ascii="Arial" w:hAnsi="Arial" w:cs="Arial"/>
            <w:color w:val="auto"/>
            <w:vertAlign w:val="superscript"/>
          </w:rPr>
          <w:t>[42]</w:t>
        </w:r>
      </w:hyperlink>
      <w:r w:rsidRPr="006A356C">
        <w:rPr>
          <w:rFonts w:ascii="Arial" w:hAnsi="Arial" w:cs="Arial"/>
          <w:color w:val="auto"/>
        </w:rPr>
        <w:t xml:space="preserve"> «Art. 29.- En casos de guerra, invasión del territorio, rebelión, sedición, catástrofe, epidemia u otra calamidad general, o de graves perturbaciones del orden público, podrán suspenderse las garantías establecidas en los artículos 5, 6 inciso primero, 7 inciso primero y </w:t>
      </w:r>
      <w:r w:rsidRPr="006A356C">
        <w:rPr>
          <w:rFonts w:ascii="Arial" w:hAnsi="Arial" w:cs="Arial"/>
          <w:color w:val="auto"/>
          <w:u w:val="single"/>
        </w:rPr>
        <w:t>24 de esta Constitución</w:t>
      </w:r>
      <w:r w:rsidRPr="006A356C">
        <w:rPr>
          <w:rFonts w:ascii="Arial" w:hAnsi="Arial" w:cs="Arial"/>
          <w:color w:val="auto"/>
        </w:rPr>
        <w:t xml:space="preserve">, excepto cuando se trate de reuniones o asociaciones con fines religiosos, culturales, económicos o deportivos. Tal suspensión podrá afectar la totalidad o parte del territorio de la República, y se hará por medio de decreto del Órgano Legislativo o del Órgano Ejecutivo, en su caso.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También podrán suspenderse las garantías contenidas en los Arts. 12 inciso segundo y 13 inciso segundo de esta Constitución, cuando así lo acuerde el Órgano Legislativo, con el voto favorable de las tres cuartas partes de los Diputados electos; no excediendo la detención administrativa de quince días». (El subrayado es nuestro). </w:t>
      </w:r>
    </w:p>
    <w:p w:rsidR="00C21A64" w:rsidRPr="006A356C" w:rsidRDefault="00C21A64" w:rsidP="00C21A64">
      <w:pPr>
        <w:pStyle w:val="NormalWeb"/>
        <w:spacing w:line="360" w:lineRule="auto"/>
        <w:jc w:val="both"/>
        <w:rPr>
          <w:rFonts w:ascii="Arial" w:hAnsi="Arial" w:cs="Arial"/>
          <w:color w:val="auto"/>
        </w:rPr>
      </w:pPr>
      <w:hyperlink r:id="rId154" w:anchor="_ftnref43" w:history="1">
        <w:r w:rsidRPr="006A356C">
          <w:rPr>
            <w:rStyle w:val="Hipervnculo"/>
            <w:rFonts w:ascii="Arial" w:hAnsi="Arial" w:cs="Arial"/>
            <w:color w:val="auto"/>
            <w:vertAlign w:val="superscript"/>
          </w:rPr>
          <w:t>[43]</w:t>
        </w:r>
      </w:hyperlink>
      <w:r w:rsidRPr="006A356C">
        <w:rPr>
          <w:rFonts w:ascii="Arial" w:hAnsi="Arial" w:cs="Arial"/>
          <w:color w:val="auto"/>
        </w:rPr>
        <w:t xml:space="preserve"> </w:t>
      </w:r>
      <w:r w:rsidRPr="006A356C">
        <w:rPr>
          <w:rFonts w:ascii="Arial" w:hAnsi="Arial" w:cs="Arial"/>
          <w:i/>
          <w:iCs/>
          <w:color w:val="auto"/>
        </w:rPr>
        <w:t>Cfr.,</w:t>
      </w:r>
      <w:r w:rsidRPr="006A356C">
        <w:rPr>
          <w:rFonts w:ascii="Arial" w:hAnsi="Arial" w:cs="Arial"/>
          <w:color w:val="auto"/>
        </w:rPr>
        <w:t xml:space="preserve"> Sentencia del Tribunal Constitucional Español 139/2001, de 18 de Junio; CELIS QUINTAL, Marcos Alejandro, </w:t>
      </w:r>
      <w:r w:rsidRPr="006A356C">
        <w:rPr>
          <w:rFonts w:ascii="Arial" w:hAnsi="Arial" w:cs="Arial"/>
          <w:i/>
          <w:iCs/>
          <w:color w:val="auto"/>
        </w:rPr>
        <w:t>«La protección de la intimidad como derecho fundamental de los mexicanos»</w:t>
      </w:r>
      <w:r w:rsidRPr="006A356C">
        <w:rPr>
          <w:rFonts w:ascii="Arial" w:hAnsi="Arial" w:cs="Arial"/>
          <w:color w:val="auto"/>
        </w:rPr>
        <w:t xml:space="preserve">, en Estudios en Homenaje a Marcia Muñoz de Alba Medrado. Protección de la Persona y Derechos Fundamentales, David Cienfuegos Salgado y María Carmen Macías Vázquez (Coordinadores), 1ª Edición, Universidad Nacional Autónoma de México, 2006, pp. 71-108; GARCÍA </w:t>
      </w:r>
      <w:r w:rsidRPr="006A356C">
        <w:rPr>
          <w:rFonts w:ascii="Arial" w:hAnsi="Arial" w:cs="Arial"/>
          <w:color w:val="auto"/>
        </w:rPr>
        <w:lastRenderedPageBreak/>
        <w:t xml:space="preserve">GONZÁLEZ, Aristeo, </w:t>
      </w:r>
      <w:r w:rsidRPr="006A356C">
        <w:rPr>
          <w:rFonts w:ascii="Arial" w:hAnsi="Arial" w:cs="Arial"/>
          <w:i/>
          <w:iCs/>
          <w:color w:val="auto"/>
        </w:rPr>
        <w:t>«El derecho a la intimidad desde una perspectiva constitucional: equilibrio, alcances, límites y mecanismos de defensa»</w:t>
      </w:r>
      <w:r w:rsidRPr="006A356C">
        <w:rPr>
          <w:rFonts w:ascii="Arial" w:hAnsi="Arial" w:cs="Arial"/>
          <w:color w:val="auto"/>
        </w:rPr>
        <w:t xml:space="preserve">, México, Universidad Michoacana de San Nicolás de Hidalgo, Biblioteca de la Facultad de Derecho y Ciencias Sociales, 2005. </w:t>
      </w:r>
    </w:p>
    <w:p w:rsidR="00C21A64" w:rsidRPr="006A356C" w:rsidRDefault="00C21A64" w:rsidP="00C21A64">
      <w:pPr>
        <w:pStyle w:val="NormalWeb"/>
        <w:spacing w:line="360" w:lineRule="auto"/>
        <w:jc w:val="both"/>
        <w:rPr>
          <w:rFonts w:ascii="Arial" w:hAnsi="Arial" w:cs="Arial"/>
          <w:color w:val="auto"/>
        </w:rPr>
      </w:pPr>
      <w:hyperlink r:id="rId155" w:anchor="_ftnref44" w:history="1">
        <w:r w:rsidRPr="006A356C">
          <w:rPr>
            <w:rStyle w:val="Hipervnculo"/>
            <w:rFonts w:ascii="Arial" w:hAnsi="Arial" w:cs="Arial"/>
            <w:color w:val="auto"/>
            <w:vertAlign w:val="superscript"/>
          </w:rPr>
          <w:t>[44]</w:t>
        </w:r>
      </w:hyperlink>
      <w:r w:rsidRPr="006A356C">
        <w:rPr>
          <w:rFonts w:ascii="Arial" w:hAnsi="Arial" w:cs="Arial"/>
          <w:color w:val="auto"/>
        </w:rPr>
        <w:t xml:space="preserve"> CELIS QUINTAL, Marcos Alejandro, «La protección de la intimidad…», op.cit. (</w:t>
      </w:r>
      <w:proofErr w:type="gramStart"/>
      <w:r w:rsidRPr="006A356C">
        <w:rPr>
          <w:rFonts w:ascii="Arial" w:hAnsi="Arial" w:cs="Arial"/>
          <w:color w:val="auto"/>
        </w:rPr>
        <w:t>nota</w:t>
      </w:r>
      <w:proofErr w:type="gramEnd"/>
      <w:r w:rsidRPr="006A356C">
        <w:rPr>
          <w:rFonts w:ascii="Arial" w:hAnsi="Arial" w:cs="Arial"/>
          <w:color w:val="auto"/>
        </w:rPr>
        <w:t xml:space="preserve"> 43), p. 79). </w:t>
      </w:r>
    </w:p>
    <w:p w:rsidR="00C21A64" w:rsidRPr="006A356C" w:rsidRDefault="00C21A64" w:rsidP="00C21A64">
      <w:pPr>
        <w:pStyle w:val="NormalWeb"/>
        <w:spacing w:line="360" w:lineRule="auto"/>
        <w:jc w:val="both"/>
        <w:rPr>
          <w:rFonts w:ascii="Arial" w:hAnsi="Arial" w:cs="Arial"/>
          <w:color w:val="auto"/>
        </w:rPr>
      </w:pPr>
      <w:hyperlink r:id="rId156" w:anchor="_ftnref45" w:history="1">
        <w:r w:rsidRPr="006A356C">
          <w:rPr>
            <w:rStyle w:val="Hipervnculo"/>
            <w:rFonts w:ascii="Arial" w:hAnsi="Arial" w:cs="Arial"/>
            <w:color w:val="auto"/>
            <w:vertAlign w:val="superscript"/>
          </w:rPr>
          <w:t>[45]</w:t>
        </w:r>
      </w:hyperlink>
      <w:r w:rsidRPr="006A356C">
        <w:rPr>
          <w:rFonts w:ascii="Arial" w:hAnsi="Arial" w:cs="Arial"/>
          <w:color w:val="auto"/>
        </w:rPr>
        <w:t xml:space="preserve"> Es de tener en cuenta que «si la necesidad de la intimidad es inherente a la persona humana, si una vida privada al abrigo de injerencias no deseables y de indiscreciones abusivas permite a la personalidad de cada uno de explayarse libremente, la protección de la vida privada será entonces igualmente un criterio determinante del carácter democrático de toda sociedad» (GÓMEZ-ROBLEDO VERDUZCO, Alonso, </w:t>
      </w:r>
      <w:r w:rsidRPr="006A356C">
        <w:rPr>
          <w:rFonts w:ascii="Arial" w:hAnsi="Arial" w:cs="Arial"/>
          <w:i/>
          <w:iCs/>
          <w:color w:val="auto"/>
        </w:rPr>
        <w:t>«El derecho a la intimidad y el derecho a la libertad de expresión. Derechos Humanos Fundamentales»</w:t>
      </w:r>
      <w:r w:rsidRPr="006A356C">
        <w:rPr>
          <w:rFonts w:ascii="Arial" w:hAnsi="Arial" w:cs="Arial"/>
          <w:color w:val="auto"/>
        </w:rPr>
        <w:t xml:space="preserve">, en Estudios Básicos de Derechos Humanos, Tomo VI, Compilado por Antonio A. Cançado Trindade, </w:t>
      </w:r>
      <w:r w:rsidRPr="006A356C">
        <w:rPr>
          <w:rFonts w:ascii="Arial" w:hAnsi="Arial" w:cs="Arial"/>
          <w:i/>
          <w:iCs/>
          <w:color w:val="auto"/>
        </w:rPr>
        <w:t xml:space="preserve">et ali, </w:t>
      </w:r>
      <w:r w:rsidRPr="006A356C">
        <w:rPr>
          <w:rFonts w:ascii="Arial" w:hAnsi="Arial" w:cs="Arial"/>
          <w:color w:val="auto"/>
        </w:rPr>
        <w:t xml:space="preserve">Instituto Interamericano de Derechos Humanos, San José, 1996, p. 237). </w:t>
      </w:r>
    </w:p>
    <w:p w:rsidR="00C21A64" w:rsidRPr="006A356C" w:rsidRDefault="00C21A64" w:rsidP="00C21A64">
      <w:pPr>
        <w:pStyle w:val="NormalWeb"/>
        <w:spacing w:line="360" w:lineRule="auto"/>
        <w:jc w:val="both"/>
        <w:rPr>
          <w:rFonts w:ascii="Arial" w:hAnsi="Arial" w:cs="Arial"/>
          <w:color w:val="auto"/>
        </w:rPr>
      </w:pPr>
      <w:hyperlink r:id="rId157" w:anchor="_ftnref46" w:history="1">
        <w:r w:rsidRPr="006A356C">
          <w:rPr>
            <w:rStyle w:val="Hipervnculo"/>
            <w:rFonts w:ascii="Arial" w:hAnsi="Arial" w:cs="Arial"/>
            <w:color w:val="auto"/>
            <w:vertAlign w:val="superscript"/>
          </w:rPr>
          <w:t>[46]</w:t>
        </w:r>
      </w:hyperlink>
      <w:r w:rsidRPr="006A356C">
        <w:rPr>
          <w:rFonts w:ascii="Arial" w:hAnsi="Arial" w:cs="Arial"/>
          <w:color w:val="auto"/>
        </w:rPr>
        <w:t xml:space="preserve"> Sentencia de Hábeas Corpus número 135-2005/32-2007 acumulado (nota 24), considerando IV 1.2. </w:t>
      </w:r>
    </w:p>
    <w:p w:rsidR="00C21A64" w:rsidRPr="006A356C" w:rsidRDefault="00C21A64" w:rsidP="00C21A64">
      <w:pPr>
        <w:pStyle w:val="NormalWeb"/>
        <w:spacing w:line="360" w:lineRule="auto"/>
        <w:jc w:val="both"/>
        <w:rPr>
          <w:rFonts w:ascii="Arial" w:hAnsi="Arial" w:cs="Arial"/>
          <w:color w:val="auto"/>
        </w:rPr>
      </w:pPr>
      <w:hyperlink r:id="rId158" w:anchor="_ftnref47" w:history="1">
        <w:r w:rsidRPr="006A356C">
          <w:rPr>
            <w:rStyle w:val="Hipervnculo"/>
            <w:rFonts w:ascii="Arial" w:hAnsi="Arial" w:cs="Arial"/>
            <w:color w:val="auto"/>
            <w:vertAlign w:val="superscript"/>
          </w:rPr>
          <w:t>[47]</w:t>
        </w:r>
      </w:hyperlink>
      <w:r w:rsidRPr="006A356C">
        <w:rPr>
          <w:rFonts w:ascii="Arial" w:hAnsi="Arial" w:cs="Arial"/>
          <w:color w:val="auto"/>
        </w:rPr>
        <w:t xml:space="preserve"> Citada por GUTIÉRREZ CONTRERAS, Juan Carlos, </w:t>
      </w:r>
      <w:r w:rsidRPr="006A356C">
        <w:rPr>
          <w:rFonts w:ascii="Arial" w:hAnsi="Arial" w:cs="Arial"/>
          <w:i/>
          <w:iCs/>
          <w:color w:val="auto"/>
        </w:rPr>
        <w:t>«El Ejercicio de la Libertad de Expresión y la Ponderación de Intereses con el Honor y la Intimidad de las Personas»</w:t>
      </w:r>
      <w:r w:rsidRPr="006A356C">
        <w:rPr>
          <w:rFonts w:ascii="Arial" w:hAnsi="Arial" w:cs="Arial"/>
          <w:color w:val="auto"/>
        </w:rPr>
        <w:t xml:space="preserve">, en </w:t>
      </w:r>
      <w:hyperlink r:id="rId159" w:history="1">
        <w:r w:rsidRPr="006A356C">
          <w:rPr>
            <w:rStyle w:val="Hipervnculo"/>
            <w:rFonts w:ascii="Arial" w:hAnsi="Arial" w:cs="Arial"/>
            <w:color w:val="auto"/>
          </w:rPr>
          <w:t>Memorias del Seminario Internacional Los Derechos Humanos y la Libertad de Expresión</w:t>
        </w:r>
      </w:hyperlink>
      <w:r w:rsidRPr="006A356C">
        <w:rPr>
          <w:rFonts w:ascii="Arial" w:hAnsi="Arial" w:cs="Arial"/>
          <w:color w:val="auto"/>
        </w:rPr>
        <w:t xml:space="preserve"> en México, Programa de Cooperación Sobre Derechos Humanos – Comisión Europea, México, 2006, p. 186. </w:t>
      </w:r>
    </w:p>
    <w:p w:rsidR="00C21A64" w:rsidRPr="006A356C" w:rsidRDefault="00C21A64" w:rsidP="00C21A64">
      <w:pPr>
        <w:pStyle w:val="NormalWeb"/>
        <w:spacing w:line="360" w:lineRule="auto"/>
        <w:jc w:val="both"/>
        <w:rPr>
          <w:rFonts w:ascii="Arial" w:hAnsi="Arial" w:cs="Arial"/>
          <w:color w:val="auto"/>
        </w:rPr>
      </w:pPr>
      <w:hyperlink r:id="rId160" w:anchor="_ftnref48" w:history="1">
        <w:r w:rsidRPr="006A356C">
          <w:rPr>
            <w:rStyle w:val="Hipervnculo"/>
            <w:rFonts w:ascii="Arial" w:hAnsi="Arial" w:cs="Arial"/>
            <w:color w:val="auto"/>
            <w:vertAlign w:val="superscript"/>
          </w:rPr>
          <w:t>[48]</w:t>
        </w:r>
      </w:hyperlink>
      <w:r w:rsidRPr="006A356C">
        <w:rPr>
          <w:rFonts w:ascii="Arial" w:hAnsi="Arial" w:cs="Arial"/>
          <w:color w:val="auto"/>
        </w:rPr>
        <w:t xml:space="preserve"> «La vida privada es algo muy relativo pues su acción queda determinada por los diferentes regímenes sociales, políticos y económicos existentes y por los fenómenos y situaciones de la propia vida particular y denuncia curiosamente como aspecto de ésta: a) Las ideas y creencias en general. b) La vida amorosa y sexual. c) Los aspectos ocultos de la vida familiar. d) Los defectos y anomalías físicas o psíquicas no ostensibles. e) El comportamiento y trato social y personal </w:t>
      </w:r>
      <w:r w:rsidRPr="006A356C">
        <w:rPr>
          <w:rFonts w:ascii="Arial" w:hAnsi="Arial" w:cs="Arial"/>
          <w:color w:val="auto"/>
        </w:rPr>
        <w:lastRenderedPageBreak/>
        <w:t>que de conocerse sería criticable. f) Las afecciones de salud que menoscaban apreciaciones sociales y profesionales. g) Las comunicaciones de tipo personal. h) La vida pasada del sujeto. i) Los momentos penosos y de extremo abatimiento del individuo. j) A mayor abundamiento, sin dejar de tomarlo con la seriedad debida, el desahogo de funciones fisiológicas del titular» (CELIS QUINTAL, Marcos Alejandro, «La protección de la intimidad…», op.cit. (</w:t>
      </w:r>
      <w:proofErr w:type="gramStart"/>
      <w:r w:rsidRPr="006A356C">
        <w:rPr>
          <w:rFonts w:ascii="Arial" w:hAnsi="Arial" w:cs="Arial"/>
          <w:color w:val="auto"/>
        </w:rPr>
        <w:t>nota</w:t>
      </w:r>
      <w:proofErr w:type="gramEnd"/>
      <w:r w:rsidRPr="006A356C">
        <w:rPr>
          <w:rFonts w:ascii="Arial" w:hAnsi="Arial" w:cs="Arial"/>
          <w:color w:val="auto"/>
        </w:rPr>
        <w:t xml:space="preserve"> 43),  p. 76). </w:t>
      </w:r>
    </w:p>
    <w:p w:rsidR="00C21A64" w:rsidRPr="006A356C" w:rsidRDefault="00C21A64" w:rsidP="00C21A64">
      <w:pPr>
        <w:pStyle w:val="NormalWeb"/>
        <w:spacing w:line="360" w:lineRule="auto"/>
        <w:jc w:val="both"/>
        <w:rPr>
          <w:rFonts w:ascii="Arial" w:hAnsi="Arial" w:cs="Arial"/>
          <w:color w:val="auto"/>
        </w:rPr>
      </w:pPr>
      <w:hyperlink r:id="rId161" w:anchor="_ftnref49" w:history="1">
        <w:r w:rsidRPr="006A356C">
          <w:rPr>
            <w:rStyle w:val="Hipervnculo"/>
            <w:rFonts w:ascii="Arial" w:hAnsi="Arial" w:cs="Arial"/>
            <w:color w:val="auto"/>
            <w:vertAlign w:val="superscript"/>
          </w:rPr>
          <w:t>[49]</w:t>
        </w:r>
      </w:hyperlink>
      <w:r w:rsidRPr="006A356C">
        <w:rPr>
          <w:rFonts w:ascii="Arial" w:hAnsi="Arial" w:cs="Arial"/>
          <w:color w:val="auto"/>
        </w:rPr>
        <w:t xml:space="preserve"> MOLINA QUIROGA, Eduardo, </w:t>
      </w:r>
      <w:r w:rsidRPr="006A356C">
        <w:rPr>
          <w:rFonts w:ascii="Arial" w:hAnsi="Arial" w:cs="Arial"/>
          <w:i/>
          <w:iCs/>
          <w:color w:val="auto"/>
        </w:rPr>
        <w:t>«El uso arbitrario de la información personal»</w:t>
      </w:r>
      <w:r w:rsidRPr="006A356C">
        <w:rPr>
          <w:rFonts w:ascii="Arial" w:hAnsi="Arial" w:cs="Arial"/>
          <w:color w:val="auto"/>
        </w:rPr>
        <w:t xml:space="preserve">, en Informática y Derecho, Vol. 7, Editorial Depalma, Buenos Aires, Argentina, 2001, p. 179. </w:t>
      </w:r>
    </w:p>
    <w:p w:rsidR="00C21A64" w:rsidRPr="006A356C" w:rsidRDefault="00C21A64" w:rsidP="00C21A64">
      <w:pPr>
        <w:pStyle w:val="NormalWeb"/>
        <w:spacing w:line="360" w:lineRule="auto"/>
        <w:jc w:val="both"/>
        <w:rPr>
          <w:rFonts w:ascii="Arial" w:hAnsi="Arial" w:cs="Arial"/>
          <w:color w:val="auto"/>
        </w:rPr>
      </w:pPr>
      <w:hyperlink r:id="rId162" w:anchor="_ftnref50" w:history="1">
        <w:r w:rsidRPr="006A356C">
          <w:rPr>
            <w:rStyle w:val="Hipervnculo"/>
            <w:rFonts w:ascii="Arial" w:hAnsi="Arial" w:cs="Arial"/>
            <w:color w:val="auto"/>
            <w:vertAlign w:val="superscript"/>
          </w:rPr>
          <w:t>[50]</w:t>
        </w:r>
      </w:hyperlink>
      <w:r w:rsidRPr="006A356C">
        <w:rPr>
          <w:rFonts w:ascii="Arial" w:hAnsi="Arial" w:cs="Arial"/>
          <w:color w:val="auto"/>
        </w:rPr>
        <w:t xml:space="preserve"> Citado por CELIS QUINTAL, Marcos Alejandro, </w:t>
      </w:r>
      <w:r w:rsidRPr="006A356C">
        <w:rPr>
          <w:rFonts w:ascii="Arial" w:hAnsi="Arial" w:cs="Arial"/>
          <w:i/>
          <w:iCs/>
          <w:color w:val="auto"/>
        </w:rPr>
        <w:t>«La protección de la intimidad…»</w:t>
      </w:r>
      <w:r w:rsidRPr="006A356C">
        <w:rPr>
          <w:rFonts w:ascii="Arial" w:hAnsi="Arial" w:cs="Arial"/>
          <w:color w:val="auto"/>
        </w:rPr>
        <w:t xml:space="preserve">, </w:t>
      </w:r>
      <w:r w:rsidRPr="006A356C">
        <w:rPr>
          <w:rFonts w:ascii="Arial" w:hAnsi="Arial" w:cs="Arial"/>
          <w:i/>
          <w:iCs/>
          <w:color w:val="auto"/>
        </w:rPr>
        <w:t>op.cit.</w:t>
      </w:r>
      <w:r w:rsidRPr="006A356C">
        <w:rPr>
          <w:rFonts w:ascii="Arial" w:hAnsi="Arial" w:cs="Arial"/>
          <w:color w:val="auto"/>
        </w:rPr>
        <w:t xml:space="preserve"> (</w:t>
      </w:r>
      <w:proofErr w:type="gramStart"/>
      <w:r w:rsidRPr="006A356C">
        <w:rPr>
          <w:rFonts w:ascii="Arial" w:hAnsi="Arial" w:cs="Arial"/>
          <w:color w:val="auto"/>
        </w:rPr>
        <w:t>nota</w:t>
      </w:r>
      <w:proofErr w:type="gramEnd"/>
      <w:r w:rsidRPr="006A356C">
        <w:rPr>
          <w:rFonts w:ascii="Arial" w:hAnsi="Arial" w:cs="Arial"/>
          <w:color w:val="auto"/>
        </w:rPr>
        <w:t xml:space="preserve"> 43),  p. 74. </w:t>
      </w:r>
    </w:p>
    <w:p w:rsidR="00C21A64" w:rsidRPr="006A356C" w:rsidRDefault="00C21A64" w:rsidP="00C21A64">
      <w:pPr>
        <w:pStyle w:val="NormalWeb"/>
        <w:spacing w:line="360" w:lineRule="auto"/>
        <w:jc w:val="both"/>
        <w:rPr>
          <w:rFonts w:ascii="Arial" w:hAnsi="Arial" w:cs="Arial"/>
          <w:color w:val="auto"/>
        </w:rPr>
      </w:pPr>
      <w:hyperlink r:id="rId163" w:anchor="_ftnref51" w:history="1">
        <w:r w:rsidRPr="006A356C">
          <w:rPr>
            <w:rStyle w:val="Hipervnculo"/>
            <w:rFonts w:ascii="Arial" w:hAnsi="Arial" w:cs="Arial"/>
            <w:color w:val="auto"/>
            <w:vertAlign w:val="superscript"/>
          </w:rPr>
          <w:t>[51]</w:t>
        </w:r>
      </w:hyperlink>
      <w:r w:rsidRPr="006A356C">
        <w:rPr>
          <w:rFonts w:ascii="Arial" w:hAnsi="Arial" w:cs="Arial"/>
          <w:color w:val="auto"/>
        </w:rPr>
        <w:t xml:space="preserve"> JIMÉNEZ CAMPO, JAVIER, </w:t>
      </w:r>
      <w:r w:rsidRPr="006A356C">
        <w:rPr>
          <w:rFonts w:ascii="Arial" w:hAnsi="Arial" w:cs="Arial"/>
          <w:i/>
          <w:iCs/>
          <w:color w:val="auto"/>
        </w:rPr>
        <w:t>«La garantía…</w:t>
      </w:r>
      <w:r w:rsidRPr="006A356C">
        <w:rPr>
          <w:rFonts w:ascii="Arial" w:hAnsi="Arial" w:cs="Arial"/>
          <w:color w:val="auto"/>
        </w:rPr>
        <w:t xml:space="preserve">», </w:t>
      </w:r>
      <w:r w:rsidRPr="006A356C">
        <w:rPr>
          <w:rFonts w:ascii="Arial" w:hAnsi="Arial" w:cs="Arial"/>
          <w:i/>
          <w:iCs/>
          <w:color w:val="auto"/>
        </w:rPr>
        <w:t>op.cit.</w:t>
      </w:r>
      <w:r w:rsidRPr="006A356C">
        <w:rPr>
          <w:rFonts w:ascii="Arial" w:hAnsi="Arial" w:cs="Arial"/>
          <w:color w:val="auto"/>
        </w:rPr>
        <w:t xml:space="preserve"> (</w:t>
      </w:r>
      <w:proofErr w:type="gramStart"/>
      <w:r w:rsidRPr="006A356C">
        <w:rPr>
          <w:rFonts w:ascii="Arial" w:hAnsi="Arial" w:cs="Arial"/>
          <w:color w:val="auto"/>
        </w:rPr>
        <w:t>nota</w:t>
      </w:r>
      <w:proofErr w:type="gramEnd"/>
      <w:r w:rsidRPr="006A356C">
        <w:rPr>
          <w:rFonts w:ascii="Arial" w:hAnsi="Arial" w:cs="Arial"/>
          <w:color w:val="auto"/>
        </w:rPr>
        <w:t xml:space="preserve"> 35), p. 41 </w:t>
      </w:r>
    </w:p>
    <w:p w:rsidR="00C21A64" w:rsidRPr="006A356C" w:rsidRDefault="00C21A64" w:rsidP="00C21A64">
      <w:pPr>
        <w:pStyle w:val="NormalWeb"/>
        <w:spacing w:line="360" w:lineRule="auto"/>
        <w:jc w:val="both"/>
        <w:rPr>
          <w:rFonts w:ascii="Arial" w:hAnsi="Arial" w:cs="Arial"/>
          <w:color w:val="auto"/>
        </w:rPr>
      </w:pPr>
      <w:hyperlink r:id="rId164" w:anchor="_ftnref52" w:history="1">
        <w:r w:rsidRPr="006A356C">
          <w:rPr>
            <w:rStyle w:val="Hipervnculo"/>
            <w:rFonts w:ascii="Arial" w:hAnsi="Arial" w:cs="Arial"/>
            <w:color w:val="auto"/>
            <w:vertAlign w:val="superscript"/>
          </w:rPr>
          <w:t>[52]</w:t>
        </w:r>
      </w:hyperlink>
      <w:r w:rsidRPr="006A356C">
        <w:rPr>
          <w:rFonts w:ascii="Arial" w:hAnsi="Arial" w:cs="Arial"/>
          <w:color w:val="auto"/>
        </w:rPr>
        <w:t xml:space="preserve"> En esto radica la diferencia entre el derecho a la intimidad –de carácter material– y el derecho al secreto de las comunicaciones –de carácter formal–, el cual posee un ámbito de protección mucho mayor porque el concepto de secreto abarca el contenido formal de la comunicación, en el sentido de que se predica con independencia de su contenido y también de que pertenezca o no el objeto de la comunicación misma al ámbito de lo personal, lo íntimo o lo reservado. </w:t>
      </w:r>
    </w:p>
    <w:p w:rsidR="00C21A64" w:rsidRPr="006A356C" w:rsidRDefault="00C21A64" w:rsidP="00C21A64">
      <w:pPr>
        <w:pStyle w:val="NormalWeb"/>
        <w:spacing w:line="360" w:lineRule="auto"/>
        <w:jc w:val="both"/>
        <w:rPr>
          <w:rFonts w:ascii="Arial" w:hAnsi="Arial" w:cs="Arial"/>
          <w:color w:val="auto"/>
        </w:rPr>
      </w:pPr>
      <w:hyperlink r:id="rId165" w:anchor="_ftnref53" w:history="1">
        <w:r w:rsidRPr="006A356C">
          <w:rPr>
            <w:rStyle w:val="Hipervnculo"/>
            <w:rFonts w:ascii="Arial" w:hAnsi="Arial" w:cs="Arial"/>
            <w:color w:val="auto"/>
            <w:vertAlign w:val="superscript"/>
          </w:rPr>
          <w:t>[53]</w:t>
        </w:r>
      </w:hyperlink>
      <w:r w:rsidRPr="006A356C">
        <w:rPr>
          <w:rFonts w:ascii="Arial" w:hAnsi="Arial" w:cs="Arial"/>
          <w:color w:val="auto"/>
        </w:rPr>
        <w:t xml:space="preserve"> Según la Sala de lo Constitucional, «puede afirmarse que la vigencia de los derechos fundamentales supone, por una parte, que el Estado no puede realizar intromisiones que impliquen una transgresión a dichas categorías, y, por otra parte, que debe generar todos aquellos elementos que supongan la garantía y goce de los mismos derechos, permitiendo su ejercicio y tutela efectiva. Asimismo, respecto de los particulares, los derechos fundamentales suponen una determinación en el propio ejercicio del derecho, pues este únicamente podrá ser constitucionalmente ejercido cuando no implique, de acuerdo al ordenamiento jurídico, la vulneración de un derecho fundamental de otra persona; razón por la cual el ejercicio del derecho fundamental de una persona encuentra su límite en el </w:t>
      </w:r>
      <w:r w:rsidRPr="006A356C">
        <w:rPr>
          <w:rFonts w:ascii="Arial" w:hAnsi="Arial" w:cs="Arial"/>
          <w:color w:val="auto"/>
        </w:rPr>
        <w:lastRenderedPageBreak/>
        <w:t xml:space="preserve">mismo ejercicio del derecho fundamental de otra. A partir de lo que antecede, y aludiendo a una de las categorías fundamentales que en el presente caso guardan relación con la vulneración discutida, puede afirmarse que la intimidad, siendo un derecho fundamental, opera como límite frente a la intromisión de particulares y de autoridades; de manera que si la violación surge directamente de una entidad pública o de un particular, la protección efectiva del derecho deberá desplegarse frente a dichos sujetos […] Ante lo afirmado, es de enfatizar que –tal como se hizo en el consideraciones jurídicas de la presente sentencia- cuando concurre la sospecha de la utilización del servicio de correos privado para la remisión de elementos contrarios a la legalidad, efectivamente el paquete postal puede ser objeto de controles, e incidirse con el ejercicio de los mismos en el derecho de intimidad personal, pues no es válido en ningún caso invocar un derecho fundamental para facilitar o propiciar la comisión de hechos punibles. Ahora bien, los aludidos controles en tales casos y la incidencia misma en el derecho de intimidad personal, deberán ser ejecutados por las autoridades competentes, quienes estarán obligados a consignar las razones que justifiquen la injerencia, evidenciando, consecuentemente, que las medidas adoptadas no implican una anulación del derecho en cuestión, y que la incidencia ha sido ejecutada bajo el marco de la legalidad y el estricto control de la autoridad competente» (Sentencia de Hábeas Corpus número 135-2005/32-2007 (nota 24), considerandos IV 2.1 y 3). </w:t>
      </w:r>
    </w:p>
    <w:p w:rsidR="00C21A64" w:rsidRPr="006A356C" w:rsidRDefault="00C21A64" w:rsidP="00C21A64">
      <w:pPr>
        <w:pStyle w:val="NormalWeb"/>
        <w:spacing w:line="360" w:lineRule="auto"/>
        <w:jc w:val="both"/>
        <w:rPr>
          <w:rFonts w:ascii="Arial" w:hAnsi="Arial" w:cs="Arial"/>
          <w:color w:val="auto"/>
        </w:rPr>
      </w:pPr>
      <w:hyperlink r:id="rId166" w:anchor="_ftnref54" w:history="1">
        <w:r w:rsidRPr="006A356C">
          <w:rPr>
            <w:rStyle w:val="Hipervnculo"/>
            <w:rFonts w:ascii="Arial" w:hAnsi="Arial" w:cs="Arial"/>
            <w:color w:val="auto"/>
            <w:vertAlign w:val="superscript"/>
          </w:rPr>
          <w:t>[54]</w:t>
        </w:r>
      </w:hyperlink>
      <w:r w:rsidRPr="006A356C">
        <w:rPr>
          <w:rFonts w:ascii="Arial" w:hAnsi="Arial" w:cs="Arial"/>
          <w:color w:val="auto"/>
        </w:rPr>
        <w:t xml:space="preserve"> Citada por NOYA FERREIRO, María Lourdes, en </w:t>
      </w:r>
      <w:r w:rsidRPr="006A356C">
        <w:rPr>
          <w:rFonts w:ascii="Arial" w:hAnsi="Arial" w:cs="Arial"/>
          <w:i/>
          <w:iCs/>
          <w:color w:val="auto"/>
        </w:rPr>
        <w:t>«La intervención de comunicaciones…»</w:t>
      </w:r>
      <w:r w:rsidRPr="006A356C">
        <w:rPr>
          <w:rFonts w:ascii="Arial" w:hAnsi="Arial" w:cs="Arial"/>
          <w:color w:val="auto"/>
        </w:rPr>
        <w:t xml:space="preserve">, </w:t>
      </w:r>
      <w:r w:rsidRPr="006A356C">
        <w:rPr>
          <w:rFonts w:ascii="Arial" w:hAnsi="Arial" w:cs="Arial"/>
          <w:i/>
          <w:iCs/>
          <w:color w:val="auto"/>
        </w:rPr>
        <w:t xml:space="preserve">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38), p. 51. </w:t>
      </w:r>
    </w:p>
    <w:p w:rsidR="00C21A64" w:rsidRPr="006A356C" w:rsidRDefault="00C21A64" w:rsidP="00C21A64">
      <w:pPr>
        <w:pStyle w:val="NormalWeb"/>
        <w:spacing w:line="360" w:lineRule="auto"/>
        <w:jc w:val="both"/>
        <w:rPr>
          <w:rFonts w:ascii="Arial" w:hAnsi="Arial" w:cs="Arial"/>
          <w:color w:val="auto"/>
        </w:rPr>
      </w:pPr>
      <w:hyperlink r:id="rId167" w:anchor="_ftnref55" w:history="1">
        <w:r w:rsidRPr="006A356C">
          <w:rPr>
            <w:rStyle w:val="Hipervnculo"/>
            <w:rFonts w:ascii="Arial" w:hAnsi="Arial" w:cs="Arial"/>
            <w:color w:val="auto"/>
            <w:vertAlign w:val="superscript"/>
          </w:rPr>
          <w:t>[55]</w:t>
        </w:r>
      </w:hyperlink>
      <w:r w:rsidRPr="006A356C">
        <w:rPr>
          <w:rFonts w:ascii="Arial" w:hAnsi="Arial" w:cs="Arial"/>
          <w:color w:val="auto"/>
        </w:rPr>
        <w:t xml:space="preserve"> Sobre la cuestión terminológica, </w:t>
      </w:r>
      <w:r w:rsidRPr="006A356C">
        <w:rPr>
          <w:rFonts w:ascii="Arial" w:hAnsi="Arial" w:cs="Arial"/>
          <w:i/>
          <w:iCs/>
          <w:color w:val="auto"/>
        </w:rPr>
        <w:t xml:space="preserve">Cfr. </w:t>
      </w:r>
      <w:r w:rsidRPr="006A356C">
        <w:rPr>
          <w:rFonts w:ascii="Arial" w:hAnsi="Arial" w:cs="Arial"/>
          <w:color w:val="auto"/>
        </w:rPr>
        <w:t>MONTERO</w:t>
      </w:r>
      <w:r w:rsidRPr="006A356C">
        <w:rPr>
          <w:rFonts w:ascii="Arial" w:hAnsi="Arial" w:cs="Arial"/>
          <w:i/>
          <w:iCs/>
          <w:color w:val="auto"/>
        </w:rPr>
        <w:t xml:space="preserve"> </w:t>
      </w:r>
      <w:r w:rsidRPr="006A356C">
        <w:rPr>
          <w:rFonts w:ascii="Arial" w:hAnsi="Arial" w:cs="Arial"/>
          <w:color w:val="auto"/>
        </w:rPr>
        <w:t xml:space="preserve">AROCA, Juan, </w:t>
      </w:r>
      <w:r w:rsidRPr="006A356C">
        <w:rPr>
          <w:rFonts w:ascii="Arial" w:hAnsi="Arial" w:cs="Arial"/>
          <w:i/>
          <w:iCs/>
          <w:color w:val="auto"/>
        </w:rPr>
        <w:t>«La Intervención de las Comunicaciones Telefónicas en el Proceso Penal (Un estudio jurisprudencial)»</w:t>
      </w:r>
      <w:r w:rsidRPr="006A356C">
        <w:rPr>
          <w:rFonts w:ascii="Arial" w:hAnsi="Arial" w:cs="Arial"/>
          <w:color w:val="auto"/>
        </w:rPr>
        <w:t xml:space="preserve">, Editorial Tirant Lo Blanch, España, 1999, pp. 19-21. </w:t>
      </w:r>
    </w:p>
    <w:p w:rsidR="00C21A64" w:rsidRPr="006A356C" w:rsidRDefault="00C21A64" w:rsidP="00C21A64">
      <w:pPr>
        <w:pStyle w:val="NormalWeb"/>
        <w:spacing w:line="360" w:lineRule="auto"/>
        <w:jc w:val="both"/>
        <w:rPr>
          <w:rFonts w:ascii="Arial" w:hAnsi="Arial" w:cs="Arial"/>
          <w:color w:val="auto"/>
        </w:rPr>
      </w:pPr>
      <w:hyperlink r:id="rId168" w:anchor="_ftnref56" w:history="1">
        <w:r w:rsidRPr="006A356C">
          <w:rPr>
            <w:rStyle w:val="Hipervnculo"/>
            <w:rFonts w:ascii="Arial" w:hAnsi="Arial" w:cs="Arial"/>
            <w:color w:val="auto"/>
            <w:vertAlign w:val="superscript"/>
          </w:rPr>
          <w:t>[56]</w:t>
        </w:r>
      </w:hyperlink>
      <w:r w:rsidRPr="006A356C">
        <w:rPr>
          <w:rFonts w:ascii="Arial" w:hAnsi="Arial" w:cs="Arial"/>
          <w:color w:val="auto"/>
        </w:rPr>
        <w:t xml:space="preserve"> Diccionario de la Lengua Española, vigésima segunda edición, </w:t>
      </w:r>
      <w:hyperlink r:id="rId169" w:history="1">
        <w:r w:rsidRPr="006A356C">
          <w:rPr>
            <w:rStyle w:val="Hipervnculo"/>
            <w:rFonts w:ascii="Arial" w:hAnsi="Arial" w:cs="Arial"/>
            <w:color w:val="auto"/>
          </w:rPr>
          <w:t>http://buscon.rae.es/draeI/SrvltConsulta?TIPO_BUS=3&amp;LEMA=Intervenir</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hyperlink r:id="rId170" w:anchor="_ftnref57" w:history="1">
        <w:r w:rsidRPr="006A356C">
          <w:rPr>
            <w:rStyle w:val="Hipervnculo"/>
            <w:rFonts w:ascii="Arial" w:hAnsi="Arial" w:cs="Arial"/>
            <w:color w:val="auto"/>
            <w:vertAlign w:val="superscript"/>
          </w:rPr>
          <w:t>[57]</w:t>
        </w:r>
      </w:hyperlink>
      <w:r w:rsidRPr="006A356C">
        <w:rPr>
          <w:rFonts w:ascii="Arial" w:hAnsi="Arial" w:cs="Arial"/>
          <w:color w:val="auto"/>
        </w:rPr>
        <w:t xml:space="preserve"> Citado por DE URBANO CASTRILLO, Eduardo y TORRES MORATO, Miguel Ángel, </w:t>
      </w:r>
      <w:r w:rsidRPr="006A356C">
        <w:rPr>
          <w:rFonts w:ascii="Arial" w:hAnsi="Arial" w:cs="Arial"/>
          <w:i/>
          <w:iCs/>
          <w:color w:val="auto"/>
        </w:rPr>
        <w:t>«La Prueba Ilícita Penal. Estudio jurisprudencial»</w:t>
      </w:r>
      <w:r w:rsidRPr="006A356C">
        <w:rPr>
          <w:rFonts w:ascii="Arial" w:hAnsi="Arial" w:cs="Arial"/>
          <w:color w:val="auto"/>
        </w:rPr>
        <w:t xml:space="preserve">, 3ª Edición, Thomson Aranzadi, España, 2003, p. 228. </w:t>
      </w:r>
    </w:p>
    <w:p w:rsidR="00C21A64" w:rsidRPr="006A356C" w:rsidRDefault="00C21A64" w:rsidP="00C21A64">
      <w:pPr>
        <w:pStyle w:val="NormalWeb"/>
        <w:spacing w:line="360" w:lineRule="auto"/>
        <w:jc w:val="both"/>
        <w:rPr>
          <w:rFonts w:ascii="Arial" w:hAnsi="Arial" w:cs="Arial"/>
          <w:color w:val="auto"/>
        </w:rPr>
      </w:pPr>
      <w:hyperlink r:id="rId171" w:anchor="_ftnref58" w:history="1">
        <w:r w:rsidRPr="006A356C">
          <w:rPr>
            <w:rStyle w:val="Hipervnculo"/>
            <w:rFonts w:ascii="Arial" w:hAnsi="Arial" w:cs="Arial"/>
            <w:color w:val="auto"/>
            <w:vertAlign w:val="superscript"/>
          </w:rPr>
          <w:t>[58]</w:t>
        </w:r>
      </w:hyperlink>
      <w:r w:rsidRPr="006A356C">
        <w:rPr>
          <w:rFonts w:ascii="Arial" w:hAnsi="Arial" w:cs="Arial"/>
          <w:color w:val="auto"/>
        </w:rPr>
        <w:t xml:space="preserve"> PASCUA, Francisco Javier, </w:t>
      </w:r>
      <w:r w:rsidRPr="006A356C">
        <w:rPr>
          <w:rFonts w:ascii="Arial" w:hAnsi="Arial" w:cs="Arial"/>
          <w:i/>
          <w:iCs/>
          <w:color w:val="auto"/>
        </w:rPr>
        <w:t>«Escuchas telefónicas, grabaciones de audio subrepticias y filmaciones»</w:t>
      </w:r>
      <w:r w:rsidRPr="006A356C">
        <w:rPr>
          <w:rFonts w:ascii="Arial" w:hAnsi="Arial" w:cs="Arial"/>
          <w:color w:val="auto"/>
        </w:rPr>
        <w:t xml:space="preserve">, Primera Reimpresión, Ediciones Jurídicas Cuyo, Argentina, 2003, pp. 78-79. </w:t>
      </w:r>
    </w:p>
    <w:p w:rsidR="00C21A64" w:rsidRPr="006A356C" w:rsidRDefault="00C21A64" w:rsidP="00C21A64">
      <w:pPr>
        <w:pStyle w:val="NormalWeb"/>
        <w:spacing w:line="360" w:lineRule="auto"/>
        <w:jc w:val="both"/>
        <w:rPr>
          <w:rFonts w:ascii="Arial" w:hAnsi="Arial" w:cs="Arial"/>
          <w:color w:val="auto"/>
        </w:rPr>
      </w:pPr>
      <w:hyperlink r:id="rId172" w:anchor="_ftnref59" w:history="1">
        <w:r w:rsidRPr="006A356C">
          <w:rPr>
            <w:rStyle w:val="Hipervnculo"/>
            <w:rFonts w:ascii="Arial" w:hAnsi="Arial" w:cs="Arial"/>
            <w:color w:val="auto"/>
            <w:vertAlign w:val="superscript"/>
          </w:rPr>
          <w:t>[59]</w:t>
        </w:r>
      </w:hyperlink>
      <w:r w:rsidRPr="006A356C">
        <w:rPr>
          <w:rFonts w:ascii="Arial" w:hAnsi="Arial" w:cs="Arial"/>
          <w:color w:val="auto"/>
        </w:rPr>
        <w:t xml:space="preserve"> Tribunal Supremo, Sala II de lo Penal. Sentencia 7015/1994, de 31 de octubre. </w:t>
      </w:r>
    </w:p>
    <w:p w:rsidR="00C21A64" w:rsidRPr="006A356C" w:rsidRDefault="00C21A64" w:rsidP="00C21A64">
      <w:pPr>
        <w:pStyle w:val="NormalWeb"/>
        <w:spacing w:line="360" w:lineRule="auto"/>
        <w:jc w:val="both"/>
        <w:rPr>
          <w:rFonts w:ascii="Arial" w:hAnsi="Arial" w:cs="Arial"/>
          <w:color w:val="auto"/>
        </w:rPr>
      </w:pPr>
      <w:hyperlink r:id="rId173" w:anchor="_ftnref60" w:history="1">
        <w:r w:rsidRPr="006A356C">
          <w:rPr>
            <w:rStyle w:val="Hipervnculo"/>
            <w:rFonts w:ascii="Arial" w:hAnsi="Arial" w:cs="Arial"/>
            <w:color w:val="auto"/>
            <w:vertAlign w:val="superscript"/>
          </w:rPr>
          <w:t>[60]</w:t>
        </w:r>
      </w:hyperlink>
      <w:r w:rsidRPr="006A356C">
        <w:rPr>
          <w:rFonts w:ascii="Arial" w:hAnsi="Arial" w:cs="Arial"/>
          <w:color w:val="auto"/>
        </w:rPr>
        <w:t xml:space="preserve"> Sobre la naturaleza jurídica de las intervenciones telefónicas, </w:t>
      </w:r>
      <w:r w:rsidRPr="006A356C">
        <w:rPr>
          <w:rFonts w:ascii="Arial" w:hAnsi="Arial" w:cs="Arial"/>
          <w:i/>
          <w:iCs/>
          <w:color w:val="auto"/>
        </w:rPr>
        <w:t xml:space="preserve">Vid., </w:t>
      </w:r>
      <w:r w:rsidRPr="006A356C">
        <w:rPr>
          <w:rFonts w:ascii="Arial" w:hAnsi="Arial" w:cs="Arial"/>
          <w:color w:val="auto"/>
        </w:rPr>
        <w:t xml:space="preserve">RIVES SEVA, Antonio Pablo, </w:t>
      </w:r>
      <w:r w:rsidRPr="006A356C">
        <w:rPr>
          <w:rFonts w:ascii="Arial" w:hAnsi="Arial" w:cs="Arial"/>
          <w:i/>
          <w:iCs/>
          <w:color w:val="auto"/>
        </w:rPr>
        <w:t>«La Intervención de las Comunicaciones en la Jurisprudencia Penal»</w:t>
      </w:r>
      <w:r w:rsidRPr="006A356C">
        <w:rPr>
          <w:rFonts w:ascii="Arial" w:hAnsi="Arial" w:cs="Arial"/>
          <w:color w:val="auto"/>
        </w:rPr>
        <w:t xml:space="preserve">, Editorial Aranzadi, Navarra, España, 2002, pp. 70-73 </w:t>
      </w:r>
    </w:p>
    <w:p w:rsidR="00C21A64" w:rsidRPr="006A356C" w:rsidRDefault="00C21A64" w:rsidP="00C21A64">
      <w:pPr>
        <w:pStyle w:val="NormalWeb"/>
        <w:spacing w:line="360" w:lineRule="auto"/>
        <w:jc w:val="both"/>
        <w:rPr>
          <w:rFonts w:ascii="Arial" w:hAnsi="Arial" w:cs="Arial"/>
          <w:color w:val="auto"/>
        </w:rPr>
      </w:pPr>
      <w:hyperlink r:id="rId174" w:anchor="_ftnref61" w:history="1">
        <w:r w:rsidRPr="006A356C">
          <w:rPr>
            <w:rStyle w:val="Hipervnculo"/>
            <w:rFonts w:ascii="Arial" w:hAnsi="Arial" w:cs="Arial"/>
            <w:color w:val="auto"/>
            <w:vertAlign w:val="superscript"/>
          </w:rPr>
          <w:t>[61]</w:t>
        </w:r>
      </w:hyperlink>
      <w:r w:rsidRPr="006A356C">
        <w:rPr>
          <w:rFonts w:ascii="Arial" w:hAnsi="Arial" w:cs="Arial"/>
          <w:color w:val="auto"/>
        </w:rPr>
        <w:t xml:space="preserve"> Tribunal Supremo, Sala II de lo Penal. Sentencia 511/1999, de 24 de marzo. </w:t>
      </w:r>
    </w:p>
    <w:p w:rsidR="00C21A64" w:rsidRPr="006A356C" w:rsidRDefault="00C21A64" w:rsidP="00C21A64">
      <w:pPr>
        <w:pStyle w:val="NormalWeb"/>
        <w:spacing w:line="360" w:lineRule="auto"/>
        <w:jc w:val="both"/>
        <w:rPr>
          <w:rFonts w:ascii="Arial" w:hAnsi="Arial" w:cs="Arial"/>
          <w:color w:val="auto"/>
        </w:rPr>
      </w:pPr>
      <w:hyperlink r:id="rId175" w:anchor="_ftnref62" w:history="1">
        <w:r w:rsidRPr="006A356C">
          <w:rPr>
            <w:rStyle w:val="Hipervnculo"/>
            <w:rFonts w:ascii="Arial" w:hAnsi="Arial" w:cs="Arial"/>
            <w:color w:val="auto"/>
            <w:vertAlign w:val="superscript"/>
          </w:rPr>
          <w:t>[62]</w:t>
        </w:r>
      </w:hyperlink>
      <w:r w:rsidRPr="006A356C">
        <w:rPr>
          <w:rFonts w:ascii="Arial" w:hAnsi="Arial" w:cs="Arial"/>
          <w:color w:val="auto"/>
        </w:rPr>
        <w:t xml:space="preserve"> </w:t>
      </w:r>
      <w:r w:rsidRPr="006A356C">
        <w:rPr>
          <w:rFonts w:ascii="Arial" w:hAnsi="Arial" w:cs="Arial"/>
          <w:i/>
          <w:iCs/>
          <w:color w:val="auto"/>
        </w:rPr>
        <w:t xml:space="preserve">Cfr., </w:t>
      </w:r>
      <w:r w:rsidRPr="006A356C">
        <w:rPr>
          <w:rFonts w:ascii="Arial" w:hAnsi="Arial" w:cs="Arial"/>
          <w:color w:val="auto"/>
        </w:rPr>
        <w:t xml:space="preserve">STEDH de 30 de julio de 1998, Caso Valenzuela Contreras contra España, </w:t>
      </w:r>
      <w:r w:rsidRPr="006A356C">
        <w:rPr>
          <w:rFonts w:ascii="Arial" w:hAnsi="Arial" w:cs="Arial"/>
          <w:i/>
          <w:iCs/>
          <w:color w:val="auto"/>
        </w:rPr>
        <w:t>«The requirement that the effects of the “law” be foreseeable means, in the sphere of monitoring telephone communications, that the guarantees stating the extent of the authorities discretion and the manner in which it is to be exercised must be set out in detail in domestic law so that it has a binding force which circumscribes the judges discretion in the application of such measures»</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El texto completo de las Sentencias del Tribunal Europeo de Derecho Humanos se puede obtener en los idiomas de trabajo –francés e inglés– en la dirección de internet </w:t>
      </w:r>
      <w:hyperlink r:id="rId176" w:history="1">
        <w:r w:rsidRPr="006A356C">
          <w:rPr>
            <w:rStyle w:val="Hipervnculo"/>
            <w:rFonts w:ascii="Arial" w:hAnsi="Arial" w:cs="Arial"/>
            <w:color w:val="auto"/>
          </w:rPr>
          <w:t>http://cmiskp.echr.coe.int/tkp197/search.asp?skin=hudoc-en</w:t>
        </w:r>
      </w:hyperlink>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hyperlink r:id="rId177" w:anchor="_ftnref63" w:history="1">
        <w:r w:rsidRPr="006A356C">
          <w:rPr>
            <w:rStyle w:val="Hipervnculo"/>
            <w:rFonts w:ascii="Arial" w:hAnsi="Arial" w:cs="Arial"/>
            <w:color w:val="auto"/>
            <w:vertAlign w:val="superscript"/>
          </w:rPr>
          <w:t>[63]</w:t>
        </w:r>
      </w:hyperlink>
      <w:r w:rsidRPr="006A356C">
        <w:rPr>
          <w:rFonts w:ascii="Arial" w:hAnsi="Arial" w:cs="Arial"/>
          <w:color w:val="auto"/>
        </w:rPr>
        <w:t xml:space="preserve"> </w:t>
      </w:r>
      <w:r w:rsidRPr="006A356C">
        <w:rPr>
          <w:rFonts w:ascii="Arial" w:hAnsi="Arial" w:cs="Arial"/>
          <w:i/>
          <w:iCs/>
          <w:color w:val="auto"/>
        </w:rPr>
        <w:t xml:space="preserve">Cfr., </w:t>
      </w:r>
      <w:r w:rsidRPr="006A356C">
        <w:rPr>
          <w:rFonts w:ascii="Arial" w:hAnsi="Arial" w:cs="Arial"/>
          <w:color w:val="auto"/>
        </w:rPr>
        <w:t xml:space="preserve">STEDH de 18 de Febrero de 2003, Caso Prado Bugallo contra España, </w:t>
      </w:r>
      <w:r w:rsidRPr="006A356C">
        <w:rPr>
          <w:rFonts w:ascii="Arial" w:hAnsi="Arial" w:cs="Arial"/>
          <w:i/>
          <w:iCs/>
          <w:color w:val="auto"/>
        </w:rPr>
        <w:t xml:space="preserve">«La Cour estime cependant que les garanties introduites par la loi de 1988 ne répondent pas à toutes les conditions exigées par la jurisprudence de la Cour, notamment dans les arrêts Kruslin c. France et Huvig c. France, pour éviter les abus. Il en va ainsi de la nature des infractions pouvant donner lieu aux écoutes, de la fixation d’une limite à la durée d’exécution de la mesure, et des conditions d’établissement des procès-verbaux de synthèse consignant les conversations </w:t>
      </w:r>
      <w:r w:rsidRPr="006A356C">
        <w:rPr>
          <w:rFonts w:ascii="Arial" w:hAnsi="Arial" w:cs="Arial"/>
          <w:i/>
          <w:iCs/>
          <w:color w:val="auto"/>
        </w:rPr>
        <w:lastRenderedPageBreak/>
        <w:t>interceptées, tâche qui est laissée à la compétence exclusive du greffier du tribunal. Ces insuffisances concernent également les précautions à prendre pour communiquer intacts et complets les enregistrements réalisés, aux fins d’un contrôle éventuel par le juge et par la défense. La loi ne contient aucune disposition à cet égard»</w:t>
      </w: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hyperlink r:id="rId178" w:anchor="_ftnref64" w:history="1">
        <w:r w:rsidRPr="006A356C">
          <w:rPr>
            <w:rStyle w:val="Hipervnculo"/>
            <w:rFonts w:ascii="Arial" w:hAnsi="Arial" w:cs="Arial"/>
            <w:color w:val="auto"/>
            <w:vertAlign w:val="superscript"/>
          </w:rPr>
          <w:t>[64]</w:t>
        </w:r>
      </w:hyperlink>
      <w:r w:rsidRPr="006A356C">
        <w:rPr>
          <w:rFonts w:ascii="Arial" w:hAnsi="Arial" w:cs="Arial"/>
          <w:color w:val="auto"/>
        </w:rPr>
        <w:t xml:space="preserve"> </w:t>
      </w:r>
      <w:r w:rsidRPr="006A356C">
        <w:rPr>
          <w:rFonts w:ascii="Arial" w:hAnsi="Arial" w:cs="Arial"/>
          <w:i/>
          <w:iCs/>
          <w:color w:val="auto"/>
        </w:rPr>
        <w:t>Cfr.,</w:t>
      </w:r>
      <w:r w:rsidRPr="006A356C">
        <w:rPr>
          <w:rFonts w:ascii="Arial" w:hAnsi="Arial" w:cs="Arial"/>
          <w:color w:val="auto"/>
        </w:rPr>
        <w:t xml:space="preserve"> NOYA FERREIRO, María Lourdes, </w:t>
      </w:r>
      <w:r w:rsidRPr="006A356C">
        <w:rPr>
          <w:rFonts w:ascii="Arial" w:hAnsi="Arial" w:cs="Arial"/>
          <w:i/>
          <w:iCs/>
          <w:color w:val="auto"/>
        </w:rPr>
        <w:t>«La intervención de comunicaciones…»</w:t>
      </w:r>
      <w:r w:rsidRPr="006A356C">
        <w:rPr>
          <w:rFonts w:ascii="Arial" w:hAnsi="Arial" w:cs="Arial"/>
          <w:color w:val="auto"/>
        </w:rPr>
        <w:t xml:space="preserve">, </w:t>
      </w:r>
      <w:r w:rsidRPr="006A356C">
        <w:rPr>
          <w:rFonts w:ascii="Arial" w:hAnsi="Arial" w:cs="Arial"/>
          <w:i/>
          <w:iCs/>
          <w:color w:val="auto"/>
        </w:rPr>
        <w:t xml:space="preserve">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38), pp. 141-222, 245-266; MONTERO</w:t>
      </w:r>
      <w:r w:rsidRPr="006A356C">
        <w:rPr>
          <w:rFonts w:ascii="Arial" w:hAnsi="Arial" w:cs="Arial"/>
          <w:i/>
          <w:iCs/>
          <w:color w:val="auto"/>
        </w:rPr>
        <w:t xml:space="preserve"> </w:t>
      </w:r>
      <w:r w:rsidRPr="006A356C">
        <w:rPr>
          <w:rFonts w:ascii="Arial" w:hAnsi="Arial" w:cs="Arial"/>
          <w:color w:val="auto"/>
        </w:rPr>
        <w:t xml:space="preserve">AROCA, Juan, </w:t>
      </w:r>
      <w:r w:rsidRPr="006A356C">
        <w:rPr>
          <w:rFonts w:ascii="Arial" w:hAnsi="Arial" w:cs="Arial"/>
          <w:i/>
          <w:iCs/>
          <w:color w:val="auto"/>
        </w:rPr>
        <w:t>«La Intervención de las Comunicaciones…»</w:t>
      </w:r>
      <w:r w:rsidRPr="006A356C">
        <w:rPr>
          <w:rFonts w:ascii="Arial" w:hAnsi="Arial" w:cs="Arial"/>
          <w:color w:val="auto"/>
        </w:rPr>
        <w:t xml:space="preserve">, </w:t>
      </w:r>
      <w:r w:rsidRPr="006A356C">
        <w:rPr>
          <w:rFonts w:ascii="Arial" w:hAnsi="Arial" w:cs="Arial"/>
          <w:i/>
          <w:iCs/>
          <w:color w:val="auto"/>
        </w:rPr>
        <w:t xml:space="preserve">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55), pp. 91-312; Tribunal Constitucional, Sala Primera. Sentencia 166/1999, de 27 de septiembre; Tribunal Constitucional, Sala Segunda. Sentencia 202/2001, de 15 de octubre; y, Tribunal Supremo, Sala II de lo Penal. Sentencia 708/2008, de 4 de noviembre –por todas–. </w:t>
      </w:r>
    </w:p>
    <w:p w:rsidR="00C21A64" w:rsidRPr="006A356C" w:rsidRDefault="00C21A64" w:rsidP="00C21A64">
      <w:pPr>
        <w:pStyle w:val="NormalWeb"/>
        <w:spacing w:line="360" w:lineRule="auto"/>
        <w:jc w:val="both"/>
        <w:rPr>
          <w:rFonts w:ascii="Arial" w:hAnsi="Arial" w:cs="Arial"/>
          <w:color w:val="auto"/>
        </w:rPr>
      </w:pPr>
      <w:hyperlink r:id="rId179" w:anchor="_ftnref65" w:history="1">
        <w:r w:rsidRPr="006A356C">
          <w:rPr>
            <w:rStyle w:val="Hipervnculo"/>
            <w:rFonts w:ascii="Arial" w:hAnsi="Arial" w:cs="Arial"/>
            <w:color w:val="auto"/>
            <w:vertAlign w:val="superscript"/>
          </w:rPr>
          <w:t>[65]</w:t>
        </w:r>
      </w:hyperlink>
      <w:r w:rsidRPr="006A356C">
        <w:rPr>
          <w:rFonts w:ascii="Arial" w:hAnsi="Arial" w:cs="Arial"/>
          <w:color w:val="auto"/>
        </w:rPr>
        <w:t xml:space="preserve"> Según la Sala de lo Constitucional, «tal principio rige a los tribunales jurisdiccionales, por lo que toda actuación de éstos ha de presentarse necesariamente como ejercicio de un poder o competencia atribuidos previamente por la ley, la que los construye y delimita. Lo anterior significa que los tribunales jurisdiccionales deben someterse en todo momento a lo que la ley establezca. Este sometimiento implica que los tribunales jurisdiccionales deben actuar de conformidad a todo el ordenamiento jurídico y no sólo en atención a las normas que regulan una actuación en específico, tal como lo establece el art. 172 </w:t>
      </w:r>
      <w:proofErr w:type="gramStart"/>
      <w:r w:rsidRPr="006A356C">
        <w:rPr>
          <w:rFonts w:ascii="Arial" w:hAnsi="Arial" w:cs="Arial"/>
          <w:color w:val="auto"/>
        </w:rPr>
        <w:t>inc.</w:t>
      </w:r>
      <w:proofErr w:type="gramEnd"/>
      <w:r w:rsidRPr="006A356C">
        <w:rPr>
          <w:rFonts w:ascii="Arial" w:hAnsi="Arial" w:cs="Arial"/>
          <w:color w:val="auto"/>
        </w:rPr>
        <w:t xml:space="preserve"> 3° Cn. y el principio de unidad del ordenamiento jurídico. En virtud de lo anterior, el principio en cuestión se ve vulnerado cuando la Administración o los tribunales realizan actos que no tienen fundamento legal o cuando no actúan conforme a lo que la ley de la materia establece» (Sentencia de Amparo número 148-97, de fecha 21 de julio de 1998, considerando IV 1). </w:t>
      </w:r>
    </w:p>
    <w:p w:rsidR="00C21A64" w:rsidRPr="006A356C" w:rsidRDefault="00C21A64" w:rsidP="00C21A64">
      <w:pPr>
        <w:pStyle w:val="NormalWeb"/>
        <w:spacing w:line="360" w:lineRule="auto"/>
        <w:jc w:val="both"/>
        <w:rPr>
          <w:rFonts w:ascii="Arial" w:hAnsi="Arial" w:cs="Arial"/>
          <w:color w:val="auto"/>
        </w:rPr>
      </w:pPr>
      <w:hyperlink r:id="rId180" w:anchor="_ftnref66" w:history="1">
        <w:r w:rsidRPr="006A356C">
          <w:rPr>
            <w:rStyle w:val="Hipervnculo"/>
            <w:rFonts w:ascii="Arial" w:hAnsi="Arial" w:cs="Arial"/>
            <w:color w:val="auto"/>
            <w:vertAlign w:val="superscript"/>
          </w:rPr>
          <w:t>[66]</w:t>
        </w:r>
      </w:hyperlink>
      <w:r w:rsidRPr="006A356C">
        <w:rPr>
          <w:rFonts w:ascii="Arial" w:hAnsi="Arial" w:cs="Arial"/>
          <w:color w:val="auto"/>
        </w:rPr>
        <w:t xml:space="preserve"> «La atribución exclusiva y excluyente a los órganos jurisdiccionales de las facultades para la autorización y control ulterior de la práctica de las intervenciones telefónicas es el segundo de los grandes requisitos de </w:t>
      </w:r>
      <w:r w:rsidRPr="006A356C">
        <w:rPr>
          <w:rFonts w:ascii="Arial" w:hAnsi="Arial" w:cs="Arial"/>
          <w:color w:val="auto"/>
        </w:rPr>
        <w:lastRenderedPageBreak/>
        <w:t xml:space="preserve">constitucionalidad de la medida restrictiva del derecho fundamental» (Tribunal Supremo, Sala II de lo Penal. Sentencia 588/2002, de 4 de abril). </w:t>
      </w:r>
    </w:p>
    <w:p w:rsidR="00C21A64" w:rsidRPr="006A356C" w:rsidRDefault="00C21A64" w:rsidP="00C21A64">
      <w:pPr>
        <w:pStyle w:val="NormalWeb"/>
        <w:spacing w:line="360" w:lineRule="auto"/>
        <w:jc w:val="both"/>
        <w:rPr>
          <w:rFonts w:ascii="Arial" w:hAnsi="Arial" w:cs="Arial"/>
          <w:color w:val="auto"/>
        </w:rPr>
      </w:pPr>
      <w:hyperlink r:id="rId181" w:anchor="_ftnref67" w:history="1">
        <w:r w:rsidRPr="006A356C">
          <w:rPr>
            <w:rStyle w:val="Hipervnculo"/>
            <w:rFonts w:ascii="Arial" w:hAnsi="Arial" w:cs="Arial"/>
            <w:color w:val="auto"/>
            <w:vertAlign w:val="superscript"/>
          </w:rPr>
          <w:t>[67]</w:t>
        </w:r>
      </w:hyperlink>
      <w:r w:rsidRPr="006A356C">
        <w:rPr>
          <w:rFonts w:ascii="Arial" w:hAnsi="Arial" w:cs="Arial"/>
          <w:color w:val="auto"/>
        </w:rPr>
        <w:t xml:space="preserve"> «En cualquier caso, los indicios de la comisión de un delito y de la participación en el mismo de la persona cuya investigación se pretende continuar a través de la intervención telefónica aparecen como el soporte fáctico imprescindible de la decisión judicial. Debe desprenderse de ésta la existencia de indicios suficientes, entendidos, no como meras sospechas o conjeturas, sino como datos objetivos que, sin la seguridad de la plenitud probatoria pero con la firmeza que proporciona una sospecha fundada, permitan contar con una noticia racional, siquiera sea provisional y precisada de confirmación, del hecho que se pretende investigar, así como con la posibilidad seria de descubrir a los autores o de comprobar algún hecho o circunstancia importante de la causa a través de la medida que se autoriza. En algunos casos, será suficiente a estos efectos con los datos suministrados por quien solicita la intervención de las comunicaciones y, en otros, la autoridad judicial deberá proceder a su comprobación o ampliación» (Tribunal Supremo, Sala II de lo Penal. Sentencia 119/2007, de 16 de febrero).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«Decir indicios es hablar de noticia atendible de delito, de datos valorables, por tanto verbalizables o comunicables con ese mínimo de concreción que hace falta para que una afirmación relativa a hechos pueda ser sometida a un control intersubjetivo de racionalidad y plausibilidad» (Tribunal Supremo, Sala II de lo Penal. Sentencia 1521/2001, de 23 de julio).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«En la idea de datos objetivos indiciarios de la existencia del delito es apreciable una diversidad conceptual entre el dato objetivo y el delito del que aquél es indicio de su existencia. En otros términos, la idea de dato objetivo indiciario tiene que ver con la fuente de conocimiento del presunto delito, cuya existencia puede ser conocida a través de ella. De ahí que el hecho en que el presunto delito puede consistir no pueda servir como fuente de conocimiento de su existencia. La fuente del conocimiento y el hecho conocido no pueden ser la misma cosa» (Tribunal Constitucional, Sala Segunda. Sentencia 299/2000, de 11 de diciembre). </w:t>
      </w:r>
    </w:p>
    <w:p w:rsidR="00C21A64" w:rsidRPr="006A356C" w:rsidRDefault="00C21A64" w:rsidP="00C21A64">
      <w:pPr>
        <w:pStyle w:val="NormalWeb"/>
        <w:spacing w:line="360" w:lineRule="auto"/>
        <w:jc w:val="both"/>
        <w:rPr>
          <w:rFonts w:ascii="Arial" w:hAnsi="Arial" w:cs="Arial"/>
          <w:color w:val="auto"/>
        </w:rPr>
      </w:pPr>
      <w:hyperlink r:id="rId182" w:anchor="_ftnref68" w:history="1">
        <w:r w:rsidRPr="006A356C">
          <w:rPr>
            <w:rStyle w:val="Hipervnculo"/>
            <w:rFonts w:ascii="Arial" w:hAnsi="Arial" w:cs="Arial"/>
            <w:color w:val="auto"/>
            <w:vertAlign w:val="superscript"/>
          </w:rPr>
          <w:t>[68]</w:t>
        </w:r>
      </w:hyperlink>
      <w:r w:rsidRPr="006A356C">
        <w:rPr>
          <w:rFonts w:ascii="Arial" w:hAnsi="Arial" w:cs="Arial"/>
          <w:color w:val="auto"/>
        </w:rPr>
        <w:t xml:space="preserve"> No obstante ello, el Tribunal Supremo Español considera que habría que atender a las circunstancias particulares de cada caso, ya que «sería absurdo exigir unas pruebas o unos indicios racionales para adoptar una medida de investigación que precisamente tiene la finalidad de obtener esos indicios y esas pruebas de la realidad del delito que se investiga y de los responsables del mismo. Lo que antecede en modo alguno significa que la medida de intervención telefónica pueda ser adoptada por el Juez de manera arbitraria o infundada, pues tal actuación quebrantaría la proscripción de la arbitrariedad por los poderes públicos (art. 9.3 C.E.) y la necesidad de motivación de las resoluciones judiciales (art. 120 C.E.), sobre todo cuando éstas limitan, restringen o lesionan de algún modo los derechos fundamentales o las libertades del ciudadano. De lo que se trata es de significar que la decisión judicial no vulnerará las exigencias constitucionales a que se refiere el art. 11.1 L.O.P.J. cuando el Juez haya cimentado dicha decisión en la existencia, al menos, de datos o elementos con valor fáctico que configuren una sospecha razonable y racional que justifiquen la apertura de una línea de investigación con la que pretende allegar indicios fundados del delito y de los partícipes y, en su caso, pruebas de cargo al respecto» (Tribunal Supremo, Sala II de lo Penal. Sentencia 1335/2001, de 19 de julio). </w:t>
      </w:r>
    </w:p>
    <w:p w:rsidR="00C21A64" w:rsidRPr="006A356C" w:rsidRDefault="00C21A64" w:rsidP="00C21A64">
      <w:pPr>
        <w:pStyle w:val="NormalWeb"/>
        <w:spacing w:line="360" w:lineRule="auto"/>
        <w:jc w:val="both"/>
        <w:rPr>
          <w:rFonts w:ascii="Arial" w:hAnsi="Arial" w:cs="Arial"/>
          <w:color w:val="auto"/>
        </w:rPr>
      </w:pPr>
      <w:hyperlink r:id="rId183" w:anchor="_ftnref69" w:history="1">
        <w:r w:rsidRPr="006A356C">
          <w:rPr>
            <w:rStyle w:val="Hipervnculo"/>
            <w:rFonts w:ascii="Arial" w:hAnsi="Arial" w:cs="Arial"/>
            <w:color w:val="auto"/>
            <w:vertAlign w:val="superscript"/>
          </w:rPr>
          <w:t>[69]</w:t>
        </w:r>
      </w:hyperlink>
      <w:r w:rsidRPr="006A356C">
        <w:rPr>
          <w:rFonts w:ascii="Arial" w:hAnsi="Arial" w:cs="Arial"/>
          <w:color w:val="auto"/>
        </w:rPr>
        <w:t xml:space="preserve"> </w:t>
      </w:r>
      <w:r w:rsidRPr="006A356C">
        <w:rPr>
          <w:rFonts w:ascii="Arial" w:hAnsi="Arial" w:cs="Arial"/>
          <w:i/>
          <w:iCs/>
          <w:color w:val="auto"/>
        </w:rPr>
        <w:t>Cfr.,</w:t>
      </w:r>
      <w:r w:rsidRPr="006A356C">
        <w:rPr>
          <w:rFonts w:ascii="Arial" w:hAnsi="Arial" w:cs="Arial"/>
          <w:color w:val="auto"/>
        </w:rPr>
        <w:t xml:space="preserve"> Tribunal Constitucional Pleno. Sentencia 184/2003, de 23 de octubre. </w:t>
      </w:r>
    </w:p>
    <w:p w:rsidR="00C21A64" w:rsidRPr="006A356C" w:rsidRDefault="00C21A64" w:rsidP="00C21A64">
      <w:pPr>
        <w:pStyle w:val="NormalWeb"/>
        <w:spacing w:line="360" w:lineRule="auto"/>
        <w:jc w:val="both"/>
        <w:rPr>
          <w:rFonts w:ascii="Arial" w:hAnsi="Arial" w:cs="Arial"/>
          <w:color w:val="auto"/>
        </w:rPr>
      </w:pPr>
      <w:hyperlink r:id="rId184" w:anchor="_ftnref70" w:history="1">
        <w:r w:rsidRPr="006A356C">
          <w:rPr>
            <w:rStyle w:val="Hipervnculo"/>
            <w:rFonts w:ascii="Arial" w:hAnsi="Arial" w:cs="Arial"/>
            <w:color w:val="auto"/>
            <w:vertAlign w:val="superscript"/>
          </w:rPr>
          <w:t>[70]</w:t>
        </w:r>
      </w:hyperlink>
      <w:r w:rsidRPr="006A356C">
        <w:rPr>
          <w:rFonts w:ascii="Arial" w:hAnsi="Arial" w:cs="Arial"/>
          <w:color w:val="auto"/>
        </w:rPr>
        <w:t xml:space="preserve"> La Sala de lo Constitucional ha derivado la obligación de motivar las resoluciones judiciales de la seguridad jurídica –como principio–, manifestando que «si bien es cierto que la obligación de motivación no se encuentra expresamente determinada en una disposición constitucional, encontramos, vía interpretativa, disposiciones como los arts. 1 y 2 Cn., de los que se deriva la seguridad jurídica y la protección en la conservación y defensa en juicio de los derechos constitucionales. Así pues, la falta de motivación de una resolución judicial, implica una violación a la seguridad jurídica y al derecho de defensa en juicio» (Sentencia de Amparo número 7-98, de fecha 25 de agosto de 1999, considerando III 1).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Asimismo,</w:t>
      </w:r>
      <w:r w:rsidRPr="006A356C">
        <w:rPr>
          <w:rFonts w:ascii="Arial" w:hAnsi="Arial" w:cs="Arial"/>
          <w:i/>
          <w:iCs/>
          <w:color w:val="auto"/>
        </w:rPr>
        <w:t xml:space="preserve"> Vid.,</w:t>
      </w:r>
      <w:r w:rsidRPr="006A356C">
        <w:rPr>
          <w:rFonts w:ascii="Arial" w:hAnsi="Arial" w:cs="Arial"/>
          <w:color w:val="auto"/>
        </w:rPr>
        <w:t xml:space="preserve"> IGARTUA SALAVERRÍA, Juan, </w:t>
      </w:r>
      <w:r w:rsidRPr="006A356C">
        <w:rPr>
          <w:rFonts w:ascii="Arial" w:hAnsi="Arial" w:cs="Arial"/>
          <w:i/>
          <w:iCs/>
          <w:color w:val="auto"/>
        </w:rPr>
        <w:t>«La Motivación de las Sentencias. Imperativo Constitucional»,</w:t>
      </w:r>
      <w:r w:rsidRPr="006A356C">
        <w:rPr>
          <w:rFonts w:ascii="Arial" w:hAnsi="Arial" w:cs="Arial"/>
          <w:color w:val="auto"/>
        </w:rPr>
        <w:t xml:space="preserve"> 1ª Edición, 1ª Reimpresión, Centro de Estudios Políticos y Constitucionales, Madrid, España, 2003. </w:t>
      </w:r>
    </w:p>
    <w:p w:rsidR="00C21A64" w:rsidRPr="006A356C" w:rsidRDefault="00C21A64" w:rsidP="00C21A64">
      <w:pPr>
        <w:pStyle w:val="NormalWeb"/>
        <w:spacing w:line="360" w:lineRule="auto"/>
        <w:jc w:val="both"/>
        <w:rPr>
          <w:rFonts w:ascii="Arial" w:hAnsi="Arial" w:cs="Arial"/>
          <w:color w:val="auto"/>
        </w:rPr>
      </w:pPr>
      <w:hyperlink r:id="rId185" w:anchor="_ftnref71" w:history="1">
        <w:r w:rsidRPr="006A356C">
          <w:rPr>
            <w:rStyle w:val="Hipervnculo"/>
            <w:rFonts w:ascii="Arial" w:hAnsi="Arial" w:cs="Arial"/>
            <w:color w:val="auto"/>
            <w:vertAlign w:val="superscript"/>
          </w:rPr>
          <w:t>[71]</w:t>
        </w:r>
      </w:hyperlink>
      <w:r w:rsidRPr="006A356C">
        <w:rPr>
          <w:rFonts w:ascii="Arial" w:hAnsi="Arial" w:cs="Arial"/>
          <w:color w:val="auto"/>
        </w:rPr>
        <w:t xml:space="preserve"> «De la nota de proporcionalidad se deriva como consecuencia que este medio excepcional de investigación requiere, también, una gravedad acorde y proporcionada a los delitos a investigar. Ciertamente que el interés del Estado y de la Sociedad en la persecución y descubrimiento de los hechos delictivos es directamente proporcional a la gravedad de estos, por ello, solo en relación a la investigación de delitos graves, que son los que mayor interés despiertan su persecución y castigo, será adecuado el sacrificio de la vulneración de derechos fundamentales para facilitar su descubrimiento, pues en otro caso, el juicio de ponderación de los intereses en conflicto desaparecería si por delitos menores, incluso faltas se generalizase este medio excepcional de investigación, que desembocaría en el generalizado quebranto de derechos fundamentales de la persona sin justificación posible»  (Tribunal Supremo, Sala II de lo Penal. Sentencia 1012/2006, de 19 de octubre).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Asimismo, respecto al Principio de Proporcionalidad, </w:t>
      </w:r>
      <w:r w:rsidRPr="006A356C">
        <w:rPr>
          <w:rFonts w:ascii="Arial" w:hAnsi="Arial" w:cs="Arial"/>
          <w:i/>
          <w:iCs/>
          <w:color w:val="auto"/>
        </w:rPr>
        <w:t>Vid.,</w:t>
      </w:r>
      <w:r w:rsidRPr="006A356C">
        <w:rPr>
          <w:rFonts w:ascii="Arial" w:hAnsi="Arial" w:cs="Arial"/>
          <w:color w:val="auto"/>
        </w:rPr>
        <w:t xml:space="preserve"> BERNAL PULIDO, Carlos, </w:t>
      </w:r>
      <w:r w:rsidRPr="006A356C">
        <w:rPr>
          <w:rFonts w:ascii="Arial" w:hAnsi="Arial" w:cs="Arial"/>
          <w:i/>
          <w:iCs/>
          <w:color w:val="auto"/>
        </w:rPr>
        <w:t xml:space="preserve">op.cit. </w:t>
      </w:r>
      <w:r w:rsidRPr="006A356C">
        <w:rPr>
          <w:rFonts w:ascii="Arial" w:hAnsi="Arial" w:cs="Arial"/>
          <w:color w:val="auto"/>
        </w:rPr>
        <w:t xml:space="preserve">(nota 12); LOPERA MESA, Gloria Patricia, «Principio de Proporcionalidad y Ley Penal», Centro de Estudios Políticos y Constitucionales, España, 2006; SÁNCHEZ GIL, Rubén, «El Principio de Proporcionalidad», 1ª Edición, Universidad Nacional Autónoma de México, 2007; DE LA MATA BARRANCO, Norberto J., «El Principio de Proporcionalidad Penal», Editorial Tirant Lo Blanch, España, 2007; CUELLAR SERRANO, Nicolás González, «Proporcionalidad y Derechos Fundamentales en el Proceso Penal», Editorial Colex, España, 1990. </w:t>
      </w:r>
    </w:p>
    <w:p w:rsidR="00C21A64" w:rsidRPr="006A356C" w:rsidRDefault="00C21A64" w:rsidP="00C21A64">
      <w:pPr>
        <w:pStyle w:val="NormalWeb"/>
        <w:spacing w:line="360" w:lineRule="auto"/>
        <w:jc w:val="both"/>
        <w:rPr>
          <w:rFonts w:ascii="Arial" w:hAnsi="Arial" w:cs="Arial"/>
          <w:color w:val="auto"/>
        </w:rPr>
      </w:pPr>
      <w:hyperlink r:id="rId186" w:anchor="_ftnref72" w:history="1">
        <w:r w:rsidRPr="006A356C">
          <w:rPr>
            <w:rStyle w:val="Hipervnculo"/>
            <w:rFonts w:ascii="Arial" w:hAnsi="Arial" w:cs="Arial"/>
            <w:color w:val="auto"/>
            <w:vertAlign w:val="superscript"/>
          </w:rPr>
          <w:t>[72]</w:t>
        </w:r>
      </w:hyperlink>
      <w:r w:rsidRPr="006A356C">
        <w:rPr>
          <w:rFonts w:ascii="Arial" w:hAnsi="Arial" w:cs="Arial"/>
          <w:color w:val="auto"/>
        </w:rPr>
        <w:t xml:space="preserve"> «De la nota de excepcionalidad se deriva que la intervención telefónica no supone un medio normal de investigación, sino excepcional en la medida que supone el sacrificio de un derecho fundamental de la persona, por lo que su uso debe efectuarse con carácter limitado, ello supone que ni es tolerable la petición </w:t>
      </w:r>
      <w:r w:rsidRPr="006A356C">
        <w:rPr>
          <w:rFonts w:ascii="Arial" w:hAnsi="Arial" w:cs="Arial"/>
          <w:color w:val="auto"/>
        </w:rPr>
        <w:lastRenderedPageBreak/>
        <w:t xml:space="preserve">sistemática en sede judicial de tal autorización, ni menos se debe conceder de forma rutinaria. Ciertamente en la mayoría de los supuestos de petición se estará en los umbrales de la investigación judicial --normalmente tal petición será la cabeza de las correspondientes diligencias previas--, pero en todo caso debe acreditarse una previa y suficiente investigación policial que para avanzar necesita, por las dificultades del caso, de la intervención telefónica, por ello la nota de la excepcionalidad, se completa con las de idoneidad y necesidad y subsidiariedad formando un todo inseparable, que actúa como valladar ante el riesgo de expansión que suele tener todo lo excepcional» (STS 1012/2006 (nota 70)). </w:t>
      </w:r>
    </w:p>
    <w:p w:rsidR="00C21A64" w:rsidRPr="006A356C" w:rsidRDefault="00C21A64" w:rsidP="00C21A64">
      <w:pPr>
        <w:pStyle w:val="NormalWeb"/>
        <w:spacing w:line="360" w:lineRule="auto"/>
        <w:jc w:val="both"/>
        <w:rPr>
          <w:rFonts w:ascii="Arial" w:hAnsi="Arial" w:cs="Arial"/>
          <w:color w:val="auto"/>
        </w:rPr>
      </w:pPr>
      <w:hyperlink r:id="rId187" w:anchor="_ftnref73" w:history="1">
        <w:r w:rsidRPr="006A356C">
          <w:rPr>
            <w:rStyle w:val="Hipervnculo"/>
            <w:rFonts w:ascii="Arial" w:hAnsi="Arial" w:cs="Arial"/>
            <w:color w:val="auto"/>
            <w:vertAlign w:val="superscript"/>
          </w:rPr>
          <w:t>[73]</w:t>
        </w:r>
      </w:hyperlink>
      <w:r w:rsidRPr="006A356C">
        <w:rPr>
          <w:rFonts w:ascii="Arial" w:hAnsi="Arial" w:cs="Arial"/>
          <w:color w:val="auto"/>
        </w:rPr>
        <w:t xml:space="preserve"> Según el Tribunal Constitucional Español, es importante tener en cuenta que «la gravedad de la infracción punible no puede estar determinada únicamente por la calificación de la pena legalmente prevista, aunque indudablemente es un factor que debe de ser considerado, sino que también deben tenerse en cuenta otros factores, como los bienes jurídicos protegidos y la relevancia social de aquélla [intervención telefónica]» (STC 299/2000 (nota 66)). </w:t>
      </w:r>
    </w:p>
    <w:p w:rsidR="00C21A64" w:rsidRPr="006A356C" w:rsidRDefault="00C21A64" w:rsidP="00C21A64">
      <w:pPr>
        <w:pStyle w:val="NormalWeb"/>
        <w:spacing w:line="360" w:lineRule="auto"/>
        <w:jc w:val="both"/>
        <w:rPr>
          <w:rFonts w:ascii="Arial" w:hAnsi="Arial" w:cs="Arial"/>
          <w:color w:val="auto"/>
        </w:rPr>
      </w:pPr>
      <w:hyperlink r:id="rId188" w:anchor="_ftnref74" w:history="1">
        <w:r w:rsidRPr="006A356C">
          <w:rPr>
            <w:rStyle w:val="Hipervnculo"/>
            <w:rFonts w:ascii="Arial" w:hAnsi="Arial" w:cs="Arial"/>
            <w:color w:val="auto"/>
            <w:vertAlign w:val="superscript"/>
          </w:rPr>
          <w:t>[74]</w:t>
        </w:r>
      </w:hyperlink>
      <w:r w:rsidRPr="006A356C">
        <w:rPr>
          <w:rFonts w:ascii="Arial" w:hAnsi="Arial" w:cs="Arial"/>
          <w:color w:val="auto"/>
        </w:rPr>
        <w:t xml:space="preserve"> Según la Sala de lo Constitucional, «la seguridad jurídica es, desde la perspectiva del derecho constitucional, la condición resultante de la predeterminación, hecha por el ordenamiento jurídico, de los ámbitos de licitud e ilicitud en la actuación de los individuos, lo que implica una garantía para los derechos fundamentales de la persona y una limitación a la arbitrariedad del poder público. Puede presentarse en dos manifestaciones: la primera, como una exigencia objetiva de regularidad estructural y funcional del sistema jurídico a través de sus normas e instituciones; y en la segunda, en su faceta subjetiva, como certeza del derecho, es decir, como proyección, en las situaciones personales, de la seguridad objetiva, en el sentido que los destinatarios del derecho puedan organizar su conducta presente y programar expectativas para su actuación jurídica futura bajo pautas razonables de previsibilidad» (Sentencia de Amparo número 305-99, de fecha 19 de marzo de 2001, considerando II 2). </w:t>
      </w:r>
    </w:p>
    <w:p w:rsidR="00C21A64" w:rsidRPr="006A356C" w:rsidRDefault="00C21A64" w:rsidP="00C21A64">
      <w:pPr>
        <w:pStyle w:val="NormalWeb"/>
        <w:spacing w:line="360" w:lineRule="auto"/>
        <w:jc w:val="both"/>
        <w:rPr>
          <w:rFonts w:ascii="Arial" w:hAnsi="Arial" w:cs="Arial"/>
          <w:color w:val="auto"/>
        </w:rPr>
      </w:pPr>
      <w:hyperlink r:id="rId189" w:anchor="_ftnref75" w:history="1">
        <w:r w:rsidRPr="006A356C">
          <w:rPr>
            <w:rStyle w:val="Hipervnculo"/>
            <w:rFonts w:ascii="Arial" w:hAnsi="Arial" w:cs="Arial"/>
            <w:color w:val="auto"/>
            <w:vertAlign w:val="superscript"/>
          </w:rPr>
          <w:t>[75]</w:t>
        </w:r>
      </w:hyperlink>
      <w:r w:rsidRPr="006A356C">
        <w:rPr>
          <w:rFonts w:ascii="Arial" w:hAnsi="Arial" w:cs="Arial"/>
          <w:color w:val="auto"/>
        </w:rPr>
        <w:t xml:space="preserve"> «Ciertamente que el interés del Estado y de la Sociedad en la persecución y descubrimiento de los hechos delictivos es directamente proporcionada a la gravedad de estos, por ello, solo en relación a la investigación de delitos graves, que son los que mayor interés despiertan su persecución y castigo, será adecuado el sacrificio de la vulneración de derechos fundamentales, para facultar su descubrimiento, pues en otro caso, el juicio de ponderación de los intereses en conflicto desaparecería si por delitos menores, incluso faltas, se generalizan este medio excepcional de investigación, que desembocaría en el generalizado quebranto de derechos fundamentales de la persona sin justificación posible» (Tribunal Supremo, Sala II de lo Penal. Sentencia 77/2007, de 7 de febrero). </w:t>
      </w:r>
    </w:p>
    <w:p w:rsidR="00C21A64" w:rsidRPr="006A356C" w:rsidRDefault="00C21A64" w:rsidP="00C21A64">
      <w:pPr>
        <w:pStyle w:val="NormalWeb"/>
        <w:spacing w:line="360" w:lineRule="auto"/>
        <w:jc w:val="both"/>
        <w:rPr>
          <w:rFonts w:ascii="Arial" w:hAnsi="Arial" w:cs="Arial"/>
          <w:color w:val="auto"/>
        </w:rPr>
      </w:pPr>
      <w:hyperlink r:id="rId190" w:anchor="_ftnref76" w:history="1">
        <w:r w:rsidRPr="006A356C">
          <w:rPr>
            <w:rStyle w:val="Hipervnculo"/>
            <w:rFonts w:ascii="Arial" w:hAnsi="Arial" w:cs="Arial"/>
            <w:color w:val="auto"/>
            <w:vertAlign w:val="superscript"/>
          </w:rPr>
          <w:t>[76]</w:t>
        </w:r>
      </w:hyperlink>
      <w:r w:rsidRPr="006A356C">
        <w:rPr>
          <w:rFonts w:ascii="Arial" w:hAnsi="Arial" w:cs="Arial"/>
          <w:color w:val="auto"/>
        </w:rPr>
        <w:t xml:space="preserve"> «El control judicial efectivo, en el desarrollo y cese de la medida, es indispensable para el mantenimiento de la restricción del derecho fundamental, dentro de los límites constitucionales. El Juez que la autorice debe, en primer término, conocer los resultados obtenidos con la intervención, y en el supuesto de que se produzca una divergencia entre el delito objeto de investigación y el que de hecho se investiga, debe adoptar la resolución que proceda, puesto que en otro caso (Sentencia TEDH, caso Klass, de 6 de septiembre de 1978, caso Malone, de 2 de agosto de 1984, y caso Kruslin de 24 de abril de 1990), las intervenciones constituirían una injerencia de la autoridad pública en el ejercicio del derecho del afectado al respeto de su correspondencia y de su vida privada» (Tribunal Constitucional, Sala Primera. Sentencia 49/1996, de 26 de Marzo).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Según Montero Aroca el control judicial se basa en «que la policía –que no puede restringir el derecho al secreto de las comunicaciones telefónicas– dispone de los medios personales y materiales para hacer la intervención, mientras que los Juzgados […] –que son los únicos que pueden acordar la restricción– no disponen de esos medios. Cuando la mesa de escuchas esté bajo total dependencia judicial el tema del “control judicial” habrá dejado de plantar problemas» (MONTERO</w:t>
      </w:r>
      <w:r w:rsidRPr="006A356C">
        <w:rPr>
          <w:rFonts w:ascii="Arial" w:hAnsi="Arial" w:cs="Arial"/>
          <w:i/>
          <w:iCs/>
          <w:color w:val="auto"/>
        </w:rPr>
        <w:t xml:space="preserve"> </w:t>
      </w:r>
      <w:r w:rsidRPr="006A356C">
        <w:rPr>
          <w:rFonts w:ascii="Arial" w:hAnsi="Arial" w:cs="Arial"/>
          <w:color w:val="auto"/>
        </w:rPr>
        <w:t xml:space="preserve">AROCA, Juan, </w:t>
      </w:r>
      <w:r w:rsidRPr="006A356C">
        <w:rPr>
          <w:rFonts w:ascii="Arial" w:hAnsi="Arial" w:cs="Arial"/>
          <w:i/>
          <w:iCs/>
          <w:color w:val="auto"/>
        </w:rPr>
        <w:t>«La Intervención de las Comunicaciones…»</w:t>
      </w:r>
      <w:r w:rsidRPr="006A356C">
        <w:rPr>
          <w:rFonts w:ascii="Arial" w:hAnsi="Arial" w:cs="Arial"/>
          <w:color w:val="auto"/>
        </w:rPr>
        <w:t xml:space="preserve">, </w:t>
      </w:r>
      <w:r w:rsidRPr="006A356C">
        <w:rPr>
          <w:rFonts w:ascii="Arial" w:hAnsi="Arial" w:cs="Arial"/>
          <w:i/>
          <w:iCs/>
          <w:color w:val="auto"/>
        </w:rPr>
        <w:t xml:space="preserve">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55), p. 226). </w:t>
      </w:r>
    </w:p>
    <w:p w:rsidR="00C21A64" w:rsidRPr="006A356C" w:rsidRDefault="00C21A64" w:rsidP="00C21A64">
      <w:pPr>
        <w:pStyle w:val="NormalWeb"/>
        <w:spacing w:line="360" w:lineRule="auto"/>
        <w:jc w:val="both"/>
        <w:rPr>
          <w:rFonts w:ascii="Arial" w:hAnsi="Arial" w:cs="Arial"/>
          <w:color w:val="auto"/>
        </w:rPr>
      </w:pPr>
      <w:hyperlink r:id="rId191" w:anchor="_ftnref77" w:history="1">
        <w:r w:rsidRPr="006A356C">
          <w:rPr>
            <w:rStyle w:val="Hipervnculo"/>
            <w:rFonts w:ascii="Arial" w:hAnsi="Arial" w:cs="Arial"/>
            <w:color w:val="auto"/>
            <w:vertAlign w:val="superscript"/>
          </w:rPr>
          <w:t>[77]</w:t>
        </w:r>
      </w:hyperlink>
      <w:r w:rsidRPr="006A356C">
        <w:rPr>
          <w:rFonts w:ascii="Arial" w:hAnsi="Arial" w:cs="Arial"/>
          <w:color w:val="auto"/>
        </w:rPr>
        <w:t xml:space="preserve"> Los sujetos pasivos de la medida de intervención de las telecomunicaciones son: el Imputado y los Terceros afectados directa o indirectamente. </w:t>
      </w:r>
      <w:r w:rsidRPr="006A356C">
        <w:rPr>
          <w:rFonts w:ascii="Arial" w:hAnsi="Arial" w:cs="Arial"/>
          <w:i/>
          <w:iCs/>
          <w:color w:val="auto"/>
        </w:rPr>
        <w:t xml:space="preserve">Cfr., </w:t>
      </w:r>
      <w:r w:rsidRPr="006A356C">
        <w:rPr>
          <w:rFonts w:ascii="Arial" w:hAnsi="Arial" w:cs="Arial"/>
          <w:color w:val="auto"/>
        </w:rPr>
        <w:t xml:space="preserve">NOYA FERREIRO, María Lourdes, en </w:t>
      </w:r>
      <w:r w:rsidRPr="006A356C">
        <w:rPr>
          <w:rFonts w:ascii="Arial" w:hAnsi="Arial" w:cs="Arial"/>
          <w:i/>
          <w:iCs/>
          <w:color w:val="auto"/>
        </w:rPr>
        <w:t>«La intervención de comunicaciones…»</w:t>
      </w:r>
      <w:r w:rsidRPr="006A356C">
        <w:rPr>
          <w:rFonts w:ascii="Arial" w:hAnsi="Arial" w:cs="Arial"/>
          <w:color w:val="auto"/>
        </w:rPr>
        <w:t xml:space="preserve">, </w:t>
      </w:r>
      <w:r w:rsidRPr="006A356C">
        <w:rPr>
          <w:rFonts w:ascii="Arial" w:hAnsi="Arial" w:cs="Arial"/>
          <w:i/>
          <w:iCs/>
          <w:color w:val="auto"/>
        </w:rPr>
        <w:t xml:space="preserve">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38), pp. 195-214; RIVES SEVA, Antonio Pablo, </w:t>
      </w:r>
      <w:r w:rsidRPr="006A356C">
        <w:rPr>
          <w:rFonts w:ascii="Arial" w:hAnsi="Arial" w:cs="Arial"/>
          <w:i/>
          <w:iCs/>
          <w:color w:val="auto"/>
        </w:rPr>
        <w:t>«La Intervención de las Comunicaciones…»</w:t>
      </w:r>
      <w:r w:rsidRPr="006A356C">
        <w:rPr>
          <w:rFonts w:ascii="Arial" w:hAnsi="Arial" w:cs="Arial"/>
          <w:color w:val="auto"/>
        </w:rPr>
        <w:t xml:space="preserve">, </w:t>
      </w:r>
      <w:r w:rsidRPr="006A356C">
        <w:rPr>
          <w:rFonts w:ascii="Arial" w:hAnsi="Arial" w:cs="Arial"/>
          <w:i/>
          <w:iCs/>
          <w:color w:val="auto"/>
        </w:rPr>
        <w:t xml:space="preserve">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60)</w:t>
      </w:r>
      <w:r w:rsidRPr="006A356C">
        <w:rPr>
          <w:rFonts w:ascii="Arial" w:hAnsi="Arial" w:cs="Arial"/>
          <w:i/>
          <w:iCs/>
          <w:color w:val="auto"/>
        </w:rPr>
        <w:t xml:space="preserve">, </w:t>
      </w:r>
      <w:r w:rsidRPr="006A356C">
        <w:rPr>
          <w:rFonts w:ascii="Arial" w:hAnsi="Arial" w:cs="Arial"/>
          <w:color w:val="auto"/>
        </w:rPr>
        <w:t>pp. 130-134; MONTERO</w:t>
      </w:r>
      <w:r w:rsidRPr="006A356C">
        <w:rPr>
          <w:rFonts w:ascii="Arial" w:hAnsi="Arial" w:cs="Arial"/>
          <w:i/>
          <w:iCs/>
          <w:color w:val="auto"/>
        </w:rPr>
        <w:t xml:space="preserve"> </w:t>
      </w:r>
      <w:r w:rsidRPr="006A356C">
        <w:rPr>
          <w:rFonts w:ascii="Arial" w:hAnsi="Arial" w:cs="Arial"/>
          <w:color w:val="auto"/>
        </w:rPr>
        <w:t xml:space="preserve">AROCA, Juan, </w:t>
      </w:r>
      <w:r w:rsidRPr="006A356C">
        <w:rPr>
          <w:rFonts w:ascii="Arial" w:hAnsi="Arial" w:cs="Arial"/>
          <w:i/>
          <w:iCs/>
          <w:color w:val="auto"/>
        </w:rPr>
        <w:t>«La Intervención de las Comunicaciones…»</w:t>
      </w:r>
      <w:r w:rsidRPr="006A356C">
        <w:rPr>
          <w:rFonts w:ascii="Arial" w:hAnsi="Arial" w:cs="Arial"/>
          <w:color w:val="auto"/>
        </w:rPr>
        <w:t xml:space="preserve">, </w:t>
      </w:r>
      <w:r w:rsidRPr="006A356C">
        <w:rPr>
          <w:rFonts w:ascii="Arial" w:hAnsi="Arial" w:cs="Arial"/>
          <w:i/>
          <w:iCs/>
          <w:color w:val="auto"/>
        </w:rPr>
        <w:t xml:space="preserve">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55), pp. 184-188.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  </w:t>
      </w:r>
    </w:p>
    <w:p w:rsidR="00C21A64" w:rsidRPr="006A356C" w:rsidRDefault="00C21A64" w:rsidP="00C21A64">
      <w:pPr>
        <w:pStyle w:val="NormalWeb"/>
        <w:spacing w:line="360" w:lineRule="auto"/>
        <w:jc w:val="both"/>
        <w:rPr>
          <w:rFonts w:ascii="Arial" w:hAnsi="Arial" w:cs="Arial"/>
          <w:color w:val="auto"/>
        </w:rPr>
      </w:pPr>
      <w:hyperlink r:id="rId192" w:anchor="_ftnref78" w:history="1">
        <w:r w:rsidRPr="006A356C">
          <w:rPr>
            <w:rStyle w:val="Hipervnculo"/>
            <w:rFonts w:ascii="Arial" w:hAnsi="Arial" w:cs="Arial"/>
            <w:color w:val="auto"/>
            <w:vertAlign w:val="superscript"/>
          </w:rPr>
          <w:t>[78]</w:t>
        </w:r>
      </w:hyperlink>
      <w:r w:rsidRPr="006A356C">
        <w:rPr>
          <w:rFonts w:ascii="Arial" w:hAnsi="Arial" w:cs="Arial"/>
          <w:color w:val="auto"/>
        </w:rPr>
        <w:t xml:space="preserve"> «Es prueba ilícita la que se obtiene con vulneración de garantías constitucionales (como la inviolabilidad del domicilio o el secreto de las comunicaciones); o lesionando derechos constitucionales (como el derecho a la defensa: por ejemplo, la declaración del imputado sin haber sido informado de sus derechos); o a través de medios que la constitución prohíbe (por ejemplo, una confesión arrancada mediante tortura, hipnosis o sueros de la verdad; o una coacción para obtener declaraciones sobre “ideología, religión o creencias”, proscrita por el derecho a la libertad ideológica y de conciencia). En definitiva, y por simplificar, es ilícita la prueba obtenida en violación de derechos fundamentales; por tanto estamos hablando de un tipo de prueba inconstitucional» (GASCÓN ABELLÁN, Marina, «</w:t>
      </w:r>
      <w:r w:rsidRPr="006A356C">
        <w:rPr>
          <w:rFonts w:ascii="Arial" w:hAnsi="Arial" w:cs="Arial"/>
          <w:i/>
          <w:iCs/>
          <w:color w:val="auto"/>
        </w:rPr>
        <w:t xml:space="preserve">La Interpretación constitucional», </w:t>
      </w:r>
      <w:r w:rsidRPr="006A356C">
        <w:rPr>
          <w:rFonts w:ascii="Arial" w:hAnsi="Arial" w:cs="Arial"/>
          <w:color w:val="auto"/>
        </w:rPr>
        <w:t xml:space="preserve">Textos de Apoyo Nº 5, Consejo Nacional de la Judicatura, Escuela de Capacitación Judicial, El Salvador, 2005, p. 68). </w:t>
      </w:r>
    </w:p>
    <w:p w:rsidR="00C21A64" w:rsidRPr="006A356C" w:rsidRDefault="00C21A64" w:rsidP="00C21A64">
      <w:pPr>
        <w:pStyle w:val="NormalWeb"/>
        <w:spacing w:line="360" w:lineRule="auto"/>
        <w:jc w:val="both"/>
        <w:rPr>
          <w:rFonts w:ascii="Arial" w:hAnsi="Arial" w:cs="Arial"/>
          <w:color w:val="auto"/>
        </w:rPr>
      </w:pPr>
      <w:hyperlink r:id="rId193" w:anchor="_ftnref79" w:history="1">
        <w:r w:rsidRPr="006A356C">
          <w:rPr>
            <w:rStyle w:val="Hipervnculo"/>
            <w:rFonts w:ascii="Arial" w:hAnsi="Arial" w:cs="Arial"/>
            <w:color w:val="auto"/>
            <w:vertAlign w:val="superscript"/>
          </w:rPr>
          <w:t>[79]</w:t>
        </w:r>
      </w:hyperlink>
      <w:r w:rsidRPr="006A356C">
        <w:rPr>
          <w:rFonts w:ascii="Arial" w:hAnsi="Arial" w:cs="Arial"/>
          <w:color w:val="auto"/>
        </w:rPr>
        <w:t xml:space="preserve"> «Consiste en la obtención de información con infracción de alguna norma procesal que no provoque indefensión ni mucho menos la restricción ilegal de derechos individuales constitucionalmente reconocidos» (Sala de lo Penal, Sentencia de Casación n° 260-CAS-2004, del día 15 de julio del año 2005, considerando IV). </w:t>
      </w:r>
    </w:p>
    <w:p w:rsidR="00C21A64" w:rsidRPr="006A356C" w:rsidRDefault="00C21A64" w:rsidP="00C21A64">
      <w:pPr>
        <w:pStyle w:val="NormalWeb"/>
        <w:spacing w:line="360" w:lineRule="auto"/>
        <w:jc w:val="both"/>
        <w:rPr>
          <w:rFonts w:ascii="Arial" w:hAnsi="Arial" w:cs="Arial"/>
          <w:color w:val="auto"/>
        </w:rPr>
      </w:pPr>
      <w:hyperlink r:id="rId194" w:anchor="_ftnref80" w:history="1">
        <w:r w:rsidRPr="006A356C">
          <w:rPr>
            <w:rStyle w:val="Hipervnculo"/>
            <w:rFonts w:ascii="Arial" w:hAnsi="Arial" w:cs="Arial"/>
            <w:color w:val="auto"/>
            <w:vertAlign w:val="superscript"/>
          </w:rPr>
          <w:t>[80]</w:t>
        </w:r>
      </w:hyperlink>
      <w:r w:rsidRPr="006A356C">
        <w:rPr>
          <w:rFonts w:ascii="Arial" w:hAnsi="Arial" w:cs="Arial"/>
          <w:color w:val="auto"/>
        </w:rPr>
        <w:t xml:space="preserve"> Tribunal Supremo, Sala II de lo Penal. Sentencia 9/1998, de 20 de enero. </w:t>
      </w:r>
    </w:p>
    <w:p w:rsidR="00C21A64" w:rsidRPr="006A356C" w:rsidRDefault="00C21A64" w:rsidP="00C21A64">
      <w:pPr>
        <w:pStyle w:val="NormalWeb"/>
        <w:spacing w:line="360" w:lineRule="auto"/>
        <w:jc w:val="both"/>
        <w:rPr>
          <w:rFonts w:ascii="Arial" w:hAnsi="Arial" w:cs="Arial"/>
          <w:color w:val="auto"/>
        </w:rPr>
      </w:pPr>
      <w:hyperlink r:id="rId195" w:anchor="_ftnref81" w:history="1">
        <w:r w:rsidRPr="006A356C">
          <w:rPr>
            <w:rStyle w:val="Hipervnculo"/>
            <w:rFonts w:ascii="Arial" w:hAnsi="Arial" w:cs="Arial"/>
            <w:color w:val="auto"/>
            <w:vertAlign w:val="superscript"/>
          </w:rPr>
          <w:t>[81]</w:t>
        </w:r>
      </w:hyperlink>
      <w:r w:rsidRPr="006A356C">
        <w:rPr>
          <w:rFonts w:ascii="Arial" w:hAnsi="Arial" w:cs="Arial"/>
          <w:color w:val="auto"/>
        </w:rPr>
        <w:t xml:space="preserve"> La Sala de lo Penal ha manifestado que «en cuanto a la prueba irregular, en principio tiene ésta valor probatorio, para los efectos de establecer la culpabilidad </w:t>
      </w:r>
      <w:r w:rsidRPr="006A356C">
        <w:rPr>
          <w:rFonts w:ascii="Arial" w:hAnsi="Arial" w:cs="Arial"/>
          <w:color w:val="auto"/>
        </w:rPr>
        <w:lastRenderedPageBreak/>
        <w:t xml:space="preserve">o inocencia de un imputado» (Sentencia de Casación n° 489-CAS-2004, del día 29 de julio del año 2005, considerando IV).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Es de hacer constar que el Art. 175 inciso 5° del Código Procesal Penal Aprobado (en </w:t>
      </w:r>
      <w:r w:rsidRPr="006A356C">
        <w:rPr>
          <w:rFonts w:ascii="Arial" w:hAnsi="Arial" w:cs="Arial"/>
          <w:i/>
          <w:iCs/>
          <w:color w:val="auto"/>
        </w:rPr>
        <w:t>vacatio legis</w:t>
      </w:r>
      <w:r w:rsidRPr="006A356C">
        <w:rPr>
          <w:rFonts w:ascii="Arial" w:hAnsi="Arial" w:cs="Arial"/>
          <w:color w:val="auto"/>
        </w:rPr>
        <w:t xml:space="preserve">), únicamente establece que «los elementos de prueba que no hayan sido incorporados con las formalidades prescritas por este Código, podrán ser valorados por el juez»; es decir, no se establece que los elementos probatorios serán valorados como indicios, pero consideramos que eso no implica que dicha valoración deba realizarse de otra manera, máxime si tenemos en cuenta la calidad y eficacia de dichos elementos. </w:t>
      </w:r>
    </w:p>
    <w:p w:rsidR="00C21A64" w:rsidRPr="006A356C" w:rsidRDefault="00C21A64" w:rsidP="00C21A64">
      <w:pPr>
        <w:pStyle w:val="NormalWeb"/>
        <w:spacing w:line="360" w:lineRule="auto"/>
        <w:jc w:val="both"/>
        <w:rPr>
          <w:rFonts w:ascii="Arial" w:hAnsi="Arial" w:cs="Arial"/>
          <w:color w:val="auto"/>
        </w:rPr>
      </w:pPr>
      <w:hyperlink r:id="rId196" w:anchor="_ftnref82" w:history="1">
        <w:r w:rsidRPr="006A356C">
          <w:rPr>
            <w:rStyle w:val="Hipervnculo"/>
            <w:rFonts w:ascii="Arial" w:hAnsi="Arial" w:cs="Arial"/>
            <w:color w:val="auto"/>
            <w:vertAlign w:val="superscript"/>
          </w:rPr>
          <w:t>[82]</w:t>
        </w:r>
      </w:hyperlink>
      <w:r w:rsidRPr="006A356C">
        <w:rPr>
          <w:rFonts w:ascii="Arial" w:hAnsi="Arial" w:cs="Arial"/>
          <w:color w:val="auto"/>
        </w:rPr>
        <w:t xml:space="preserve"> </w:t>
      </w:r>
      <w:r w:rsidRPr="006A356C">
        <w:rPr>
          <w:rFonts w:ascii="Arial" w:hAnsi="Arial" w:cs="Arial"/>
          <w:i/>
          <w:iCs/>
          <w:color w:val="auto"/>
        </w:rPr>
        <w:t>Vid.,</w:t>
      </w:r>
      <w:r w:rsidRPr="006A356C">
        <w:rPr>
          <w:rFonts w:ascii="Arial" w:hAnsi="Arial" w:cs="Arial"/>
          <w:color w:val="auto"/>
        </w:rPr>
        <w:t xml:space="preserve"> CLIMENT DURÁN, Carlos, «</w:t>
      </w:r>
      <w:r w:rsidRPr="006A356C">
        <w:rPr>
          <w:rFonts w:ascii="Arial" w:hAnsi="Arial" w:cs="Arial"/>
          <w:i/>
          <w:iCs/>
          <w:color w:val="auto"/>
        </w:rPr>
        <w:t xml:space="preserve">La prueba penal», </w:t>
      </w:r>
      <w:r w:rsidRPr="006A356C">
        <w:rPr>
          <w:rFonts w:ascii="Arial" w:hAnsi="Arial" w:cs="Arial"/>
          <w:color w:val="auto"/>
        </w:rPr>
        <w:t xml:space="preserve">Tomo I, 2ª Edición, Editorial Tirant Lo Blanch, Valencia, España, 2005, pp. 919-925; GASCÓN ABELLÁN, Marina, «La Prueba de los Hechos», en «Interpretación y Argumentación Jurídica», Marina Gascón Abellán y Alfonso García Figueroa (autores), Consejo Nacional de la Judicatura, Escuela de Capacitación Judicial, El Salvador, 2003, pp. 208-211. </w:t>
      </w:r>
    </w:p>
    <w:p w:rsidR="00C21A64" w:rsidRPr="006A356C" w:rsidRDefault="00C21A64" w:rsidP="00C21A64">
      <w:pPr>
        <w:pStyle w:val="NormalWeb"/>
        <w:spacing w:line="360" w:lineRule="auto"/>
        <w:jc w:val="both"/>
        <w:rPr>
          <w:rFonts w:ascii="Arial" w:hAnsi="Arial" w:cs="Arial"/>
          <w:color w:val="auto"/>
        </w:rPr>
      </w:pPr>
      <w:hyperlink r:id="rId197" w:anchor="_ftnref83" w:history="1">
        <w:r w:rsidRPr="006A356C">
          <w:rPr>
            <w:rStyle w:val="Hipervnculo"/>
            <w:rFonts w:ascii="Arial" w:hAnsi="Arial" w:cs="Arial"/>
            <w:color w:val="auto"/>
            <w:vertAlign w:val="superscript"/>
          </w:rPr>
          <w:t>[83]</w:t>
        </w:r>
      </w:hyperlink>
      <w:r w:rsidRPr="006A356C">
        <w:rPr>
          <w:rFonts w:ascii="Arial" w:hAnsi="Arial" w:cs="Arial"/>
          <w:color w:val="auto"/>
        </w:rPr>
        <w:t xml:space="preserve"> La Sala de lo Penal ha manifestado que «habrá prueba ilícita o prohibida cuando se afecta la validez de la información recogida, siendo consecuentemente dicho acto nulo o inadmisible» (Sentencia de Casación n° 489-CAS-2004 (nota 81)). </w:t>
      </w:r>
    </w:p>
    <w:p w:rsidR="00C21A64" w:rsidRPr="006A356C" w:rsidRDefault="00C21A64" w:rsidP="00C21A64">
      <w:pPr>
        <w:pStyle w:val="NormalWeb"/>
        <w:spacing w:line="360" w:lineRule="auto"/>
        <w:jc w:val="both"/>
        <w:rPr>
          <w:rFonts w:ascii="Arial" w:hAnsi="Arial" w:cs="Arial"/>
          <w:color w:val="auto"/>
        </w:rPr>
      </w:pPr>
      <w:hyperlink r:id="rId198" w:anchor="_ftnref84" w:history="1">
        <w:r w:rsidRPr="006A356C">
          <w:rPr>
            <w:rStyle w:val="Hipervnculo"/>
            <w:rFonts w:ascii="Arial" w:hAnsi="Arial" w:cs="Arial"/>
            <w:color w:val="auto"/>
            <w:vertAlign w:val="superscript"/>
          </w:rPr>
          <w:t>[84]</w:t>
        </w:r>
      </w:hyperlink>
      <w:r w:rsidRPr="006A356C">
        <w:rPr>
          <w:rFonts w:ascii="Arial" w:hAnsi="Arial" w:cs="Arial"/>
          <w:color w:val="auto"/>
        </w:rPr>
        <w:t xml:space="preserve"> En concordancia con lo anterior, manifiesta Marina Gascón que «hablar de garantías de los derechos fundamentales en la prueba es, básicamente, hablar de la prohibición de admitir y valorar, en definitiva usar, la prueba ilícitamente obtenida, y a la regla que establece tal prohibición se la denomina justamente regla de exclusión de la prueba ilícita» (GASCÓN ABELLÁN, Marina, «</w:t>
      </w:r>
      <w:r w:rsidRPr="006A356C">
        <w:rPr>
          <w:rFonts w:ascii="Arial" w:hAnsi="Arial" w:cs="Arial"/>
          <w:i/>
          <w:iCs/>
          <w:color w:val="auto"/>
        </w:rPr>
        <w:t xml:space="preserve">La Interpretación…», 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78), p. 68).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Respecto a la Regla de Exclusión, </w:t>
      </w:r>
      <w:r w:rsidRPr="006A356C">
        <w:rPr>
          <w:rFonts w:ascii="Arial" w:hAnsi="Arial" w:cs="Arial"/>
          <w:i/>
          <w:iCs/>
          <w:color w:val="auto"/>
        </w:rPr>
        <w:t xml:space="preserve">Vid., </w:t>
      </w:r>
      <w:r w:rsidRPr="006A356C">
        <w:rPr>
          <w:rFonts w:ascii="Arial" w:hAnsi="Arial" w:cs="Arial"/>
          <w:color w:val="auto"/>
        </w:rPr>
        <w:t>GASCÓN ABELLÁN, Marina, «</w:t>
      </w:r>
      <w:r w:rsidRPr="006A356C">
        <w:rPr>
          <w:rFonts w:ascii="Arial" w:hAnsi="Arial" w:cs="Arial"/>
          <w:i/>
          <w:iCs/>
          <w:color w:val="auto"/>
        </w:rPr>
        <w:t xml:space="preserve">La Interpretación…», 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78), pp. 66-83; HAIRABEDIÁN, Maximiliano, </w:t>
      </w:r>
      <w:r w:rsidRPr="006A356C">
        <w:rPr>
          <w:rFonts w:ascii="Arial" w:hAnsi="Arial" w:cs="Arial"/>
          <w:i/>
          <w:iCs/>
          <w:color w:val="auto"/>
        </w:rPr>
        <w:lastRenderedPageBreak/>
        <w:t>«Eficacia de la prueba ilícita y sus derivadas en el proceso penal»</w:t>
      </w:r>
      <w:r w:rsidRPr="006A356C">
        <w:rPr>
          <w:rFonts w:ascii="Arial" w:hAnsi="Arial" w:cs="Arial"/>
          <w:color w:val="auto"/>
        </w:rPr>
        <w:t xml:space="preserve">, Ad-hoc Villela Editor, Argentina, 2002. </w:t>
      </w:r>
    </w:p>
    <w:p w:rsidR="00C21A64" w:rsidRPr="006A356C" w:rsidRDefault="00C21A64" w:rsidP="00C21A64">
      <w:pPr>
        <w:pStyle w:val="NormalWeb"/>
        <w:spacing w:line="360" w:lineRule="auto"/>
        <w:jc w:val="both"/>
        <w:rPr>
          <w:rFonts w:ascii="Arial" w:hAnsi="Arial" w:cs="Arial"/>
          <w:color w:val="auto"/>
        </w:rPr>
      </w:pPr>
      <w:hyperlink r:id="rId199" w:anchor="_ftnref85" w:history="1">
        <w:r w:rsidRPr="006A356C">
          <w:rPr>
            <w:rStyle w:val="Hipervnculo"/>
            <w:rFonts w:ascii="Arial" w:hAnsi="Arial" w:cs="Arial"/>
            <w:color w:val="auto"/>
            <w:vertAlign w:val="superscript"/>
          </w:rPr>
          <w:t>[85]</w:t>
        </w:r>
      </w:hyperlink>
      <w:r w:rsidRPr="006A356C">
        <w:rPr>
          <w:rFonts w:ascii="Arial" w:hAnsi="Arial" w:cs="Arial"/>
          <w:color w:val="auto"/>
        </w:rPr>
        <w:t xml:space="preserve"> GASCÓN ABELLÁN, Marina, «</w:t>
      </w:r>
      <w:r w:rsidRPr="006A356C">
        <w:rPr>
          <w:rFonts w:ascii="Arial" w:hAnsi="Arial" w:cs="Arial"/>
          <w:i/>
          <w:iCs/>
          <w:color w:val="auto"/>
        </w:rPr>
        <w:t xml:space="preserve">La Interpretación…», 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78), p. 70.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La Sala de lo Constitucional ha manifestado que «lo anterior tiene trascendental importancia en las actuaciones referidas a elementos probatorios, pues –conforme al esquema constitucional es a partir de ello que se decidirá el resultado del proceso, y, eventualmente, se restringirán derechos de orden constitucional, siendo especialmente necesario que las actuaciones ejecutadas en relación a elementos probatorios, se realicen conforme a lo prescrito por la Constitución; consecuentemente, existe la clara prohibición de recabar prueba mediante acciones que vulneren categorías jurídicas fundamentales; y, si alguna autoridad o un particular ejecuta una acción contraria a dichas categorías, lo producido a partir de tal acto carecería de eficacia procesal» (Sentencia de Habeas Corpus número 135-2005/32-2007 acumulado (nota 24), considerando IV 2.6) </w:t>
      </w:r>
    </w:p>
    <w:p w:rsidR="00C21A64" w:rsidRPr="006A356C" w:rsidRDefault="00C21A64" w:rsidP="00C21A64">
      <w:pPr>
        <w:pStyle w:val="NormalWeb"/>
        <w:spacing w:line="360" w:lineRule="auto"/>
        <w:jc w:val="both"/>
        <w:rPr>
          <w:rFonts w:ascii="Arial" w:hAnsi="Arial" w:cs="Arial"/>
          <w:color w:val="auto"/>
        </w:rPr>
      </w:pPr>
      <w:hyperlink r:id="rId200" w:anchor="_ftnref86" w:history="1">
        <w:r w:rsidRPr="006A356C">
          <w:rPr>
            <w:rStyle w:val="Hipervnculo"/>
            <w:rFonts w:ascii="Arial" w:hAnsi="Arial" w:cs="Arial"/>
            <w:color w:val="auto"/>
            <w:vertAlign w:val="superscript"/>
          </w:rPr>
          <w:t>[86]</w:t>
        </w:r>
      </w:hyperlink>
      <w:r w:rsidRPr="006A356C">
        <w:rPr>
          <w:rFonts w:ascii="Arial" w:hAnsi="Arial" w:cs="Arial"/>
          <w:color w:val="auto"/>
        </w:rPr>
        <w:t xml:space="preserve"> Según la Sala de lo Constitucional, «las autoridades deben actuar ajustándose al marco regulatorio que establece sus competencias; y dentro de dicho diseño normativo, la Constitución ocupa una posición fundamental, pues, además de instituir el mandato básico de las  autoridades estatales, consagra un catálogo de categorías jurídicas –procesales y materiales– a favor de los particulares, las cuales, por su reconocimiento constitucional, adquieren la naturaleza de preferentes e inviolables» (Sentencia de Habeas Corpus número 135-2005/32-2007 acumulado (nota 24), considerando IV 2.6) </w:t>
      </w:r>
    </w:p>
    <w:p w:rsidR="00C21A64" w:rsidRPr="006A356C" w:rsidRDefault="00C21A64" w:rsidP="00C21A64">
      <w:pPr>
        <w:pStyle w:val="NormalWeb"/>
        <w:spacing w:line="360" w:lineRule="auto"/>
        <w:jc w:val="both"/>
        <w:rPr>
          <w:rFonts w:ascii="Arial" w:hAnsi="Arial" w:cs="Arial"/>
          <w:color w:val="auto"/>
        </w:rPr>
      </w:pPr>
      <w:hyperlink r:id="rId201" w:anchor="_ftnref87" w:history="1">
        <w:r w:rsidRPr="006A356C">
          <w:rPr>
            <w:rStyle w:val="Hipervnculo"/>
            <w:rFonts w:ascii="Arial" w:hAnsi="Arial" w:cs="Arial"/>
            <w:color w:val="auto"/>
            <w:vertAlign w:val="superscript"/>
          </w:rPr>
          <w:t>[87]</w:t>
        </w:r>
      </w:hyperlink>
      <w:r w:rsidRPr="006A356C">
        <w:rPr>
          <w:rFonts w:ascii="Arial" w:hAnsi="Arial" w:cs="Arial"/>
          <w:color w:val="auto"/>
        </w:rPr>
        <w:t xml:space="preserve"> GASCÓN ABELLÁN, Marina, «</w:t>
      </w:r>
      <w:r w:rsidRPr="006A356C">
        <w:rPr>
          <w:rFonts w:ascii="Arial" w:hAnsi="Arial" w:cs="Arial"/>
          <w:i/>
          <w:iCs/>
          <w:color w:val="auto"/>
        </w:rPr>
        <w:t xml:space="preserve">La Interpretación…», 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78), p. 68. </w:t>
      </w:r>
    </w:p>
    <w:p w:rsidR="00C21A64" w:rsidRPr="006A356C" w:rsidRDefault="00C21A64" w:rsidP="00C21A64">
      <w:pPr>
        <w:pStyle w:val="NormalWeb"/>
        <w:spacing w:line="360" w:lineRule="auto"/>
        <w:jc w:val="both"/>
        <w:rPr>
          <w:rFonts w:ascii="Arial" w:hAnsi="Arial" w:cs="Arial"/>
          <w:color w:val="auto"/>
        </w:rPr>
      </w:pPr>
      <w:hyperlink r:id="rId202" w:anchor="_ftnref88" w:history="1">
        <w:r w:rsidRPr="006A356C">
          <w:rPr>
            <w:rStyle w:val="Hipervnculo"/>
            <w:rFonts w:ascii="Arial" w:hAnsi="Arial" w:cs="Arial"/>
            <w:color w:val="auto"/>
            <w:vertAlign w:val="superscript"/>
          </w:rPr>
          <w:t>[88]</w:t>
        </w:r>
      </w:hyperlink>
      <w:r w:rsidRPr="006A356C">
        <w:rPr>
          <w:rFonts w:ascii="Arial" w:hAnsi="Arial" w:cs="Arial"/>
          <w:color w:val="auto"/>
        </w:rPr>
        <w:t xml:space="preserve"> «Es evidente que la garantía constitucional comentada supone la exclusión de las pruebas </w:t>
      </w:r>
      <w:r w:rsidRPr="006A356C">
        <w:rPr>
          <w:rFonts w:ascii="Arial" w:hAnsi="Arial" w:cs="Arial"/>
          <w:i/>
          <w:iCs/>
          <w:color w:val="auto"/>
        </w:rPr>
        <w:t xml:space="preserve">directamente </w:t>
      </w:r>
      <w:r w:rsidRPr="006A356C">
        <w:rPr>
          <w:rFonts w:ascii="Arial" w:hAnsi="Arial" w:cs="Arial"/>
          <w:color w:val="auto"/>
        </w:rPr>
        <w:t xml:space="preserve">obtenidas a partir del acto que lesiona derechos fundamentales: por ejemplo, la declaración de los policías que practican un registro que lesiona el derecho a la inviolabilidad del domicilio, o la trascripción de unas conversaciones telefónicas interceptadas lesionando el derecho al secreto de </w:t>
      </w:r>
      <w:r w:rsidRPr="006A356C">
        <w:rPr>
          <w:rFonts w:ascii="Arial" w:hAnsi="Arial" w:cs="Arial"/>
          <w:color w:val="auto"/>
        </w:rPr>
        <w:lastRenderedPageBreak/>
        <w:t xml:space="preserve">las comunicaciones. Pero tiene además un </w:t>
      </w:r>
      <w:r w:rsidRPr="006A356C">
        <w:rPr>
          <w:rFonts w:ascii="Arial" w:hAnsi="Arial" w:cs="Arial"/>
          <w:i/>
          <w:iCs/>
          <w:color w:val="auto"/>
        </w:rPr>
        <w:t>efecto reflejo</w:t>
      </w:r>
      <w:r w:rsidRPr="006A356C">
        <w:rPr>
          <w:rFonts w:ascii="Arial" w:hAnsi="Arial" w:cs="Arial"/>
          <w:color w:val="auto"/>
        </w:rPr>
        <w:t xml:space="preserve">: también son ilícitas las pruebas indirectamente obtenidas a partir de la lesión de un derecho fundamental. Se trata, más exactamente, de las pruebas (lícitamente) practicadas a partir de las informaciones obtenidas mediante una prueba ilícita: lo que ha terminado denominándose </w:t>
      </w:r>
      <w:r w:rsidRPr="006A356C">
        <w:rPr>
          <w:rFonts w:ascii="Arial" w:hAnsi="Arial" w:cs="Arial"/>
          <w:i/>
          <w:iCs/>
          <w:color w:val="auto"/>
        </w:rPr>
        <w:t>prueba ilícita indirecta</w:t>
      </w:r>
      <w:r w:rsidRPr="006A356C">
        <w:rPr>
          <w:rFonts w:ascii="Arial" w:hAnsi="Arial" w:cs="Arial"/>
          <w:color w:val="auto"/>
        </w:rPr>
        <w:t>» (GASCÓN ABELLÁN, Marina, «La Interpretación…», op.cit. (</w:t>
      </w:r>
      <w:proofErr w:type="gramStart"/>
      <w:r w:rsidRPr="006A356C">
        <w:rPr>
          <w:rFonts w:ascii="Arial" w:hAnsi="Arial" w:cs="Arial"/>
          <w:color w:val="auto"/>
        </w:rPr>
        <w:t>nota</w:t>
      </w:r>
      <w:proofErr w:type="gramEnd"/>
      <w:r w:rsidRPr="006A356C">
        <w:rPr>
          <w:rFonts w:ascii="Arial" w:hAnsi="Arial" w:cs="Arial"/>
          <w:color w:val="auto"/>
        </w:rPr>
        <w:t xml:space="preserve"> 78), p. 69).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Según el Tribunal Supremo Español, «prohibir el uso directo de estos medios probatorios y tolerar su aprovechamiento indirecto constituiría una proclamación vacía de contenido efectivo, e incluso una incitación a la utilización de procedimientos inconstitucionales que, indirectamente, acabarían surtiendo efecto en el proceso» (Tribunal Supremo, Sala II de lo Penal. Sentencia 1203/2002, de 18 de julio). </w:t>
      </w:r>
    </w:p>
    <w:p w:rsidR="00C21A64" w:rsidRPr="006A356C" w:rsidRDefault="00C21A64" w:rsidP="00C21A64">
      <w:pPr>
        <w:pStyle w:val="NormalWeb"/>
        <w:spacing w:line="360" w:lineRule="auto"/>
        <w:jc w:val="both"/>
        <w:rPr>
          <w:rFonts w:ascii="Arial" w:hAnsi="Arial" w:cs="Arial"/>
          <w:color w:val="auto"/>
        </w:rPr>
      </w:pPr>
      <w:hyperlink r:id="rId203" w:anchor="_ftnref89" w:history="1">
        <w:r w:rsidRPr="006A356C">
          <w:rPr>
            <w:rStyle w:val="Hipervnculo"/>
            <w:rFonts w:ascii="Arial" w:hAnsi="Arial" w:cs="Arial"/>
            <w:color w:val="auto"/>
            <w:vertAlign w:val="superscript"/>
          </w:rPr>
          <w:t>[89]</w:t>
        </w:r>
      </w:hyperlink>
      <w:r w:rsidRPr="006A356C">
        <w:rPr>
          <w:rFonts w:ascii="Arial" w:hAnsi="Arial" w:cs="Arial"/>
          <w:color w:val="auto"/>
        </w:rPr>
        <w:t xml:space="preserve"> STS 1203/2002 (nota 88). </w:t>
      </w:r>
    </w:p>
    <w:p w:rsidR="00C21A64" w:rsidRPr="006A356C" w:rsidRDefault="00C21A64" w:rsidP="00C21A64">
      <w:pPr>
        <w:pStyle w:val="NormalWeb"/>
        <w:spacing w:line="360" w:lineRule="auto"/>
        <w:jc w:val="both"/>
        <w:rPr>
          <w:rFonts w:ascii="Arial" w:hAnsi="Arial" w:cs="Arial"/>
          <w:color w:val="auto"/>
        </w:rPr>
      </w:pPr>
      <w:hyperlink r:id="rId204" w:anchor="_ftnref90" w:history="1">
        <w:r w:rsidRPr="006A356C">
          <w:rPr>
            <w:rStyle w:val="Hipervnculo"/>
            <w:rFonts w:ascii="Arial" w:hAnsi="Arial" w:cs="Arial"/>
            <w:color w:val="auto"/>
            <w:vertAlign w:val="superscript"/>
          </w:rPr>
          <w:t>[90]</w:t>
        </w:r>
      </w:hyperlink>
      <w:r w:rsidRPr="006A356C">
        <w:rPr>
          <w:rFonts w:ascii="Arial" w:hAnsi="Arial" w:cs="Arial"/>
          <w:color w:val="auto"/>
        </w:rPr>
        <w:t xml:space="preserve"> Sentencia de Habeas Corpus número 135-2005/32-2007 acumulado (nota 24), considerando IV 2.6 </w:t>
      </w:r>
    </w:p>
    <w:p w:rsidR="00C21A64" w:rsidRPr="006A356C" w:rsidRDefault="00C21A64" w:rsidP="00C21A64">
      <w:pPr>
        <w:pStyle w:val="NormalWeb"/>
        <w:spacing w:line="360" w:lineRule="auto"/>
        <w:jc w:val="both"/>
        <w:rPr>
          <w:rFonts w:ascii="Arial" w:hAnsi="Arial" w:cs="Arial"/>
          <w:color w:val="auto"/>
        </w:rPr>
      </w:pPr>
      <w:hyperlink r:id="rId205" w:anchor="_ftnref91" w:history="1">
        <w:r w:rsidRPr="006A356C">
          <w:rPr>
            <w:rStyle w:val="Hipervnculo"/>
            <w:rFonts w:ascii="Arial" w:hAnsi="Arial" w:cs="Arial"/>
            <w:color w:val="auto"/>
            <w:vertAlign w:val="superscript"/>
          </w:rPr>
          <w:t>[91]</w:t>
        </w:r>
      </w:hyperlink>
      <w:r w:rsidRPr="006A356C">
        <w:rPr>
          <w:rFonts w:ascii="Arial" w:hAnsi="Arial" w:cs="Arial"/>
          <w:color w:val="auto"/>
        </w:rPr>
        <w:t xml:space="preserve"> La excepción de buena fe consiste en «la posibilidad de valorar evidencias obtenidas en infracción a principios constitucionales si ésta fue realizada sin intención, generalmente por error o por ignorancia» (HAIRABEDIÁN, Maximiliano, </w:t>
      </w:r>
      <w:r w:rsidRPr="006A356C">
        <w:rPr>
          <w:rFonts w:ascii="Arial" w:hAnsi="Arial" w:cs="Arial"/>
          <w:i/>
          <w:iCs/>
          <w:color w:val="auto"/>
        </w:rPr>
        <w:t>«Eficacia de la prueba…»</w:t>
      </w:r>
      <w:r w:rsidRPr="006A356C">
        <w:rPr>
          <w:rFonts w:ascii="Arial" w:hAnsi="Arial" w:cs="Arial"/>
          <w:color w:val="auto"/>
        </w:rPr>
        <w:t>,</w:t>
      </w:r>
      <w:r w:rsidRPr="006A356C">
        <w:rPr>
          <w:rFonts w:ascii="Arial" w:hAnsi="Arial" w:cs="Arial"/>
          <w:i/>
          <w:iCs/>
          <w:color w:val="auto"/>
        </w:rPr>
        <w:t xml:space="preserve"> 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84), p. 80).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«Esta excepción (la </w:t>
      </w:r>
      <w:r w:rsidRPr="006A356C">
        <w:rPr>
          <w:rFonts w:ascii="Arial" w:hAnsi="Arial" w:cs="Arial"/>
          <w:i/>
          <w:iCs/>
          <w:color w:val="auto"/>
        </w:rPr>
        <w:t>good faith exception</w:t>
      </w:r>
      <w:r w:rsidRPr="006A356C">
        <w:rPr>
          <w:rFonts w:ascii="Arial" w:hAnsi="Arial" w:cs="Arial"/>
          <w:color w:val="auto"/>
        </w:rPr>
        <w:t xml:space="preserve">) fue creada por la jurisprudencia norteamericana en 1984 en la sentencia que resuelve el caso </w:t>
      </w:r>
      <w:r w:rsidRPr="006A356C">
        <w:rPr>
          <w:rFonts w:ascii="Arial" w:hAnsi="Arial" w:cs="Arial"/>
          <w:i/>
          <w:iCs/>
          <w:color w:val="auto"/>
        </w:rPr>
        <w:t xml:space="preserve">United States v. Leon. </w:t>
      </w:r>
      <w:r w:rsidRPr="006A356C">
        <w:rPr>
          <w:rFonts w:ascii="Arial" w:hAnsi="Arial" w:cs="Arial"/>
          <w:color w:val="auto"/>
        </w:rPr>
        <w:t xml:space="preserve">En ella se afirma que no procede aplicar la </w:t>
      </w:r>
      <w:r w:rsidRPr="006A356C">
        <w:rPr>
          <w:rFonts w:ascii="Arial" w:hAnsi="Arial" w:cs="Arial"/>
          <w:i/>
          <w:iCs/>
          <w:color w:val="auto"/>
        </w:rPr>
        <w:t xml:space="preserve">exclusionary rule </w:t>
      </w:r>
      <w:r w:rsidRPr="006A356C">
        <w:rPr>
          <w:rFonts w:ascii="Arial" w:hAnsi="Arial" w:cs="Arial"/>
          <w:color w:val="auto"/>
        </w:rPr>
        <w:t xml:space="preserve">cuando la policía haya obtenido pruebas en un registro efectuado de buena fe con una autorización inválida (por contener un vicio oculto) pero aparentemente correcta. Esta doctrina se completará en 1987 con la sentencia </w:t>
      </w:r>
      <w:r w:rsidRPr="006A356C">
        <w:rPr>
          <w:rFonts w:ascii="Arial" w:hAnsi="Arial" w:cs="Arial"/>
          <w:i/>
          <w:iCs/>
          <w:color w:val="auto"/>
        </w:rPr>
        <w:t>Illinois v. Krull</w:t>
      </w:r>
      <w:r w:rsidRPr="006A356C">
        <w:rPr>
          <w:rFonts w:ascii="Arial" w:hAnsi="Arial" w:cs="Arial"/>
          <w:color w:val="auto"/>
        </w:rPr>
        <w:t xml:space="preserve">, que extiende la excepción de buena fe de </w:t>
      </w:r>
      <w:r w:rsidRPr="006A356C">
        <w:rPr>
          <w:rFonts w:ascii="Arial" w:hAnsi="Arial" w:cs="Arial"/>
          <w:i/>
          <w:iCs/>
          <w:color w:val="auto"/>
        </w:rPr>
        <w:t xml:space="preserve">Leon </w:t>
      </w:r>
      <w:r w:rsidRPr="006A356C">
        <w:rPr>
          <w:rFonts w:ascii="Arial" w:hAnsi="Arial" w:cs="Arial"/>
          <w:color w:val="auto"/>
        </w:rPr>
        <w:t xml:space="preserve">a los supuestos en que la policía ha realizado el registro apoyándose en una ley posteriormente declarada inconstitucional. La razón de ser de la excepción de buena fe es que en estos casos –según afirmaba </w:t>
      </w:r>
      <w:r w:rsidRPr="006A356C">
        <w:rPr>
          <w:rFonts w:ascii="Arial" w:hAnsi="Arial" w:cs="Arial"/>
          <w:color w:val="auto"/>
        </w:rPr>
        <w:lastRenderedPageBreak/>
        <w:t>el Tribunal Supremo- la aplicación de la regla de exclusión no tendría ninguna eficacia disuasoria, pues, debido a la apariencia correcta de la autorización, el agente actuó en todo momento convencido de la corrección de su proceder» (GASCÓN ABELLÁN, Marina, «La Interpretación…», op.cit. (</w:t>
      </w:r>
      <w:proofErr w:type="gramStart"/>
      <w:r w:rsidRPr="006A356C">
        <w:rPr>
          <w:rFonts w:ascii="Arial" w:hAnsi="Arial" w:cs="Arial"/>
          <w:color w:val="auto"/>
        </w:rPr>
        <w:t>nota</w:t>
      </w:r>
      <w:proofErr w:type="gramEnd"/>
      <w:r w:rsidRPr="006A356C">
        <w:rPr>
          <w:rFonts w:ascii="Arial" w:hAnsi="Arial" w:cs="Arial"/>
          <w:color w:val="auto"/>
        </w:rPr>
        <w:t xml:space="preserve"> 78), p. 82).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La Sala de lo Penal ha manifestado que «la buena fe, implica, una actuación humana incorrecta, pero en el intelecto de quien ejerce la acción existe la creencia que lo que realiza está permitido por la ley» (Sentencia de Casación n° 92-CAS-2006, del día 17 de diciembre del año 2007, considerando V A). </w:t>
      </w:r>
    </w:p>
    <w:p w:rsidR="00C21A64" w:rsidRPr="006A356C" w:rsidRDefault="00C21A64" w:rsidP="00C21A64">
      <w:pPr>
        <w:pStyle w:val="NormalWeb"/>
        <w:spacing w:line="360" w:lineRule="auto"/>
        <w:jc w:val="both"/>
        <w:rPr>
          <w:rFonts w:ascii="Arial" w:hAnsi="Arial" w:cs="Arial"/>
          <w:color w:val="auto"/>
        </w:rPr>
      </w:pPr>
      <w:hyperlink r:id="rId206" w:anchor="_ftnref92" w:history="1">
        <w:r w:rsidRPr="006A356C">
          <w:rPr>
            <w:rStyle w:val="Hipervnculo"/>
            <w:rFonts w:ascii="Arial" w:hAnsi="Arial" w:cs="Arial"/>
            <w:color w:val="auto"/>
            <w:vertAlign w:val="superscript"/>
          </w:rPr>
          <w:t>[92]</w:t>
        </w:r>
      </w:hyperlink>
      <w:r w:rsidRPr="006A356C">
        <w:rPr>
          <w:rFonts w:ascii="Arial" w:hAnsi="Arial" w:cs="Arial"/>
          <w:color w:val="auto"/>
        </w:rPr>
        <w:t xml:space="preserve"> Esta excepción procede cuando «la actividad ilícita… y sus consecuencias… se hubieren conocido por otros caminos que en el futuro indefectiblemente se hubiesen presentado prescindiendo de la actuación contraria a derecho» (HAIRABEDIÁN, Maximiliano, </w:t>
      </w:r>
      <w:r w:rsidRPr="006A356C">
        <w:rPr>
          <w:rFonts w:ascii="Arial" w:hAnsi="Arial" w:cs="Arial"/>
          <w:i/>
          <w:iCs/>
          <w:color w:val="auto"/>
        </w:rPr>
        <w:t>«Eficacia de la prueba…»</w:t>
      </w:r>
      <w:r w:rsidRPr="006A356C">
        <w:rPr>
          <w:rFonts w:ascii="Arial" w:hAnsi="Arial" w:cs="Arial"/>
          <w:color w:val="auto"/>
        </w:rPr>
        <w:t>,</w:t>
      </w:r>
      <w:r w:rsidRPr="006A356C">
        <w:rPr>
          <w:rFonts w:ascii="Arial" w:hAnsi="Arial" w:cs="Arial"/>
          <w:i/>
          <w:iCs/>
          <w:color w:val="auto"/>
        </w:rPr>
        <w:t xml:space="preserve"> 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84), p. 73)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«Esta excepción, a la que también se denomina a veces la doctrina de la </w:t>
      </w:r>
      <w:r w:rsidRPr="006A356C">
        <w:rPr>
          <w:rFonts w:ascii="Arial" w:hAnsi="Arial" w:cs="Arial"/>
          <w:i/>
          <w:iCs/>
          <w:color w:val="auto"/>
        </w:rPr>
        <w:t xml:space="preserve">fuente independiente hipotética </w:t>
      </w:r>
      <w:r w:rsidRPr="006A356C">
        <w:rPr>
          <w:rFonts w:ascii="Arial" w:hAnsi="Arial" w:cs="Arial"/>
          <w:color w:val="auto"/>
        </w:rPr>
        <w:t>(</w:t>
      </w:r>
      <w:r w:rsidRPr="006A356C">
        <w:rPr>
          <w:rFonts w:ascii="Arial" w:hAnsi="Arial" w:cs="Arial"/>
          <w:i/>
          <w:iCs/>
          <w:color w:val="auto"/>
        </w:rPr>
        <w:t>hipothetical independent source doctrine</w:t>
      </w:r>
      <w:r w:rsidRPr="006A356C">
        <w:rPr>
          <w:rFonts w:ascii="Arial" w:hAnsi="Arial" w:cs="Arial"/>
          <w:color w:val="auto"/>
        </w:rPr>
        <w:t>), se cifra en argumentar que los hechos resultantes de la lesión del derecho (por ejemplo, la información contenida en la cinta magnetofónica que se ha obtenido lesionando el derecho a la privacidad de las comunicaciones), que sólo por eso deberían ser excluidos del proceso, pueden ser incorporados al mismo porque aunque no se hubieran descubierto a través de la violación del derecho se habrían descubierto inevitablemente por otras vías lícitas» (GASCÓN ABELLÁN, Marina, «La Interpretación…», op.cit. (</w:t>
      </w:r>
      <w:proofErr w:type="gramStart"/>
      <w:r w:rsidRPr="006A356C">
        <w:rPr>
          <w:rFonts w:ascii="Arial" w:hAnsi="Arial" w:cs="Arial"/>
          <w:color w:val="auto"/>
        </w:rPr>
        <w:t>nota</w:t>
      </w:r>
      <w:proofErr w:type="gramEnd"/>
      <w:r w:rsidRPr="006A356C">
        <w:rPr>
          <w:rFonts w:ascii="Arial" w:hAnsi="Arial" w:cs="Arial"/>
          <w:color w:val="auto"/>
        </w:rPr>
        <w:t xml:space="preserve"> 78), p. 80).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La Sala de lo Penal ha manifestado que «el hallazgo inevitable, conlleva a encontrar evidencias pertenecientes a un ilícito sin vinculación con lo investigado inicialmente» (Sentencia de Casación n° 92-CAS-2006 (nota 91)). </w:t>
      </w:r>
    </w:p>
    <w:p w:rsidR="00C21A64" w:rsidRPr="006A356C" w:rsidRDefault="00C21A64" w:rsidP="00C21A64">
      <w:pPr>
        <w:pStyle w:val="NormalWeb"/>
        <w:spacing w:line="360" w:lineRule="auto"/>
        <w:jc w:val="both"/>
        <w:rPr>
          <w:rFonts w:ascii="Arial" w:hAnsi="Arial" w:cs="Arial"/>
          <w:color w:val="auto"/>
        </w:rPr>
      </w:pPr>
      <w:hyperlink r:id="rId207" w:anchor="_ftnref93" w:history="1">
        <w:r w:rsidRPr="006A356C">
          <w:rPr>
            <w:rStyle w:val="Hipervnculo"/>
            <w:rFonts w:ascii="Arial" w:hAnsi="Arial" w:cs="Arial"/>
            <w:color w:val="auto"/>
            <w:vertAlign w:val="superscript"/>
          </w:rPr>
          <w:t>[93]</w:t>
        </w:r>
      </w:hyperlink>
      <w:r w:rsidRPr="006A356C">
        <w:rPr>
          <w:rFonts w:ascii="Arial" w:hAnsi="Arial" w:cs="Arial"/>
          <w:color w:val="auto"/>
        </w:rPr>
        <w:t xml:space="preserve"> Esta excepción «funciona cuando al acto ilegal o sus consecuencias se puede llegar por medios probatorios legales presentes que no tienen conexión con la violación constitucional» (HAIRABEDIÁN, Maximiliano, </w:t>
      </w:r>
      <w:r w:rsidRPr="006A356C">
        <w:rPr>
          <w:rFonts w:ascii="Arial" w:hAnsi="Arial" w:cs="Arial"/>
          <w:i/>
          <w:iCs/>
          <w:color w:val="auto"/>
        </w:rPr>
        <w:t>«Eficacia de la prueba…»</w:t>
      </w:r>
      <w:r w:rsidRPr="006A356C">
        <w:rPr>
          <w:rFonts w:ascii="Arial" w:hAnsi="Arial" w:cs="Arial"/>
          <w:color w:val="auto"/>
        </w:rPr>
        <w:t>,</w:t>
      </w:r>
      <w:r w:rsidRPr="006A356C">
        <w:rPr>
          <w:rFonts w:ascii="Arial" w:hAnsi="Arial" w:cs="Arial"/>
          <w:i/>
          <w:iCs/>
          <w:color w:val="auto"/>
        </w:rPr>
        <w:t xml:space="preserve"> op.cit. </w:t>
      </w:r>
      <w:r w:rsidRPr="006A356C">
        <w:rPr>
          <w:rFonts w:ascii="Arial" w:hAnsi="Arial" w:cs="Arial"/>
          <w:color w:val="auto"/>
        </w:rPr>
        <w:t>(</w:t>
      </w:r>
      <w:proofErr w:type="gramStart"/>
      <w:r w:rsidRPr="006A356C">
        <w:rPr>
          <w:rFonts w:ascii="Arial" w:hAnsi="Arial" w:cs="Arial"/>
          <w:color w:val="auto"/>
        </w:rPr>
        <w:t>nota</w:t>
      </w:r>
      <w:proofErr w:type="gramEnd"/>
      <w:r w:rsidRPr="006A356C">
        <w:rPr>
          <w:rFonts w:ascii="Arial" w:hAnsi="Arial" w:cs="Arial"/>
          <w:color w:val="auto"/>
        </w:rPr>
        <w:t xml:space="preserve"> 84), p. 67).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lastRenderedPageBreak/>
        <w:t>«La excepción de la fuente independiente (</w:t>
      </w:r>
      <w:r w:rsidRPr="006A356C">
        <w:rPr>
          <w:rFonts w:ascii="Arial" w:hAnsi="Arial" w:cs="Arial"/>
          <w:i/>
          <w:iCs/>
          <w:color w:val="auto"/>
        </w:rPr>
        <w:t>independent source doctrine</w:t>
      </w:r>
      <w:r w:rsidRPr="006A356C">
        <w:rPr>
          <w:rFonts w:ascii="Arial" w:hAnsi="Arial" w:cs="Arial"/>
          <w:color w:val="auto"/>
        </w:rPr>
        <w:t xml:space="preserve">) procede de la jurisprudencia norteamericana y establece que cuando las pruebas que se consideran derivadas de una violación de derechos anterior, derivan en realidad de una fuente independiente en la que la actuación policial haya estado sujeta a todos los requisitos legales, no procederá aplicar la </w:t>
      </w:r>
      <w:r w:rsidRPr="006A356C">
        <w:rPr>
          <w:rFonts w:ascii="Arial" w:hAnsi="Arial" w:cs="Arial"/>
          <w:i/>
          <w:iCs/>
          <w:color w:val="auto"/>
        </w:rPr>
        <w:t>fruit of the poisonous tree</w:t>
      </w:r>
      <w:r w:rsidRPr="006A356C">
        <w:rPr>
          <w:rFonts w:ascii="Arial" w:hAnsi="Arial" w:cs="Arial"/>
          <w:color w:val="auto"/>
        </w:rPr>
        <w:t>. Es decir, no procederá excluirlas» (GASCÓN ABELLÁN, Marina, «La Interpretación…», op.cit. (</w:t>
      </w:r>
      <w:proofErr w:type="gramStart"/>
      <w:r w:rsidRPr="006A356C">
        <w:rPr>
          <w:rFonts w:ascii="Arial" w:hAnsi="Arial" w:cs="Arial"/>
          <w:color w:val="auto"/>
        </w:rPr>
        <w:t>nota</w:t>
      </w:r>
      <w:proofErr w:type="gramEnd"/>
      <w:r w:rsidRPr="006A356C">
        <w:rPr>
          <w:rFonts w:ascii="Arial" w:hAnsi="Arial" w:cs="Arial"/>
          <w:color w:val="auto"/>
        </w:rPr>
        <w:t xml:space="preserve"> 78), p. 77). </w:t>
      </w:r>
    </w:p>
    <w:p w:rsidR="00C21A64" w:rsidRPr="006A356C" w:rsidRDefault="00C21A64" w:rsidP="00C21A64">
      <w:pPr>
        <w:pStyle w:val="NormalWeb"/>
        <w:spacing w:line="360" w:lineRule="auto"/>
        <w:jc w:val="both"/>
        <w:rPr>
          <w:rFonts w:ascii="Arial" w:hAnsi="Arial" w:cs="Arial"/>
          <w:color w:val="auto"/>
        </w:rPr>
      </w:pPr>
      <w:r w:rsidRPr="006A356C">
        <w:rPr>
          <w:rFonts w:ascii="Arial" w:hAnsi="Arial" w:cs="Arial"/>
          <w:color w:val="auto"/>
        </w:rPr>
        <w:t xml:space="preserve">La Sala de lo Penal ha manifestado que «la existencia de una fuente independiente, establece que no puede valorarse el elemento de prueba obtenido con violación a derechos constitucionales, pero sí aquellos otros sin conexión con aquel recabados durante el desarrollo de la investigación» (Sentencia de Casación n° 92-CAS-2006 (nota 91)). </w:t>
      </w:r>
    </w:p>
    <w:p w:rsidR="00C21A64" w:rsidRPr="006A356C" w:rsidRDefault="00C21A64" w:rsidP="00C21A64">
      <w:pPr>
        <w:pStyle w:val="NormalWeb"/>
        <w:spacing w:line="360" w:lineRule="auto"/>
        <w:jc w:val="both"/>
        <w:rPr>
          <w:rFonts w:ascii="Arial" w:hAnsi="Arial" w:cs="Arial"/>
          <w:color w:val="auto"/>
        </w:rPr>
      </w:pPr>
      <w:hyperlink r:id="rId208" w:anchor="_ftnref94" w:history="1">
        <w:r w:rsidRPr="006A356C">
          <w:rPr>
            <w:rStyle w:val="Hipervnculo"/>
            <w:rFonts w:ascii="Arial" w:hAnsi="Arial" w:cs="Arial"/>
            <w:color w:val="auto"/>
            <w:vertAlign w:val="superscript"/>
          </w:rPr>
          <w:t>[94]</w:t>
        </w:r>
      </w:hyperlink>
      <w:r w:rsidRPr="006A356C">
        <w:rPr>
          <w:rFonts w:ascii="Arial" w:hAnsi="Arial" w:cs="Arial"/>
          <w:color w:val="auto"/>
        </w:rPr>
        <w:t xml:space="preserve"> GASCÓN ABELLÁN, Marina, «La Interpretación…», op.cit. (</w:t>
      </w:r>
      <w:proofErr w:type="gramStart"/>
      <w:r w:rsidRPr="006A356C">
        <w:rPr>
          <w:rFonts w:ascii="Arial" w:hAnsi="Arial" w:cs="Arial"/>
          <w:color w:val="auto"/>
        </w:rPr>
        <w:t>nota</w:t>
      </w:r>
      <w:proofErr w:type="gramEnd"/>
      <w:r w:rsidRPr="006A356C">
        <w:rPr>
          <w:rFonts w:ascii="Arial" w:hAnsi="Arial" w:cs="Arial"/>
          <w:color w:val="auto"/>
        </w:rPr>
        <w:t xml:space="preserve"> 78), pp. 76 y 83. </w:t>
      </w:r>
    </w:p>
    <w:p w:rsidR="00C21A64" w:rsidRPr="006A356C" w:rsidRDefault="00C21A64" w:rsidP="00C21A64">
      <w:pPr>
        <w:pStyle w:val="NormalWeb"/>
        <w:spacing w:line="360" w:lineRule="auto"/>
        <w:jc w:val="both"/>
        <w:rPr>
          <w:rFonts w:ascii="Arial" w:hAnsi="Arial" w:cs="Arial"/>
          <w:color w:val="auto"/>
        </w:rPr>
      </w:pPr>
      <w:hyperlink r:id="rId209" w:anchor="_ftnref95" w:history="1">
        <w:r w:rsidRPr="006A356C">
          <w:rPr>
            <w:rStyle w:val="Hipervnculo"/>
            <w:rFonts w:ascii="Arial" w:hAnsi="Arial" w:cs="Arial"/>
            <w:color w:val="auto"/>
            <w:vertAlign w:val="superscript"/>
          </w:rPr>
          <w:t>[95]</w:t>
        </w:r>
      </w:hyperlink>
      <w:r w:rsidRPr="006A356C">
        <w:rPr>
          <w:rFonts w:ascii="Arial" w:hAnsi="Arial" w:cs="Arial"/>
          <w:color w:val="auto"/>
        </w:rPr>
        <w:t xml:space="preserve"> ZAFFARONI, Eugenio Raúl, </w:t>
      </w:r>
      <w:r w:rsidRPr="006A356C">
        <w:rPr>
          <w:rFonts w:ascii="Arial" w:hAnsi="Arial" w:cs="Arial"/>
          <w:i/>
          <w:iCs/>
          <w:color w:val="auto"/>
        </w:rPr>
        <w:t>«El Enemigo en el Derecho Penal»</w:t>
      </w:r>
      <w:r w:rsidRPr="006A356C">
        <w:rPr>
          <w:rFonts w:ascii="Arial" w:hAnsi="Arial" w:cs="Arial"/>
          <w:color w:val="auto"/>
        </w:rPr>
        <w:t xml:space="preserve">, 1ª Edición 1ª Reimpresión, Editorial Ediar, Buenos Aires, Argentina, 2007, pp. 189-190. </w:t>
      </w:r>
    </w:p>
    <w:p w:rsidR="00C21A64" w:rsidRPr="006A356C" w:rsidRDefault="00C21A64" w:rsidP="00C21A64">
      <w:pPr>
        <w:spacing w:line="360" w:lineRule="auto"/>
        <w:jc w:val="both"/>
        <w:rPr>
          <w:rFonts w:ascii="Arial" w:hAnsi="Arial" w:cs="Arial"/>
          <w:sz w:val="24"/>
          <w:szCs w:val="24"/>
        </w:rPr>
      </w:pPr>
    </w:p>
    <w:p w:rsidR="00C21A64" w:rsidRPr="006A356C" w:rsidRDefault="00C21A64" w:rsidP="00C21A64">
      <w:pPr>
        <w:spacing w:line="360" w:lineRule="auto"/>
        <w:jc w:val="both"/>
        <w:rPr>
          <w:rFonts w:ascii="Arial" w:hAnsi="Arial" w:cs="Arial"/>
          <w:sz w:val="24"/>
          <w:szCs w:val="24"/>
        </w:rPr>
      </w:pPr>
    </w:p>
    <w:p w:rsidR="00C21A64" w:rsidRPr="006A356C" w:rsidRDefault="00C21A64" w:rsidP="00C21A64">
      <w:pPr>
        <w:spacing w:line="360" w:lineRule="auto"/>
        <w:jc w:val="both"/>
        <w:rPr>
          <w:rFonts w:ascii="Arial" w:hAnsi="Arial" w:cs="Arial"/>
          <w:sz w:val="24"/>
          <w:szCs w:val="24"/>
        </w:rPr>
      </w:pPr>
    </w:p>
    <w:p w:rsidR="00C21A64" w:rsidRPr="006A356C" w:rsidRDefault="00C21A64" w:rsidP="00C21A64">
      <w:pPr>
        <w:spacing w:line="360" w:lineRule="auto"/>
        <w:jc w:val="both"/>
        <w:rPr>
          <w:rFonts w:ascii="Arial" w:hAnsi="Arial" w:cs="Arial"/>
          <w:sz w:val="24"/>
          <w:szCs w:val="24"/>
        </w:rPr>
      </w:pPr>
    </w:p>
    <w:p w:rsidR="00C21A64" w:rsidRDefault="00C21A64"/>
    <w:p w:rsidR="00C21A64" w:rsidRDefault="00C21A64"/>
    <w:sectPr w:rsidR="00C21A64" w:rsidSect="0055512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168"/>
    <w:multiLevelType w:val="hybridMultilevel"/>
    <w:tmpl w:val="900CC8D0"/>
    <w:lvl w:ilvl="0" w:tplc="6A04ACB0">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51D34C91"/>
    <w:multiLevelType w:val="hybridMultilevel"/>
    <w:tmpl w:val="D836369A"/>
    <w:lvl w:ilvl="0" w:tplc="FFC61D6A">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6F8E72EE"/>
    <w:multiLevelType w:val="hybridMultilevel"/>
    <w:tmpl w:val="AA0AB9AE"/>
    <w:lvl w:ilvl="0" w:tplc="AFC6E80C">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6FBD6CED"/>
    <w:multiLevelType w:val="multilevel"/>
    <w:tmpl w:val="1E6EE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21A64"/>
    <w:rsid w:val="0055512A"/>
    <w:rsid w:val="00C21A6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A6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21A64"/>
    <w:pPr>
      <w:spacing w:before="100" w:beforeAutospacing="1" w:after="100" w:afterAutospacing="1" w:line="240" w:lineRule="auto"/>
    </w:pPr>
    <w:rPr>
      <w:rFonts w:ascii="Times New Roman" w:eastAsia="Times New Roman" w:hAnsi="Times New Roman" w:cs="Times New Roman"/>
      <w:color w:val="000000"/>
      <w:sz w:val="24"/>
      <w:szCs w:val="24"/>
      <w:lang w:eastAsia="es-CR"/>
    </w:rPr>
  </w:style>
  <w:style w:type="character" w:styleId="Hipervnculo">
    <w:name w:val="Hyperlink"/>
    <w:basedOn w:val="Fuentedeprrafopredeter"/>
    <w:uiPriority w:val="99"/>
    <w:semiHidden/>
    <w:unhideWhenUsed/>
    <w:rsid w:val="00C21A64"/>
    <w:rPr>
      <w:color w:val="0000FF"/>
      <w:u w:val="single"/>
    </w:rPr>
  </w:style>
  <w:style w:type="paragraph" w:styleId="Prrafodelista">
    <w:name w:val="List Paragraph"/>
    <w:basedOn w:val="Normal"/>
    <w:uiPriority w:val="34"/>
    <w:qFormat/>
    <w:rsid w:val="00C21A64"/>
    <w:pPr>
      <w:ind w:left="720"/>
      <w:contextualSpacing/>
    </w:pPr>
  </w:style>
  <w:style w:type="character" w:styleId="Hipervnculovisitado">
    <w:name w:val="FollowedHyperlink"/>
    <w:basedOn w:val="Fuentedeprrafopredeter"/>
    <w:uiPriority w:val="99"/>
    <w:semiHidden/>
    <w:unhideWhenUsed/>
    <w:rsid w:val="00C21A6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F:\ARTCULO" TargetMode="External"/><Relationship Id="rId21" Type="http://schemas.openxmlformats.org/officeDocument/2006/relationships/hyperlink" Target="file:///F:\ARTCULO" TargetMode="External"/><Relationship Id="rId42" Type="http://schemas.openxmlformats.org/officeDocument/2006/relationships/hyperlink" Target="file:///F:\ARTCULO" TargetMode="External"/><Relationship Id="rId63" Type="http://schemas.openxmlformats.org/officeDocument/2006/relationships/hyperlink" Target="file:///F:\ARTCULO" TargetMode="External"/><Relationship Id="rId84" Type="http://schemas.openxmlformats.org/officeDocument/2006/relationships/hyperlink" Target="file:///F:\ARTCULO" TargetMode="External"/><Relationship Id="rId138" Type="http://schemas.openxmlformats.org/officeDocument/2006/relationships/hyperlink" Target="file:///F:\ARTCULO" TargetMode="External"/><Relationship Id="rId159" Type="http://schemas.openxmlformats.org/officeDocument/2006/relationships/hyperlink" Target="http://www.bibliojuridica.org/libros/libro.htm?l=2465" TargetMode="External"/><Relationship Id="rId170" Type="http://schemas.openxmlformats.org/officeDocument/2006/relationships/hyperlink" Target="file:///F:\ARTCULO" TargetMode="External"/><Relationship Id="rId191" Type="http://schemas.openxmlformats.org/officeDocument/2006/relationships/hyperlink" Target="file:///F:\ARTCULO" TargetMode="External"/><Relationship Id="rId205" Type="http://schemas.openxmlformats.org/officeDocument/2006/relationships/hyperlink" Target="file:///F:\ARTCULO" TargetMode="External"/><Relationship Id="rId107" Type="http://schemas.openxmlformats.org/officeDocument/2006/relationships/hyperlink" Target="file:///F:\ARTCULO" TargetMode="External"/><Relationship Id="rId11" Type="http://schemas.openxmlformats.org/officeDocument/2006/relationships/hyperlink" Target="file:///F:\ARTCULO" TargetMode="External"/><Relationship Id="rId32" Type="http://schemas.openxmlformats.org/officeDocument/2006/relationships/hyperlink" Target="file:///F:\ARTCULO" TargetMode="External"/><Relationship Id="rId37" Type="http://schemas.openxmlformats.org/officeDocument/2006/relationships/hyperlink" Target="file:///F:\ARTCULO" TargetMode="External"/><Relationship Id="rId53" Type="http://schemas.openxmlformats.org/officeDocument/2006/relationships/hyperlink" Target="file:///F:\ARTCULO" TargetMode="External"/><Relationship Id="rId58" Type="http://schemas.openxmlformats.org/officeDocument/2006/relationships/hyperlink" Target="file:///F:\ARTCULO" TargetMode="External"/><Relationship Id="rId74" Type="http://schemas.openxmlformats.org/officeDocument/2006/relationships/hyperlink" Target="file:///F:\ARTCULO" TargetMode="External"/><Relationship Id="rId79" Type="http://schemas.openxmlformats.org/officeDocument/2006/relationships/hyperlink" Target="file:///F:\ARTCULO" TargetMode="External"/><Relationship Id="rId102" Type="http://schemas.openxmlformats.org/officeDocument/2006/relationships/hyperlink" Target="http://buscon.rae.es/draeI/" TargetMode="External"/><Relationship Id="rId123" Type="http://schemas.openxmlformats.org/officeDocument/2006/relationships/hyperlink" Target="file:///F:\ARTCULO" TargetMode="External"/><Relationship Id="rId128" Type="http://schemas.openxmlformats.org/officeDocument/2006/relationships/hyperlink" Target="file:///F:\ARTCULO" TargetMode="External"/><Relationship Id="rId144" Type="http://schemas.openxmlformats.org/officeDocument/2006/relationships/hyperlink" Target="http://es.wikipedia.org/wiki/Servicio_de_mensajes_cortos" TargetMode="External"/><Relationship Id="rId149" Type="http://schemas.openxmlformats.org/officeDocument/2006/relationships/hyperlink" Target="file:///F:\ARTCULO" TargetMode="External"/><Relationship Id="rId5" Type="http://schemas.openxmlformats.org/officeDocument/2006/relationships/hyperlink" Target="file:///F:\ARTCULO" TargetMode="External"/><Relationship Id="rId90" Type="http://schemas.openxmlformats.org/officeDocument/2006/relationships/hyperlink" Target="file:///F:\ARTCULO" TargetMode="External"/><Relationship Id="rId95" Type="http://schemas.openxmlformats.org/officeDocument/2006/relationships/hyperlink" Target="file:///F:\ARTCULO" TargetMode="External"/><Relationship Id="rId160" Type="http://schemas.openxmlformats.org/officeDocument/2006/relationships/hyperlink" Target="file:///F:\ARTCULO" TargetMode="External"/><Relationship Id="rId165" Type="http://schemas.openxmlformats.org/officeDocument/2006/relationships/hyperlink" Target="file:///F:\ARTCULO" TargetMode="External"/><Relationship Id="rId181" Type="http://schemas.openxmlformats.org/officeDocument/2006/relationships/hyperlink" Target="file:///F:\ARTCULO" TargetMode="External"/><Relationship Id="rId186" Type="http://schemas.openxmlformats.org/officeDocument/2006/relationships/hyperlink" Target="file:///F:\ARTCULO" TargetMode="External"/><Relationship Id="rId211" Type="http://schemas.openxmlformats.org/officeDocument/2006/relationships/theme" Target="theme/theme1.xml"/><Relationship Id="rId22" Type="http://schemas.openxmlformats.org/officeDocument/2006/relationships/hyperlink" Target="file:///F:\ARTCULO" TargetMode="External"/><Relationship Id="rId27" Type="http://schemas.openxmlformats.org/officeDocument/2006/relationships/hyperlink" Target="file:///F:\ARTCULO" TargetMode="External"/><Relationship Id="rId43" Type="http://schemas.openxmlformats.org/officeDocument/2006/relationships/hyperlink" Target="file:///F:\ARTCULO" TargetMode="External"/><Relationship Id="rId48" Type="http://schemas.openxmlformats.org/officeDocument/2006/relationships/hyperlink" Target="file:///F:\ARTCULO" TargetMode="External"/><Relationship Id="rId64" Type="http://schemas.openxmlformats.org/officeDocument/2006/relationships/hyperlink" Target="file:///F:\ARTCULO" TargetMode="External"/><Relationship Id="rId69" Type="http://schemas.openxmlformats.org/officeDocument/2006/relationships/hyperlink" Target="file:///F:\ARTCULO" TargetMode="External"/><Relationship Id="rId113" Type="http://schemas.openxmlformats.org/officeDocument/2006/relationships/hyperlink" Target="file:///F:\ARTCULO" TargetMode="External"/><Relationship Id="rId118" Type="http://schemas.openxmlformats.org/officeDocument/2006/relationships/hyperlink" Target="file:///F:\ARTCULO" TargetMode="External"/><Relationship Id="rId134" Type="http://schemas.openxmlformats.org/officeDocument/2006/relationships/hyperlink" Target="file:///F:\ARTCULO" TargetMode="External"/><Relationship Id="rId139" Type="http://schemas.openxmlformats.org/officeDocument/2006/relationships/hyperlink" Target="file:///F:\ARTCULO" TargetMode="External"/><Relationship Id="rId80" Type="http://schemas.openxmlformats.org/officeDocument/2006/relationships/hyperlink" Target="file:///F:\ARTCULO" TargetMode="External"/><Relationship Id="rId85" Type="http://schemas.openxmlformats.org/officeDocument/2006/relationships/hyperlink" Target="file:///F:\ARTCULO" TargetMode="External"/><Relationship Id="rId150" Type="http://schemas.openxmlformats.org/officeDocument/2006/relationships/hyperlink" Target="file:///F:\ARTCULO" TargetMode="External"/><Relationship Id="rId155" Type="http://schemas.openxmlformats.org/officeDocument/2006/relationships/hyperlink" Target="file:///F:\ARTCULO" TargetMode="External"/><Relationship Id="rId171" Type="http://schemas.openxmlformats.org/officeDocument/2006/relationships/hyperlink" Target="file:///F:\ARTCULO" TargetMode="External"/><Relationship Id="rId176" Type="http://schemas.openxmlformats.org/officeDocument/2006/relationships/hyperlink" Target="http://cmiskp.echr.coe.int/tkp197/search.asp?skin=hudoc-en" TargetMode="External"/><Relationship Id="rId192" Type="http://schemas.openxmlformats.org/officeDocument/2006/relationships/hyperlink" Target="file:///F:\ARTCULO" TargetMode="External"/><Relationship Id="rId197" Type="http://schemas.openxmlformats.org/officeDocument/2006/relationships/hyperlink" Target="file:///F:\ARTCULO" TargetMode="External"/><Relationship Id="rId206" Type="http://schemas.openxmlformats.org/officeDocument/2006/relationships/hyperlink" Target="file:///F:\ARTCULO" TargetMode="External"/><Relationship Id="rId201" Type="http://schemas.openxmlformats.org/officeDocument/2006/relationships/hyperlink" Target="file:///F:\ARTCULO" TargetMode="External"/><Relationship Id="rId12" Type="http://schemas.openxmlformats.org/officeDocument/2006/relationships/hyperlink" Target="file:///F:\ARTCULO" TargetMode="External"/><Relationship Id="rId17" Type="http://schemas.openxmlformats.org/officeDocument/2006/relationships/hyperlink" Target="file:///F:\ARTCULO" TargetMode="External"/><Relationship Id="rId33" Type="http://schemas.openxmlformats.org/officeDocument/2006/relationships/hyperlink" Target="file:///F:\ARTCULO" TargetMode="External"/><Relationship Id="rId38" Type="http://schemas.openxmlformats.org/officeDocument/2006/relationships/hyperlink" Target="file:///F:\ARTCULO" TargetMode="External"/><Relationship Id="rId59" Type="http://schemas.openxmlformats.org/officeDocument/2006/relationships/hyperlink" Target="file:///F:\ARTCULO" TargetMode="External"/><Relationship Id="rId103" Type="http://schemas.openxmlformats.org/officeDocument/2006/relationships/hyperlink" Target="http://cmiskp.echr.coe.int/tkp197/search.asp?skin=hudoc-en" TargetMode="External"/><Relationship Id="rId108" Type="http://schemas.openxmlformats.org/officeDocument/2006/relationships/hyperlink" Target="file:///F:\ARTCULO" TargetMode="External"/><Relationship Id="rId124" Type="http://schemas.openxmlformats.org/officeDocument/2006/relationships/hyperlink" Target="file:///F:\ARTCULO" TargetMode="External"/><Relationship Id="rId129" Type="http://schemas.openxmlformats.org/officeDocument/2006/relationships/hyperlink" Target="file:///F:\ARTCULO" TargetMode="External"/><Relationship Id="rId54" Type="http://schemas.openxmlformats.org/officeDocument/2006/relationships/hyperlink" Target="file:///F:\ARTCULO" TargetMode="External"/><Relationship Id="rId70" Type="http://schemas.openxmlformats.org/officeDocument/2006/relationships/hyperlink" Target="file:///F:\ARTCULO" TargetMode="External"/><Relationship Id="rId75" Type="http://schemas.openxmlformats.org/officeDocument/2006/relationships/hyperlink" Target="file:///F:\ARTCULO" TargetMode="External"/><Relationship Id="rId91" Type="http://schemas.openxmlformats.org/officeDocument/2006/relationships/hyperlink" Target="file:///F:\ARTCULO" TargetMode="External"/><Relationship Id="rId96" Type="http://schemas.openxmlformats.org/officeDocument/2006/relationships/hyperlink" Target="file:///F:\ARTCULO" TargetMode="External"/><Relationship Id="rId140" Type="http://schemas.openxmlformats.org/officeDocument/2006/relationships/hyperlink" Target="file:///F:\ARTCULO" TargetMode="External"/><Relationship Id="rId145" Type="http://schemas.openxmlformats.org/officeDocument/2006/relationships/hyperlink" Target="file:///F:\ARTCULO" TargetMode="External"/><Relationship Id="rId161" Type="http://schemas.openxmlformats.org/officeDocument/2006/relationships/hyperlink" Target="file:///F:\ARTCULO" TargetMode="External"/><Relationship Id="rId166" Type="http://schemas.openxmlformats.org/officeDocument/2006/relationships/hyperlink" Target="file:///F:\ARTCULO" TargetMode="External"/><Relationship Id="rId182" Type="http://schemas.openxmlformats.org/officeDocument/2006/relationships/hyperlink" Target="file:///F:\ARTCULO" TargetMode="External"/><Relationship Id="rId187" Type="http://schemas.openxmlformats.org/officeDocument/2006/relationships/hyperlink" Target="file:///F:\ARTCULO" TargetMode="External"/><Relationship Id="rId1" Type="http://schemas.openxmlformats.org/officeDocument/2006/relationships/numbering" Target="numbering.xml"/><Relationship Id="rId6" Type="http://schemas.openxmlformats.org/officeDocument/2006/relationships/hyperlink" Target="file:///F:\ARTCULO" TargetMode="External"/><Relationship Id="rId23" Type="http://schemas.openxmlformats.org/officeDocument/2006/relationships/hyperlink" Target="file:///F:\ARTCULO" TargetMode="External"/><Relationship Id="rId28" Type="http://schemas.openxmlformats.org/officeDocument/2006/relationships/hyperlink" Target="file:///F:\ARTCULO" TargetMode="External"/><Relationship Id="rId49" Type="http://schemas.openxmlformats.org/officeDocument/2006/relationships/hyperlink" Target="file:///F:\ARTCULO" TargetMode="External"/><Relationship Id="rId114" Type="http://schemas.openxmlformats.org/officeDocument/2006/relationships/hyperlink" Target="file:///F:\ARTCULO" TargetMode="External"/><Relationship Id="rId119" Type="http://schemas.openxmlformats.org/officeDocument/2006/relationships/hyperlink" Target="file:///F:\ARTCULO" TargetMode="External"/><Relationship Id="rId44" Type="http://schemas.openxmlformats.org/officeDocument/2006/relationships/hyperlink" Target="file:///F:\ARTCULO" TargetMode="External"/><Relationship Id="rId60" Type="http://schemas.openxmlformats.org/officeDocument/2006/relationships/hyperlink" Target="file:///F:\ARTCULO" TargetMode="External"/><Relationship Id="rId65" Type="http://schemas.openxmlformats.org/officeDocument/2006/relationships/hyperlink" Target="file:///F:\ARTCULO" TargetMode="External"/><Relationship Id="rId81" Type="http://schemas.openxmlformats.org/officeDocument/2006/relationships/hyperlink" Target="file:///F:\ARTCULO" TargetMode="External"/><Relationship Id="rId86" Type="http://schemas.openxmlformats.org/officeDocument/2006/relationships/hyperlink" Target="file:///F:\ARTCULO" TargetMode="External"/><Relationship Id="rId130" Type="http://schemas.openxmlformats.org/officeDocument/2006/relationships/hyperlink" Target="file:///F:\ARTCULO" TargetMode="External"/><Relationship Id="rId135" Type="http://schemas.openxmlformats.org/officeDocument/2006/relationships/hyperlink" Target="file:///F:\ARTCULO" TargetMode="External"/><Relationship Id="rId151" Type="http://schemas.openxmlformats.org/officeDocument/2006/relationships/hyperlink" Target="file:///F:\ARTCULO" TargetMode="External"/><Relationship Id="rId156" Type="http://schemas.openxmlformats.org/officeDocument/2006/relationships/hyperlink" Target="file:///F:\ARTCULO" TargetMode="External"/><Relationship Id="rId177" Type="http://schemas.openxmlformats.org/officeDocument/2006/relationships/hyperlink" Target="file:///F:\ARTCULO" TargetMode="External"/><Relationship Id="rId198" Type="http://schemas.openxmlformats.org/officeDocument/2006/relationships/hyperlink" Target="file:///F:\ARTCULO" TargetMode="External"/><Relationship Id="rId172" Type="http://schemas.openxmlformats.org/officeDocument/2006/relationships/hyperlink" Target="file:///F:\ARTCULO" TargetMode="External"/><Relationship Id="rId193" Type="http://schemas.openxmlformats.org/officeDocument/2006/relationships/hyperlink" Target="file:///F:\ARTCULO" TargetMode="External"/><Relationship Id="rId202" Type="http://schemas.openxmlformats.org/officeDocument/2006/relationships/hyperlink" Target="file:///F:\ARTCULO" TargetMode="External"/><Relationship Id="rId207" Type="http://schemas.openxmlformats.org/officeDocument/2006/relationships/hyperlink" Target="file:///F:\ARTCULO" TargetMode="External"/><Relationship Id="rId13" Type="http://schemas.openxmlformats.org/officeDocument/2006/relationships/hyperlink" Target="file:///F:\ARTCULO" TargetMode="External"/><Relationship Id="rId18" Type="http://schemas.openxmlformats.org/officeDocument/2006/relationships/hyperlink" Target="file:///F:\ARTCULO" TargetMode="External"/><Relationship Id="rId39" Type="http://schemas.openxmlformats.org/officeDocument/2006/relationships/hyperlink" Target="file:///F:\ARTCULO" TargetMode="External"/><Relationship Id="rId109" Type="http://schemas.openxmlformats.org/officeDocument/2006/relationships/hyperlink" Target="file:///F:\ARTCULO" TargetMode="External"/><Relationship Id="rId34" Type="http://schemas.openxmlformats.org/officeDocument/2006/relationships/hyperlink" Target="file:///F:\ARTCULO" TargetMode="External"/><Relationship Id="rId50" Type="http://schemas.openxmlformats.org/officeDocument/2006/relationships/hyperlink" Target="file:///F:\ARTCULO" TargetMode="External"/><Relationship Id="rId55" Type="http://schemas.openxmlformats.org/officeDocument/2006/relationships/hyperlink" Target="file:///F:\ARTCULO" TargetMode="External"/><Relationship Id="rId76" Type="http://schemas.openxmlformats.org/officeDocument/2006/relationships/hyperlink" Target="file:///F:\ARTCULO" TargetMode="External"/><Relationship Id="rId97" Type="http://schemas.openxmlformats.org/officeDocument/2006/relationships/hyperlink" Target="file:///F:\ARTCULO" TargetMode="External"/><Relationship Id="rId104" Type="http://schemas.openxmlformats.org/officeDocument/2006/relationships/hyperlink" Target="http://es.wikipedia.org/wiki/Servicio_de_mensajes_cortos" TargetMode="External"/><Relationship Id="rId120" Type="http://schemas.openxmlformats.org/officeDocument/2006/relationships/hyperlink" Target="file:///F:\ARTCULO" TargetMode="External"/><Relationship Id="rId125" Type="http://schemas.openxmlformats.org/officeDocument/2006/relationships/hyperlink" Target="file:///F:\ARTCULO" TargetMode="External"/><Relationship Id="rId141" Type="http://schemas.openxmlformats.org/officeDocument/2006/relationships/hyperlink" Target="http://es.wikipedia.org/wiki/Telefon%C3%ADa_m%C3%B3vil" TargetMode="External"/><Relationship Id="rId146" Type="http://schemas.openxmlformats.org/officeDocument/2006/relationships/hyperlink" Target="file:///F:\ARTCULO" TargetMode="External"/><Relationship Id="rId167" Type="http://schemas.openxmlformats.org/officeDocument/2006/relationships/hyperlink" Target="file:///F:\ARTCULO" TargetMode="External"/><Relationship Id="rId188" Type="http://schemas.openxmlformats.org/officeDocument/2006/relationships/hyperlink" Target="file:///F:\ARTCULO" TargetMode="External"/><Relationship Id="rId7" Type="http://schemas.openxmlformats.org/officeDocument/2006/relationships/hyperlink" Target="file:///F:\ARTCULO" TargetMode="External"/><Relationship Id="rId71" Type="http://schemas.openxmlformats.org/officeDocument/2006/relationships/hyperlink" Target="file:///F:\ARTCULO" TargetMode="External"/><Relationship Id="rId92" Type="http://schemas.openxmlformats.org/officeDocument/2006/relationships/hyperlink" Target="file:///F:\ARTCULO" TargetMode="External"/><Relationship Id="rId162" Type="http://schemas.openxmlformats.org/officeDocument/2006/relationships/hyperlink" Target="file:///F:\ARTCULO" TargetMode="External"/><Relationship Id="rId183" Type="http://schemas.openxmlformats.org/officeDocument/2006/relationships/hyperlink" Target="file:///F:\ARTCULO" TargetMode="External"/><Relationship Id="rId2" Type="http://schemas.openxmlformats.org/officeDocument/2006/relationships/styles" Target="styles.xml"/><Relationship Id="rId29" Type="http://schemas.openxmlformats.org/officeDocument/2006/relationships/hyperlink" Target="file:///F:\ARTCULO" TargetMode="External"/><Relationship Id="rId24" Type="http://schemas.openxmlformats.org/officeDocument/2006/relationships/hyperlink" Target="file:///F:\ARTCULO" TargetMode="External"/><Relationship Id="rId40" Type="http://schemas.openxmlformats.org/officeDocument/2006/relationships/hyperlink" Target="file:///F:\ARTCULO" TargetMode="External"/><Relationship Id="rId45" Type="http://schemas.openxmlformats.org/officeDocument/2006/relationships/hyperlink" Target="file:///F:\ARTCULO" TargetMode="External"/><Relationship Id="rId66" Type="http://schemas.openxmlformats.org/officeDocument/2006/relationships/hyperlink" Target="file:///F:\ARTCULO" TargetMode="External"/><Relationship Id="rId87" Type="http://schemas.openxmlformats.org/officeDocument/2006/relationships/hyperlink" Target="file:///F:\ARTCULO" TargetMode="External"/><Relationship Id="rId110" Type="http://schemas.openxmlformats.org/officeDocument/2006/relationships/hyperlink" Target="file:///F:\ARTCULO" TargetMode="External"/><Relationship Id="rId115" Type="http://schemas.openxmlformats.org/officeDocument/2006/relationships/hyperlink" Target="file:///F:\ARTCULO" TargetMode="External"/><Relationship Id="rId131" Type="http://schemas.openxmlformats.org/officeDocument/2006/relationships/hyperlink" Target="file:///F:\ARTCULO" TargetMode="External"/><Relationship Id="rId136" Type="http://schemas.openxmlformats.org/officeDocument/2006/relationships/hyperlink" Target="http://buscon.rae.es/draeI/SrvltConsulta?TIPO_BUS=3&amp;LEMA=telecomunicaci%C3%B3n" TargetMode="External"/><Relationship Id="rId157" Type="http://schemas.openxmlformats.org/officeDocument/2006/relationships/hyperlink" Target="file:///F:\ARTCULO" TargetMode="External"/><Relationship Id="rId178" Type="http://schemas.openxmlformats.org/officeDocument/2006/relationships/hyperlink" Target="file:///F:\ARTCULO" TargetMode="External"/><Relationship Id="rId61" Type="http://schemas.openxmlformats.org/officeDocument/2006/relationships/hyperlink" Target="file:///F:\ARTCULO" TargetMode="External"/><Relationship Id="rId82" Type="http://schemas.openxmlformats.org/officeDocument/2006/relationships/hyperlink" Target="file:///F:\ARTCULO" TargetMode="External"/><Relationship Id="rId152" Type="http://schemas.openxmlformats.org/officeDocument/2006/relationships/hyperlink" Target="file:///F:\ARTCULO" TargetMode="External"/><Relationship Id="rId173" Type="http://schemas.openxmlformats.org/officeDocument/2006/relationships/hyperlink" Target="file:///F:\ARTCULO" TargetMode="External"/><Relationship Id="rId194" Type="http://schemas.openxmlformats.org/officeDocument/2006/relationships/hyperlink" Target="file:///F:\ARTCULO" TargetMode="External"/><Relationship Id="rId199" Type="http://schemas.openxmlformats.org/officeDocument/2006/relationships/hyperlink" Target="file:///F:\ARTCULO" TargetMode="External"/><Relationship Id="rId203" Type="http://schemas.openxmlformats.org/officeDocument/2006/relationships/hyperlink" Target="file:///F:\ARTCULO" TargetMode="External"/><Relationship Id="rId208" Type="http://schemas.openxmlformats.org/officeDocument/2006/relationships/hyperlink" Target="file:///F:\ARTCULO" TargetMode="External"/><Relationship Id="rId19" Type="http://schemas.openxmlformats.org/officeDocument/2006/relationships/hyperlink" Target="file:///F:\ARTCULO" TargetMode="External"/><Relationship Id="rId14" Type="http://schemas.openxmlformats.org/officeDocument/2006/relationships/hyperlink" Target="file:///F:\ARTCULO" TargetMode="External"/><Relationship Id="rId30" Type="http://schemas.openxmlformats.org/officeDocument/2006/relationships/hyperlink" Target="file:///F:\ARTCULO" TargetMode="External"/><Relationship Id="rId35" Type="http://schemas.openxmlformats.org/officeDocument/2006/relationships/hyperlink" Target="file:///F:\ARTCULO" TargetMode="External"/><Relationship Id="rId56" Type="http://schemas.openxmlformats.org/officeDocument/2006/relationships/hyperlink" Target="file:///F:\ARTCULO" TargetMode="External"/><Relationship Id="rId77" Type="http://schemas.openxmlformats.org/officeDocument/2006/relationships/hyperlink" Target="file:///F:\ARTCULO" TargetMode="External"/><Relationship Id="rId100" Type="http://schemas.openxmlformats.org/officeDocument/2006/relationships/hyperlink" Target="http://descargas.cervantesvirtual.com/servlet/SirveObras/doxa/12159280888090417421624/015780.pdf?incr=1" TargetMode="External"/><Relationship Id="rId105" Type="http://schemas.openxmlformats.org/officeDocument/2006/relationships/hyperlink" Target="file:///F:\ARTCULO" TargetMode="External"/><Relationship Id="rId126" Type="http://schemas.openxmlformats.org/officeDocument/2006/relationships/hyperlink" Target="file:///F:\ARTCULO" TargetMode="External"/><Relationship Id="rId147" Type="http://schemas.openxmlformats.org/officeDocument/2006/relationships/hyperlink" Target="file:///F:\ARTCULO" TargetMode="External"/><Relationship Id="rId168" Type="http://schemas.openxmlformats.org/officeDocument/2006/relationships/hyperlink" Target="file:///F:\ARTCULO" TargetMode="External"/><Relationship Id="rId8" Type="http://schemas.openxmlformats.org/officeDocument/2006/relationships/hyperlink" Target="file:///F:\ARTCULO" TargetMode="External"/><Relationship Id="rId51" Type="http://schemas.openxmlformats.org/officeDocument/2006/relationships/hyperlink" Target="file:///F:\ARTCULO" TargetMode="External"/><Relationship Id="rId72" Type="http://schemas.openxmlformats.org/officeDocument/2006/relationships/hyperlink" Target="file:///F:\ARTCULO" TargetMode="External"/><Relationship Id="rId93" Type="http://schemas.openxmlformats.org/officeDocument/2006/relationships/hyperlink" Target="file:///F:\ARTCULO" TargetMode="External"/><Relationship Id="rId98" Type="http://schemas.openxmlformats.org/officeDocument/2006/relationships/hyperlink" Target="file:///F:\ARTCULO" TargetMode="External"/><Relationship Id="rId121" Type="http://schemas.openxmlformats.org/officeDocument/2006/relationships/hyperlink" Target="http://descargas.cervantesvirtual.com/servlet/SirveObras/doxa/12159280888090417421624/015780.pdf?incr=1" TargetMode="External"/><Relationship Id="rId142" Type="http://schemas.openxmlformats.org/officeDocument/2006/relationships/hyperlink" Target="http://es.wikipedia.org/wiki/GSM" TargetMode="External"/><Relationship Id="rId163" Type="http://schemas.openxmlformats.org/officeDocument/2006/relationships/hyperlink" Target="file:///F:\ARTCULO" TargetMode="External"/><Relationship Id="rId184" Type="http://schemas.openxmlformats.org/officeDocument/2006/relationships/hyperlink" Target="file:///F:\ARTCULO" TargetMode="External"/><Relationship Id="rId189" Type="http://schemas.openxmlformats.org/officeDocument/2006/relationships/hyperlink" Target="file:///F:\ARTCULO" TargetMode="External"/><Relationship Id="rId3" Type="http://schemas.openxmlformats.org/officeDocument/2006/relationships/settings" Target="settings.xml"/><Relationship Id="rId25" Type="http://schemas.openxmlformats.org/officeDocument/2006/relationships/hyperlink" Target="file:///F:\ARTCULO" TargetMode="External"/><Relationship Id="rId46" Type="http://schemas.openxmlformats.org/officeDocument/2006/relationships/hyperlink" Target="file:///F:\ARTCULO" TargetMode="External"/><Relationship Id="rId67" Type="http://schemas.openxmlformats.org/officeDocument/2006/relationships/hyperlink" Target="file:///F:\ARTCULO" TargetMode="External"/><Relationship Id="rId116" Type="http://schemas.openxmlformats.org/officeDocument/2006/relationships/hyperlink" Target="file:///F:\ARTCULO" TargetMode="External"/><Relationship Id="rId137" Type="http://schemas.openxmlformats.org/officeDocument/2006/relationships/hyperlink" Target="file:///F:\ARTCULO" TargetMode="External"/><Relationship Id="rId158" Type="http://schemas.openxmlformats.org/officeDocument/2006/relationships/hyperlink" Target="file:///F:\ARTCULO" TargetMode="External"/><Relationship Id="rId20" Type="http://schemas.openxmlformats.org/officeDocument/2006/relationships/hyperlink" Target="file:///F:\ARTCULO" TargetMode="External"/><Relationship Id="rId41" Type="http://schemas.openxmlformats.org/officeDocument/2006/relationships/hyperlink" Target="file:///F:\ARTCULO" TargetMode="External"/><Relationship Id="rId62" Type="http://schemas.openxmlformats.org/officeDocument/2006/relationships/hyperlink" Target="file:///F:\ARTCULO" TargetMode="External"/><Relationship Id="rId83" Type="http://schemas.openxmlformats.org/officeDocument/2006/relationships/hyperlink" Target="file:///F:\ARTCULO" TargetMode="External"/><Relationship Id="rId88" Type="http://schemas.openxmlformats.org/officeDocument/2006/relationships/hyperlink" Target="file:///F:\ARTCULO" TargetMode="External"/><Relationship Id="rId111" Type="http://schemas.openxmlformats.org/officeDocument/2006/relationships/hyperlink" Target="file:///F:\ARTCULO" TargetMode="External"/><Relationship Id="rId132" Type="http://schemas.openxmlformats.org/officeDocument/2006/relationships/hyperlink" Target="http://buscon.rae.es/draeI/SrvltConsulta?TIPO_BUS=3&amp;LEMA=telecomunicaci%C3%B3n" TargetMode="External"/><Relationship Id="rId153" Type="http://schemas.openxmlformats.org/officeDocument/2006/relationships/hyperlink" Target="file:///F:\ARTCULO" TargetMode="External"/><Relationship Id="rId174" Type="http://schemas.openxmlformats.org/officeDocument/2006/relationships/hyperlink" Target="file:///F:\ARTCULO" TargetMode="External"/><Relationship Id="rId179" Type="http://schemas.openxmlformats.org/officeDocument/2006/relationships/hyperlink" Target="file:///F:\ARTCULO" TargetMode="External"/><Relationship Id="rId195" Type="http://schemas.openxmlformats.org/officeDocument/2006/relationships/hyperlink" Target="file:///F:\ARTCULO" TargetMode="External"/><Relationship Id="rId209" Type="http://schemas.openxmlformats.org/officeDocument/2006/relationships/hyperlink" Target="file:///F:\ARTCULO" TargetMode="External"/><Relationship Id="rId190" Type="http://schemas.openxmlformats.org/officeDocument/2006/relationships/hyperlink" Target="file:///F:\ARTCULO" TargetMode="External"/><Relationship Id="rId204" Type="http://schemas.openxmlformats.org/officeDocument/2006/relationships/hyperlink" Target="file:///F:\ARTCULO" TargetMode="External"/><Relationship Id="rId15" Type="http://schemas.openxmlformats.org/officeDocument/2006/relationships/hyperlink" Target="file:///F:\ARTCULO" TargetMode="External"/><Relationship Id="rId36" Type="http://schemas.openxmlformats.org/officeDocument/2006/relationships/hyperlink" Target="file:///F:\ARTCULO" TargetMode="External"/><Relationship Id="rId57" Type="http://schemas.openxmlformats.org/officeDocument/2006/relationships/hyperlink" Target="file:///F:\ARTCULO" TargetMode="External"/><Relationship Id="rId106" Type="http://schemas.openxmlformats.org/officeDocument/2006/relationships/hyperlink" Target="file:///F:\ARTCULO" TargetMode="External"/><Relationship Id="rId127" Type="http://schemas.openxmlformats.org/officeDocument/2006/relationships/hyperlink" Target="file:///F:\ARTCULO" TargetMode="External"/><Relationship Id="rId10" Type="http://schemas.openxmlformats.org/officeDocument/2006/relationships/hyperlink" Target="file:///F:\ARTCULO" TargetMode="External"/><Relationship Id="rId31" Type="http://schemas.openxmlformats.org/officeDocument/2006/relationships/hyperlink" Target="file:///F:\ARTCULO" TargetMode="External"/><Relationship Id="rId52" Type="http://schemas.openxmlformats.org/officeDocument/2006/relationships/hyperlink" Target="file:///F:\ARTCULO" TargetMode="External"/><Relationship Id="rId73" Type="http://schemas.openxmlformats.org/officeDocument/2006/relationships/hyperlink" Target="file:///F:\ARTCULO" TargetMode="External"/><Relationship Id="rId78" Type="http://schemas.openxmlformats.org/officeDocument/2006/relationships/hyperlink" Target="file:///F:\ARTCULO" TargetMode="External"/><Relationship Id="rId94" Type="http://schemas.openxmlformats.org/officeDocument/2006/relationships/hyperlink" Target="file:///F:\ARTCULO" TargetMode="External"/><Relationship Id="rId99" Type="http://schemas.openxmlformats.org/officeDocument/2006/relationships/hyperlink" Target="file:///F:\ARTCULO" TargetMode="External"/><Relationship Id="rId101" Type="http://schemas.openxmlformats.org/officeDocument/2006/relationships/hyperlink" Target="http://www.bibliojuridica.org/libros/libro.htm?l=2465" TargetMode="External"/><Relationship Id="rId122" Type="http://schemas.openxmlformats.org/officeDocument/2006/relationships/hyperlink" Target="file:///F:\ARTCULO" TargetMode="External"/><Relationship Id="rId143" Type="http://schemas.openxmlformats.org/officeDocument/2006/relationships/hyperlink" Target="http://es.wikipedia.org/wiki/3G" TargetMode="External"/><Relationship Id="rId148" Type="http://schemas.openxmlformats.org/officeDocument/2006/relationships/hyperlink" Target="file:///F:\ARTCULO" TargetMode="External"/><Relationship Id="rId164" Type="http://schemas.openxmlformats.org/officeDocument/2006/relationships/hyperlink" Target="file:///F:\ARTCULO" TargetMode="External"/><Relationship Id="rId169" Type="http://schemas.openxmlformats.org/officeDocument/2006/relationships/hyperlink" Target="http://buscon.rae.es/draeI/SrvltConsulta?TIPO_BUS=3&amp;LEMA=Intervenir" TargetMode="External"/><Relationship Id="rId185" Type="http://schemas.openxmlformats.org/officeDocument/2006/relationships/hyperlink" Target="file:///F:\ARTCULO" TargetMode="External"/><Relationship Id="rId4" Type="http://schemas.openxmlformats.org/officeDocument/2006/relationships/webSettings" Target="webSettings.xml"/><Relationship Id="rId9" Type="http://schemas.openxmlformats.org/officeDocument/2006/relationships/hyperlink" Target="file:///F:\ARTCULO" TargetMode="External"/><Relationship Id="rId180" Type="http://schemas.openxmlformats.org/officeDocument/2006/relationships/hyperlink" Target="file:///F:\ARTCULO" TargetMode="External"/><Relationship Id="rId210" Type="http://schemas.openxmlformats.org/officeDocument/2006/relationships/fontTable" Target="fontTable.xml"/><Relationship Id="rId26" Type="http://schemas.openxmlformats.org/officeDocument/2006/relationships/hyperlink" Target="file:///F:\ARTCULO" TargetMode="External"/><Relationship Id="rId47" Type="http://schemas.openxmlformats.org/officeDocument/2006/relationships/hyperlink" Target="file:///F:\ARTCULO" TargetMode="External"/><Relationship Id="rId68" Type="http://schemas.openxmlformats.org/officeDocument/2006/relationships/hyperlink" Target="file:///F:\ARTCULO" TargetMode="External"/><Relationship Id="rId89" Type="http://schemas.openxmlformats.org/officeDocument/2006/relationships/hyperlink" Target="file:///F:\ARTCULO" TargetMode="External"/><Relationship Id="rId112" Type="http://schemas.openxmlformats.org/officeDocument/2006/relationships/hyperlink" Target="file:///F:\ARTCULO" TargetMode="External"/><Relationship Id="rId133" Type="http://schemas.openxmlformats.org/officeDocument/2006/relationships/hyperlink" Target="file:///F:\ARTCULO" TargetMode="External"/><Relationship Id="rId154" Type="http://schemas.openxmlformats.org/officeDocument/2006/relationships/hyperlink" Target="file:///F:\ARTCULO" TargetMode="External"/><Relationship Id="rId175" Type="http://schemas.openxmlformats.org/officeDocument/2006/relationships/hyperlink" Target="file:///F:\ARTCULO" TargetMode="External"/><Relationship Id="rId196" Type="http://schemas.openxmlformats.org/officeDocument/2006/relationships/hyperlink" Target="file:///F:\ARTCULO" TargetMode="External"/><Relationship Id="rId200" Type="http://schemas.openxmlformats.org/officeDocument/2006/relationships/hyperlink" Target="file:///F:\ARTCULO" TargetMode="External"/><Relationship Id="rId16" Type="http://schemas.openxmlformats.org/officeDocument/2006/relationships/hyperlink" Target="file:///F:\ARTCU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91</Pages>
  <Words>28179</Words>
  <Characters>154988</Characters>
  <Application>Microsoft Office Word</Application>
  <DocSecurity>0</DocSecurity>
  <Lines>1291</Lines>
  <Paragraphs>365</Paragraphs>
  <ScaleCrop>false</ScaleCrop>
  <Company>uReloaded.com</Company>
  <LinksUpToDate>false</LinksUpToDate>
  <CharactersWithSpaces>182802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1</cp:revision>
  <dcterms:created xsi:type="dcterms:W3CDTF">2010-04-12T18:23:00Z</dcterms:created>
  <dcterms:modified xsi:type="dcterms:W3CDTF">2010-04-12T18:27:00Z</dcterms:modified>
</cp:coreProperties>
</file>