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F9" w:rsidRPr="00872CEB" w:rsidRDefault="001514F9" w:rsidP="00872CEB">
      <w:pPr>
        <w:jc w:val="both"/>
      </w:pPr>
      <w:r w:rsidRPr="00872CEB">
        <w:t>RAZONES POR LAS CUALES SE OBSERVAN DOCUMENTOS CUANDO SON PRESENTADOS EN RPRH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No son presentados los testimonios debidamente sellados y firmados. Art. 44 Ley de Notariado.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No se cita a la FGR como representante del Estado en la protocolización de resolución final de diligencia de Titulo Supletorio o Municipal y Remediciones.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Compraventas de inmuebles hipotecados.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 xml:space="preserve">No presentan testimonio cuando constituyen Servidumbre. Art. 671 </w:t>
      </w:r>
      <w:proofErr w:type="spellStart"/>
      <w:r w:rsidRPr="00872CEB">
        <w:t>cc.</w:t>
      </w:r>
      <w:proofErr w:type="spellEnd"/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El inmueble posee gravamen inscrito y según documento y no hay cancelación del gravamen presentada.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Falta de comprobante de pago de derechos de registro.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Falta del recibo de la transferencia sobre bienes raíces o la firma y sello del Notario en el mismo.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Otorgantes insolventes con el Fisco.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Documento que sirve de antecedente no está inscrito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Falta de firma o sello del Notario o algún otorgante.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Falta de solvencias Municipales.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El juzgado no anexa la copia de la resolución que genera algún oficio.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 xml:space="preserve">En las Donaciones irrevocables, no se relaciona que los testigos sean conocidos del Notario. Art. 34 </w:t>
      </w:r>
      <w:proofErr w:type="spellStart"/>
      <w:r w:rsidRPr="00872CEB">
        <w:t>inc</w:t>
      </w:r>
      <w:proofErr w:type="spellEnd"/>
      <w:r w:rsidRPr="00872CEB">
        <w:t xml:space="preserve"> segundo Ley de Notariado.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En los nombres de los otorgantes, se continua relacionando las formulas “conocidos registralmente”, “tributariamente”, “antes”, “hoy”, o la conjunción “o”.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No se relaciona el asiento a cancelar en los diferentes tipos de cancelaciones. Art. 734 No 2 C.C.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Legitimar debidamente la personería de los que comparecen en sus oficios.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 xml:space="preserve">Declaratoria de herederos si son testamentarias, declaran herederos en concepto de hijos de cónyuge, </w:t>
      </w:r>
      <w:proofErr w:type="spellStart"/>
      <w:r w:rsidRPr="00872CEB">
        <w:t>etc</w:t>
      </w:r>
      <w:proofErr w:type="spellEnd"/>
      <w:r w:rsidRPr="00872CEB">
        <w:t xml:space="preserve"> siendo que la declaratoria no es por razón de la filiación, sino en virtud del llamamiento hecho en el testamento.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Confusión en el lugar del fallecimiento del causante con su último domicilio en las Declarat</w:t>
      </w:r>
      <w:r w:rsidR="004B7F1C">
        <w:t>orias de herederos. Art. 986 y 1162</w:t>
      </w:r>
      <w:bookmarkStart w:id="0" w:name="_GoBack"/>
      <w:bookmarkEnd w:id="0"/>
      <w:r w:rsidRPr="00872CEB">
        <w:t xml:space="preserve"> del Código Civil y art. 35 del Código Procesal Civil y Mercantil.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Cuando los otorgantes son sociedades,</w:t>
      </w:r>
      <w:r w:rsidR="00AC4B82">
        <w:t xml:space="preserve"> las personerías las relacionan</w:t>
      </w:r>
      <w:r w:rsidRPr="00872CEB">
        <w:t xml:space="preserve"> en forma incompleta, faltando la autorización de la Junta general de Accionistas para efectuar el acto o contrato o si dentro del giro de la sociedad se encuentra la realización de actos como el otorgado; basta con relacionar que dentro de la finalidad social se encuentra el realizar dichos actos. Art. 275 Código de Comercio.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Antecedentes incorrectos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Área y descripción de los inmuebles incorrectos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DUI y NIT no conforme al que aparece registrado en la base de datos.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lastRenderedPageBreak/>
        <w:t>Observaciones de Catastro por falta de plano o no aprobados.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No relacionan que tipo de sucesión se trata si es intestada o testada.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Los notarios únicamente revisan el contenido de la escritura y no la constancia de inscripción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Diferencia entre el nombre que se encuentra en el antecedente inscrito y el nombre del vendedor.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No relacionan NIT ni DUI de los herederos ni causante, y no certificados.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En la cancelaciones no vinculan el asiento de la hipoteca que se cancela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 xml:space="preserve">En cancelaciones no ponen correctamente los montos, plazos, los intereses, el nombre del notario ante quien se </w:t>
      </w:r>
      <w:proofErr w:type="spellStart"/>
      <w:r w:rsidRPr="00872CEB">
        <w:t>otorgo</w:t>
      </w:r>
      <w:proofErr w:type="spellEnd"/>
      <w:r w:rsidRPr="00872CEB">
        <w:t xml:space="preserve"> la hipoteca que se quiere cancelar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Omiten relacionar que el inmueble que se vende es propiedad del poderdante y lo hace como fuera el inmueble propiedad del apoderado.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En las Compraventas no relacionan correctamente la ubicación del inmueble después de la venta y olvidan adjuntar plano aprobado por Catastro.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En las protocolizaciones de las remediciones omiten los notarios relacionar como se lee la firma y sello del perito.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En las ventas de derecho proindiviso no especifican los porcentajes.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En las ventas de derecho de Usufructo o de Nuda Propiedad, transfieren no el derecho de la nuda sino la propiedad.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No relacionan la aceptación o en algunos casos no transfieren el dominio.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En las ventas Segregación no relacionan el resto registral que queda después de la venta del lote desmembrado, y no lo describen.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Al relacionar poderes extendidos en el extranjero ante autoridad consular, no los apostillen o si son ante notario no relacionan que es Notario Salvadoreño.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En las Donaciones no relacionan testigos.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En las declaratorias testamentarias no agregan el Testamento.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En las declaratorias ya sean testadas o Intestadas de derechos proindiviso o derechos adquiridos en fechas diferentes, no agregan los dos testimonios para el traspaso por herencia, sino solo uno de ellos.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 xml:space="preserve">En los actos o contratos que se afectan linderos o colindancia con bienes nacionales o Municipales, no citan a la FGR o </w:t>
      </w:r>
      <w:proofErr w:type="spellStart"/>
      <w:r w:rsidRPr="00872CEB">
        <w:t>ala</w:t>
      </w:r>
      <w:proofErr w:type="spellEnd"/>
      <w:r w:rsidRPr="00872CEB">
        <w:t xml:space="preserve"> Alcaldía en su caso.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Error en la fecha de otorgamiento entre el acto o contrato y la expedición del testimonio.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>Cuando se tramitan diligencias ya sea de remedición o de la nueva Ley de Proindiviso no concuerda la fecha de la mesura con la fecha de aprobación de planos.</w:t>
      </w:r>
    </w:p>
    <w:p w:rsidR="001514F9" w:rsidRPr="00872CEB" w:rsidRDefault="001514F9" w:rsidP="00872CEB">
      <w:pPr>
        <w:pStyle w:val="Prrafodelista"/>
        <w:numPr>
          <w:ilvl w:val="0"/>
          <w:numId w:val="2"/>
        </w:numPr>
        <w:jc w:val="both"/>
      </w:pPr>
      <w:r w:rsidRPr="00872CEB">
        <w:t xml:space="preserve">El Notario no relaciona la Certificación a que se refiere el Art. 8-B </w:t>
      </w:r>
      <w:proofErr w:type="spellStart"/>
      <w:r w:rsidRPr="00872CEB">
        <w:t>inc</w:t>
      </w:r>
      <w:proofErr w:type="spellEnd"/>
      <w:r w:rsidRPr="00872CEB">
        <w:t xml:space="preserve"> primero, cuarto y quinto de la Ley del Régimen Especial de la Tierra en propiedad de las Asociaciones Cooperativas, Comunales y Comunitarias</w:t>
      </w:r>
    </w:p>
    <w:p w:rsidR="00861424" w:rsidRPr="00872CEB" w:rsidRDefault="00861424" w:rsidP="00872CEB">
      <w:pPr>
        <w:jc w:val="both"/>
      </w:pPr>
    </w:p>
    <w:sectPr w:rsidR="00861424" w:rsidRPr="00872CEB" w:rsidSect="00872CEB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53B77"/>
    <w:multiLevelType w:val="multilevel"/>
    <w:tmpl w:val="2932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E5F2C"/>
    <w:multiLevelType w:val="hybridMultilevel"/>
    <w:tmpl w:val="B6D6CA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F9"/>
    <w:rsid w:val="001514F9"/>
    <w:rsid w:val="004B7F1C"/>
    <w:rsid w:val="007C1DD3"/>
    <w:rsid w:val="00861424"/>
    <w:rsid w:val="00872CEB"/>
    <w:rsid w:val="00A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514F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14F9"/>
    <w:rPr>
      <w:rFonts w:ascii="Times New Roman" w:hAnsi="Times New Roman"/>
      <w:b/>
      <w:bCs/>
      <w:kern w:val="36"/>
      <w:sz w:val="48"/>
      <w:szCs w:val="48"/>
      <w:lang w:eastAsia="es-SV"/>
    </w:rPr>
  </w:style>
  <w:style w:type="paragraph" w:styleId="Prrafodelista">
    <w:name w:val="List Paragraph"/>
    <w:basedOn w:val="Normal"/>
    <w:uiPriority w:val="34"/>
    <w:qFormat/>
    <w:rsid w:val="00872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514F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14F9"/>
    <w:rPr>
      <w:rFonts w:ascii="Times New Roman" w:hAnsi="Times New Roman"/>
      <w:b/>
      <w:bCs/>
      <w:kern w:val="36"/>
      <w:sz w:val="48"/>
      <w:szCs w:val="48"/>
      <w:lang w:eastAsia="es-SV"/>
    </w:rPr>
  </w:style>
  <w:style w:type="paragraph" w:styleId="Prrafodelista">
    <w:name w:val="List Paragraph"/>
    <w:basedOn w:val="Normal"/>
    <w:uiPriority w:val="34"/>
    <w:qFormat/>
    <w:rsid w:val="0087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2018-01-22T15:18:00Z</dcterms:created>
  <dcterms:modified xsi:type="dcterms:W3CDTF">2018-01-22T15:35:00Z</dcterms:modified>
</cp:coreProperties>
</file>