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772" w:rsidRDefault="00315772" w:rsidP="0068533C">
      <w:pPr>
        <w:shd w:val="clear" w:color="auto" w:fill="FFFFFF"/>
        <w:spacing w:after="0" w:line="294" w:lineRule="atLeast"/>
        <w:jc w:val="both"/>
        <w:rPr>
          <w:rFonts w:ascii="Times New Roman" w:eastAsia="Times New Roman" w:hAnsi="Times New Roman" w:cs="Times New Roman"/>
          <w:b/>
          <w:color w:val="333333"/>
          <w:sz w:val="24"/>
          <w:szCs w:val="24"/>
          <w:lang w:eastAsia="es-SV"/>
        </w:rPr>
      </w:pPr>
    </w:p>
    <w:p w:rsidR="00315772" w:rsidRPr="00315772" w:rsidRDefault="00315772" w:rsidP="00315772">
      <w:pPr>
        <w:shd w:val="clear" w:color="auto" w:fill="FFFFFF"/>
        <w:spacing w:after="0" w:line="294" w:lineRule="atLeast"/>
        <w:jc w:val="center"/>
        <w:rPr>
          <w:rFonts w:ascii="Times New Roman" w:eastAsia="Times New Roman" w:hAnsi="Times New Roman" w:cs="Times New Roman"/>
          <w:b/>
          <w:color w:val="333333"/>
          <w:sz w:val="32"/>
          <w:szCs w:val="32"/>
          <w:lang w:eastAsia="es-SV"/>
        </w:rPr>
      </w:pPr>
      <w:r w:rsidRPr="00315772">
        <w:rPr>
          <w:rFonts w:ascii="Times New Roman" w:eastAsia="Times New Roman" w:hAnsi="Times New Roman" w:cs="Times New Roman"/>
          <w:b/>
          <w:color w:val="333333"/>
          <w:sz w:val="32"/>
          <w:szCs w:val="32"/>
          <w:lang w:eastAsia="es-SV"/>
        </w:rPr>
        <w:t>UNIVERSIDAD TECNOLOGICA DE EL SALVADOR</w:t>
      </w:r>
    </w:p>
    <w:p w:rsidR="00315772" w:rsidRPr="00315772" w:rsidRDefault="00315772" w:rsidP="00315772">
      <w:pPr>
        <w:shd w:val="clear" w:color="auto" w:fill="FFFFFF"/>
        <w:spacing w:after="0" w:line="294" w:lineRule="atLeast"/>
        <w:jc w:val="center"/>
        <w:rPr>
          <w:rFonts w:ascii="Times New Roman" w:eastAsia="Times New Roman" w:hAnsi="Times New Roman" w:cs="Times New Roman"/>
          <w:b/>
          <w:color w:val="333333"/>
          <w:sz w:val="32"/>
          <w:szCs w:val="32"/>
          <w:lang w:eastAsia="es-SV"/>
        </w:rPr>
      </w:pPr>
    </w:p>
    <w:p w:rsidR="00315772" w:rsidRDefault="00315772" w:rsidP="00315772">
      <w:pPr>
        <w:shd w:val="clear" w:color="auto" w:fill="FFFFFF"/>
        <w:spacing w:after="0" w:line="294" w:lineRule="atLeast"/>
        <w:jc w:val="center"/>
        <w:rPr>
          <w:rFonts w:ascii="Times New Roman" w:eastAsia="Times New Roman" w:hAnsi="Times New Roman" w:cs="Times New Roman"/>
          <w:b/>
          <w:color w:val="333333"/>
          <w:sz w:val="32"/>
          <w:szCs w:val="32"/>
          <w:lang w:eastAsia="es-SV"/>
        </w:rPr>
      </w:pPr>
      <w:r w:rsidRPr="00315772">
        <w:rPr>
          <w:rFonts w:ascii="Times New Roman" w:eastAsia="Times New Roman" w:hAnsi="Times New Roman" w:cs="Times New Roman"/>
          <w:b/>
          <w:color w:val="333333"/>
          <w:sz w:val="32"/>
          <w:szCs w:val="32"/>
          <w:lang w:eastAsia="es-SV"/>
        </w:rPr>
        <w:t>POSGRADO EN DERECHO CONSTITUCIONAL</w:t>
      </w:r>
    </w:p>
    <w:p w:rsidR="00315772" w:rsidRDefault="00315772" w:rsidP="00315772">
      <w:pPr>
        <w:shd w:val="clear" w:color="auto" w:fill="FFFFFF"/>
        <w:spacing w:after="0" w:line="294" w:lineRule="atLeast"/>
        <w:jc w:val="center"/>
        <w:rPr>
          <w:rFonts w:ascii="Times New Roman" w:eastAsia="Times New Roman" w:hAnsi="Times New Roman" w:cs="Times New Roman"/>
          <w:b/>
          <w:color w:val="333333"/>
          <w:sz w:val="24"/>
          <w:szCs w:val="24"/>
          <w:lang w:eastAsia="es-SV"/>
        </w:rPr>
      </w:pPr>
    </w:p>
    <w:p w:rsidR="00315772" w:rsidRDefault="00315772" w:rsidP="0068533C">
      <w:pPr>
        <w:shd w:val="clear" w:color="auto" w:fill="FFFFFF"/>
        <w:spacing w:after="0" w:line="294" w:lineRule="atLeast"/>
        <w:jc w:val="both"/>
        <w:rPr>
          <w:rFonts w:ascii="Times New Roman" w:eastAsia="Times New Roman" w:hAnsi="Times New Roman" w:cs="Times New Roman"/>
          <w:b/>
          <w:color w:val="333333"/>
          <w:sz w:val="24"/>
          <w:szCs w:val="24"/>
          <w:lang w:eastAsia="es-SV"/>
        </w:rPr>
      </w:pPr>
      <w:r>
        <w:rPr>
          <w:noProof/>
          <w:lang w:eastAsia="es-SV"/>
        </w:rPr>
        <w:drawing>
          <wp:inline distT="0" distB="0" distL="0" distR="0">
            <wp:extent cx="1826001" cy="2200275"/>
            <wp:effectExtent l="0" t="0" r="3175" b="0"/>
            <wp:docPr id="2" name="Imagen 2" descr="U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C"/>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5959" cy="2212274"/>
                    </a:xfrm>
                    <a:prstGeom prst="rect">
                      <a:avLst/>
                    </a:prstGeom>
                    <a:noFill/>
                    <a:ln>
                      <a:noFill/>
                    </a:ln>
                  </pic:spPr>
                </pic:pic>
              </a:graphicData>
            </a:graphic>
          </wp:inline>
        </w:drawing>
      </w:r>
    </w:p>
    <w:p w:rsidR="00315772" w:rsidRPr="00315772" w:rsidRDefault="00315772" w:rsidP="00315772">
      <w:pPr>
        <w:shd w:val="clear" w:color="auto" w:fill="FFFFFF"/>
        <w:spacing w:after="0" w:line="294" w:lineRule="atLeast"/>
        <w:jc w:val="center"/>
        <w:rPr>
          <w:rFonts w:ascii="Times New Roman" w:eastAsia="Times New Roman" w:hAnsi="Times New Roman" w:cs="Times New Roman"/>
          <w:b/>
          <w:color w:val="333333"/>
          <w:szCs w:val="24"/>
          <w:lang w:eastAsia="es-SV"/>
        </w:rPr>
      </w:pPr>
    </w:p>
    <w:p w:rsidR="00315772" w:rsidRDefault="00315772" w:rsidP="0068533C">
      <w:pPr>
        <w:shd w:val="clear" w:color="auto" w:fill="FFFFFF"/>
        <w:spacing w:after="0" w:line="294" w:lineRule="atLeast"/>
        <w:jc w:val="both"/>
        <w:rPr>
          <w:rFonts w:ascii="Times New Roman" w:eastAsia="Times New Roman" w:hAnsi="Times New Roman" w:cs="Times New Roman"/>
          <w:b/>
          <w:color w:val="333333"/>
          <w:sz w:val="24"/>
          <w:szCs w:val="24"/>
          <w:lang w:eastAsia="es-SV"/>
        </w:rPr>
      </w:pPr>
    </w:p>
    <w:p w:rsidR="0068533C" w:rsidRPr="00315772" w:rsidRDefault="0068533C" w:rsidP="0068533C">
      <w:pPr>
        <w:shd w:val="clear" w:color="auto" w:fill="FFFFFF"/>
        <w:spacing w:after="0" w:line="294" w:lineRule="atLeast"/>
        <w:jc w:val="both"/>
        <w:rPr>
          <w:rFonts w:ascii="Times New Roman" w:eastAsia="Times New Roman" w:hAnsi="Times New Roman" w:cs="Times New Roman"/>
          <w:b/>
          <w:color w:val="333333"/>
          <w:sz w:val="32"/>
          <w:szCs w:val="32"/>
          <w:u w:val="single"/>
          <w:lang w:eastAsia="es-SV"/>
        </w:rPr>
      </w:pPr>
      <w:r w:rsidRPr="00315772">
        <w:rPr>
          <w:rFonts w:ascii="Times New Roman" w:eastAsia="Times New Roman" w:hAnsi="Times New Roman" w:cs="Times New Roman"/>
          <w:b/>
          <w:color w:val="333333"/>
          <w:sz w:val="32"/>
          <w:szCs w:val="32"/>
          <w:u w:val="single"/>
          <w:lang w:eastAsia="es-SV"/>
        </w:rPr>
        <w:t>ANÁLISIS DE LA SENTENCIA “CAMPO ALGODONERO” DE LA CORTE INTERAMERICANA DE DERECHOS HUMANOS (CASO MUERTAS DE JUÁREZ).</w:t>
      </w:r>
    </w:p>
    <w:p w:rsidR="00315772" w:rsidRDefault="00315772" w:rsidP="0068533C">
      <w:pPr>
        <w:shd w:val="clear" w:color="auto" w:fill="FFFFFF"/>
        <w:spacing w:after="0" w:line="294" w:lineRule="atLeast"/>
        <w:jc w:val="both"/>
        <w:rPr>
          <w:rFonts w:ascii="Times New Roman" w:eastAsia="Times New Roman" w:hAnsi="Times New Roman" w:cs="Times New Roman"/>
          <w:b/>
          <w:color w:val="333333"/>
          <w:sz w:val="24"/>
          <w:szCs w:val="24"/>
          <w:lang w:eastAsia="es-SV"/>
        </w:rPr>
      </w:pPr>
    </w:p>
    <w:p w:rsidR="00032852" w:rsidRDefault="00032852" w:rsidP="00032852">
      <w:pPr>
        <w:shd w:val="clear" w:color="auto" w:fill="FFFFFF"/>
        <w:spacing w:after="0" w:line="294" w:lineRule="atLeast"/>
        <w:jc w:val="both"/>
        <w:rPr>
          <w:rFonts w:ascii="Times New Roman" w:eastAsia="Times New Roman" w:hAnsi="Times New Roman" w:cs="Times New Roman"/>
          <w:b/>
          <w:color w:val="333333"/>
          <w:sz w:val="24"/>
          <w:szCs w:val="24"/>
          <w:lang w:eastAsia="es-SV"/>
        </w:rPr>
      </w:pPr>
      <w:r>
        <w:rPr>
          <w:rFonts w:ascii="Times New Roman" w:eastAsia="Times New Roman" w:hAnsi="Times New Roman" w:cs="Times New Roman"/>
          <w:b/>
          <w:color w:val="333333"/>
          <w:sz w:val="24"/>
          <w:szCs w:val="24"/>
          <w:lang w:eastAsia="es-SV"/>
        </w:rPr>
        <w:t>Víctimas(s):</w:t>
      </w:r>
      <w:r>
        <w:rPr>
          <w:rFonts w:ascii="Times New Roman" w:eastAsia="Times New Roman" w:hAnsi="Times New Roman" w:cs="Times New Roman"/>
          <w:b/>
          <w:color w:val="333333"/>
          <w:sz w:val="24"/>
          <w:szCs w:val="24"/>
          <w:lang w:eastAsia="es-SV"/>
        </w:rPr>
        <w:tab/>
      </w:r>
    </w:p>
    <w:p w:rsidR="00315772" w:rsidRDefault="00315772" w:rsidP="00032852">
      <w:pPr>
        <w:shd w:val="clear" w:color="auto" w:fill="FFFFFF"/>
        <w:spacing w:after="0" w:line="294" w:lineRule="atLeast"/>
        <w:jc w:val="both"/>
        <w:rPr>
          <w:rFonts w:ascii="Times New Roman" w:eastAsia="Times New Roman" w:hAnsi="Times New Roman" w:cs="Times New Roman"/>
          <w:b/>
          <w:color w:val="333333"/>
          <w:sz w:val="24"/>
          <w:szCs w:val="24"/>
          <w:lang w:eastAsia="es-SV"/>
        </w:rPr>
      </w:pPr>
    </w:p>
    <w:p w:rsidR="00032852" w:rsidRPr="00845B47" w:rsidRDefault="00032852" w:rsidP="00032852">
      <w:pPr>
        <w:shd w:val="clear" w:color="auto" w:fill="FFFFFF"/>
        <w:spacing w:after="0" w:line="294" w:lineRule="atLeast"/>
        <w:jc w:val="both"/>
        <w:rPr>
          <w:rFonts w:ascii="Times New Roman" w:eastAsia="Times New Roman" w:hAnsi="Times New Roman" w:cs="Times New Roman"/>
          <w:b/>
          <w:color w:val="333333"/>
          <w:sz w:val="26"/>
          <w:szCs w:val="26"/>
          <w:u w:val="single"/>
          <w:lang w:eastAsia="es-SV"/>
        </w:rPr>
      </w:pPr>
      <w:r w:rsidRPr="00845B47">
        <w:rPr>
          <w:rFonts w:ascii="Times New Roman" w:eastAsia="Times New Roman" w:hAnsi="Times New Roman" w:cs="Times New Roman"/>
          <w:b/>
          <w:color w:val="333333"/>
          <w:sz w:val="26"/>
          <w:szCs w:val="26"/>
          <w:u w:val="single"/>
          <w:lang w:eastAsia="es-SV"/>
        </w:rPr>
        <w:t>Claudia Ivette Gonzáles, Esmeralda Herrera Monreal, Laura Berenice Ramos Monárrez y sus familiares</w:t>
      </w:r>
      <w:r w:rsidR="00315772" w:rsidRPr="00845B47">
        <w:rPr>
          <w:rFonts w:ascii="Times New Roman" w:eastAsia="Times New Roman" w:hAnsi="Times New Roman" w:cs="Times New Roman"/>
          <w:b/>
          <w:color w:val="333333"/>
          <w:sz w:val="26"/>
          <w:szCs w:val="26"/>
          <w:u w:val="single"/>
          <w:lang w:eastAsia="es-SV"/>
        </w:rPr>
        <w:t>.</w:t>
      </w:r>
    </w:p>
    <w:p w:rsidR="00315772" w:rsidRPr="00315772" w:rsidRDefault="00315772" w:rsidP="00032852">
      <w:pPr>
        <w:shd w:val="clear" w:color="auto" w:fill="FFFFFF"/>
        <w:spacing w:after="0" w:line="294" w:lineRule="atLeast"/>
        <w:jc w:val="both"/>
        <w:rPr>
          <w:rFonts w:ascii="Times New Roman" w:eastAsia="Times New Roman" w:hAnsi="Times New Roman" w:cs="Times New Roman"/>
          <w:b/>
          <w:color w:val="333333"/>
          <w:sz w:val="26"/>
          <w:szCs w:val="26"/>
          <w:u w:val="single"/>
          <w:lang w:eastAsia="es-SV"/>
        </w:rPr>
      </w:pPr>
    </w:p>
    <w:p w:rsidR="00032852" w:rsidRDefault="00032852" w:rsidP="00032852">
      <w:pPr>
        <w:shd w:val="clear" w:color="auto" w:fill="FFFFFF"/>
        <w:spacing w:after="0" w:line="294" w:lineRule="atLeast"/>
        <w:jc w:val="both"/>
        <w:rPr>
          <w:rFonts w:ascii="Times New Roman" w:eastAsia="Times New Roman" w:hAnsi="Times New Roman" w:cs="Times New Roman"/>
          <w:b/>
          <w:color w:val="333333"/>
          <w:sz w:val="24"/>
          <w:szCs w:val="24"/>
          <w:lang w:eastAsia="es-SV"/>
        </w:rPr>
      </w:pPr>
      <w:r w:rsidRPr="00032852">
        <w:rPr>
          <w:rFonts w:ascii="Times New Roman" w:eastAsia="Times New Roman" w:hAnsi="Times New Roman" w:cs="Times New Roman"/>
          <w:b/>
          <w:color w:val="333333"/>
          <w:sz w:val="24"/>
          <w:szCs w:val="24"/>
          <w:lang w:eastAsia="es-SV"/>
        </w:rPr>
        <w:t>Representante(s):</w:t>
      </w:r>
      <w:r w:rsidRPr="00032852">
        <w:rPr>
          <w:rFonts w:ascii="Times New Roman" w:eastAsia="Times New Roman" w:hAnsi="Times New Roman" w:cs="Times New Roman"/>
          <w:b/>
          <w:color w:val="333333"/>
          <w:sz w:val="24"/>
          <w:szCs w:val="24"/>
          <w:lang w:eastAsia="es-SV"/>
        </w:rPr>
        <w:tab/>
      </w:r>
    </w:p>
    <w:p w:rsidR="00315772" w:rsidRPr="00032852" w:rsidRDefault="00315772" w:rsidP="00032852">
      <w:pPr>
        <w:shd w:val="clear" w:color="auto" w:fill="FFFFFF"/>
        <w:spacing w:after="0" w:line="294" w:lineRule="atLeast"/>
        <w:jc w:val="both"/>
        <w:rPr>
          <w:rFonts w:ascii="Times New Roman" w:eastAsia="Times New Roman" w:hAnsi="Times New Roman" w:cs="Times New Roman"/>
          <w:b/>
          <w:color w:val="333333"/>
          <w:sz w:val="24"/>
          <w:szCs w:val="24"/>
          <w:lang w:eastAsia="es-SV"/>
        </w:rPr>
      </w:pPr>
    </w:p>
    <w:p w:rsidR="00032852" w:rsidRPr="00032852" w:rsidRDefault="00032852" w:rsidP="00032852">
      <w:pPr>
        <w:shd w:val="clear" w:color="auto" w:fill="FFFFFF"/>
        <w:spacing w:after="0" w:line="294" w:lineRule="atLeast"/>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color w:val="333333"/>
          <w:sz w:val="24"/>
          <w:szCs w:val="24"/>
          <w:lang w:eastAsia="es-SV"/>
        </w:rPr>
        <w:t xml:space="preserve">- Asociación Nacional de Abogados Democráticos A.C. </w:t>
      </w:r>
    </w:p>
    <w:p w:rsidR="00032852" w:rsidRPr="00032852" w:rsidRDefault="00032852" w:rsidP="00032852">
      <w:pPr>
        <w:shd w:val="clear" w:color="auto" w:fill="FFFFFF"/>
        <w:spacing w:after="0" w:line="294" w:lineRule="atLeast"/>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color w:val="333333"/>
          <w:sz w:val="24"/>
          <w:szCs w:val="24"/>
          <w:lang w:eastAsia="es-SV"/>
        </w:rPr>
        <w:t>- Comité de América Latina y el Caribe para la Defensa de los Derechos de la Mujer</w:t>
      </w:r>
    </w:p>
    <w:p w:rsidR="00032852" w:rsidRPr="00032852" w:rsidRDefault="00032852" w:rsidP="00032852">
      <w:pPr>
        <w:shd w:val="clear" w:color="auto" w:fill="FFFFFF"/>
        <w:spacing w:after="0" w:line="294" w:lineRule="atLeast"/>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color w:val="333333"/>
          <w:sz w:val="24"/>
          <w:szCs w:val="24"/>
          <w:lang w:eastAsia="es-SV"/>
        </w:rPr>
        <w:t xml:space="preserve">- Red Ciudadana de No Violencia y por la Dignidad Humana </w:t>
      </w:r>
    </w:p>
    <w:p w:rsidR="00032852" w:rsidRPr="00032852" w:rsidRDefault="00032852" w:rsidP="00032852">
      <w:pPr>
        <w:shd w:val="clear" w:color="auto" w:fill="FFFFFF"/>
        <w:spacing w:after="0" w:line="294" w:lineRule="atLeast"/>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color w:val="333333"/>
          <w:sz w:val="24"/>
          <w:szCs w:val="24"/>
          <w:lang w:eastAsia="es-SV"/>
        </w:rPr>
        <w:t>- Centro para el Desarrollo Integral de la Mujer A.C.</w:t>
      </w:r>
    </w:p>
    <w:p w:rsidR="00032852" w:rsidRDefault="00032852" w:rsidP="00032852">
      <w:pPr>
        <w:shd w:val="clear" w:color="auto" w:fill="FFFFFF"/>
        <w:spacing w:after="0" w:line="294" w:lineRule="atLeast"/>
        <w:jc w:val="both"/>
        <w:rPr>
          <w:rFonts w:ascii="Times New Roman" w:eastAsia="Times New Roman" w:hAnsi="Times New Roman" w:cs="Times New Roman"/>
          <w:color w:val="333333"/>
          <w:sz w:val="24"/>
          <w:szCs w:val="24"/>
          <w:lang w:eastAsia="es-SV"/>
        </w:rPr>
      </w:pPr>
    </w:p>
    <w:p w:rsidR="00315772" w:rsidRPr="00032852" w:rsidRDefault="00315772" w:rsidP="00032852">
      <w:pPr>
        <w:shd w:val="clear" w:color="auto" w:fill="FFFFFF"/>
        <w:spacing w:after="0" w:line="294" w:lineRule="atLeast"/>
        <w:jc w:val="both"/>
        <w:rPr>
          <w:rFonts w:ascii="Times New Roman" w:eastAsia="Times New Roman" w:hAnsi="Times New Roman" w:cs="Times New Roman"/>
          <w:color w:val="333333"/>
          <w:sz w:val="24"/>
          <w:szCs w:val="24"/>
          <w:lang w:eastAsia="es-SV"/>
        </w:rPr>
      </w:pPr>
    </w:p>
    <w:p w:rsidR="00032852" w:rsidRPr="00845B47" w:rsidRDefault="00032852" w:rsidP="00032852">
      <w:pPr>
        <w:shd w:val="clear" w:color="auto" w:fill="FFFFFF"/>
        <w:spacing w:after="0" w:line="294" w:lineRule="atLeast"/>
        <w:jc w:val="both"/>
        <w:rPr>
          <w:rFonts w:ascii="Times New Roman" w:eastAsia="Times New Roman" w:hAnsi="Times New Roman" w:cs="Times New Roman"/>
          <w:b/>
          <w:color w:val="333333"/>
          <w:sz w:val="26"/>
          <w:szCs w:val="26"/>
          <w:lang w:eastAsia="es-SV"/>
        </w:rPr>
      </w:pPr>
      <w:r w:rsidRPr="00845B47">
        <w:rPr>
          <w:rFonts w:ascii="Times New Roman" w:eastAsia="Times New Roman" w:hAnsi="Times New Roman" w:cs="Times New Roman"/>
          <w:b/>
          <w:color w:val="333333"/>
          <w:sz w:val="26"/>
          <w:szCs w:val="26"/>
          <w:lang w:eastAsia="es-SV"/>
        </w:rPr>
        <w:t>Estado Demandado:</w:t>
      </w:r>
      <w:r w:rsidRPr="00845B47">
        <w:rPr>
          <w:rFonts w:ascii="Times New Roman" w:eastAsia="Times New Roman" w:hAnsi="Times New Roman" w:cs="Times New Roman"/>
          <w:b/>
          <w:color w:val="333333"/>
          <w:sz w:val="26"/>
          <w:szCs w:val="26"/>
          <w:lang w:eastAsia="es-SV"/>
        </w:rPr>
        <w:tab/>
        <w:t>México</w:t>
      </w:r>
    </w:p>
    <w:p w:rsidR="00315772" w:rsidRPr="00032852" w:rsidRDefault="00315772" w:rsidP="00032852">
      <w:pPr>
        <w:shd w:val="clear" w:color="auto" w:fill="FFFFFF"/>
        <w:spacing w:after="0" w:line="294" w:lineRule="atLeast"/>
        <w:jc w:val="both"/>
        <w:rPr>
          <w:rFonts w:ascii="Times New Roman" w:eastAsia="Times New Roman" w:hAnsi="Times New Roman" w:cs="Times New Roman"/>
          <w:b/>
          <w:color w:val="333333"/>
          <w:sz w:val="24"/>
          <w:szCs w:val="24"/>
          <w:lang w:eastAsia="es-SV"/>
        </w:rPr>
      </w:pPr>
    </w:p>
    <w:p w:rsidR="00032852" w:rsidRDefault="00315772" w:rsidP="00845B47">
      <w:pPr>
        <w:shd w:val="clear" w:color="auto" w:fill="FFFFFF"/>
        <w:spacing w:after="0" w:line="360" w:lineRule="auto"/>
        <w:jc w:val="both"/>
        <w:rPr>
          <w:rFonts w:ascii="Times New Roman" w:eastAsia="Times New Roman" w:hAnsi="Times New Roman" w:cs="Times New Roman"/>
          <w:color w:val="333333"/>
          <w:sz w:val="24"/>
          <w:szCs w:val="24"/>
          <w:lang w:eastAsia="es-SV"/>
        </w:rPr>
      </w:pPr>
      <w:r w:rsidRPr="00845B47">
        <w:rPr>
          <w:rFonts w:ascii="Times New Roman" w:eastAsia="Times New Roman" w:hAnsi="Times New Roman" w:cs="Times New Roman"/>
          <w:b/>
          <w:color w:val="333333"/>
          <w:sz w:val="24"/>
          <w:szCs w:val="24"/>
          <w:u w:val="single"/>
          <w:lang w:eastAsia="es-SV"/>
        </w:rPr>
        <w:t>SENTENCIA</w:t>
      </w:r>
      <w:r w:rsidR="00845B47" w:rsidRPr="00845B47">
        <w:rPr>
          <w:rFonts w:ascii="Times New Roman" w:eastAsia="Times New Roman" w:hAnsi="Times New Roman" w:cs="Times New Roman"/>
          <w:b/>
          <w:color w:val="333333"/>
          <w:sz w:val="24"/>
          <w:szCs w:val="24"/>
          <w:u w:val="single"/>
          <w:lang w:eastAsia="es-SV"/>
        </w:rPr>
        <w:t>:</w:t>
      </w:r>
      <w:r w:rsidR="00845B47" w:rsidRPr="00845B47">
        <w:rPr>
          <w:rFonts w:ascii="Times New Roman" w:eastAsia="Times New Roman" w:hAnsi="Times New Roman" w:cs="Times New Roman"/>
          <w:b/>
          <w:color w:val="333333"/>
          <w:sz w:val="24"/>
          <w:szCs w:val="24"/>
          <w:lang w:eastAsia="es-SV"/>
        </w:rPr>
        <w:t xml:space="preserve"> 16 de noviembre de 2009 </w:t>
      </w:r>
      <w:r w:rsidR="00845B47">
        <w:rPr>
          <w:rFonts w:ascii="Times New Roman" w:eastAsia="Times New Roman" w:hAnsi="Times New Roman" w:cs="Times New Roman"/>
          <w:b/>
          <w:color w:val="333333"/>
          <w:sz w:val="24"/>
          <w:szCs w:val="24"/>
          <w:lang w:eastAsia="es-SV"/>
        </w:rPr>
        <w:t xml:space="preserve">pronunciado por la </w:t>
      </w:r>
      <w:r w:rsidR="00845B47" w:rsidRPr="00845B47">
        <w:rPr>
          <w:rFonts w:ascii="Times New Roman" w:eastAsia="Times New Roman" w:hAnsi="Times New Roman" w:cs="Times New Roman"/>
          <w:b/>
          <w:color w:val="333333"/>
          <w:sz w:val="24"/>
          <w:szCs w:val="24"/>
          <w:lang w:eastAsia="es-SV"/>
        </w:rPr>
        <w:t>Corte Interamericana de Derechos Humanos</w:t>
      </w:r>
      <w:r w:rsidR="00845B47" w:rsidRPr="0068533C">
        <w:rPr>
          <w:rFonts w:ascii="Times New Roman" w:eastAsia="Times New Roman" w:hAnsi="Times New Roman" w:cs="Times New Roman"/>
          <w:color w:val="333333"/>
          <w:sz w:val="24"/>
          <w:szCs w:val="24"/>
          <w:lang w:eastAsia="es-SV"/>
        </w:rPr>
        <w:t xml:space="preserve"> (Co.I.D.H)</w:t>
      </w:r>
    </w:p>
    <w:p w:rsidR="00845B47" w:rsidRDefault="00845B47" w:rsidP="00845B47">
      <w:pPr>
        <w:shd w:val="clear" w:color="auto" w:fill="FFFFFF"/>
        <w:spacing w:after="0" w:line="360" w:lineRule="auto"/>
        <w:jc w:val="both"/>
        <w:rPr>
          <w:rFonts w:ascii="Times New Roman" w:eastAsia="Times New Roman" w:hAnsi="Times New Roman" w:cs="Times New Roman"/>
          <w:color w:val="333333"/>
          <w:sz w:val="24"/>
          <w:szCs w:val="24"/>
          <w:lang w:eastAsia="es-SV"/>
        </w:rPr>
      </w:pPr>
    </w:p>
    <w:p w:rsidR="00845B47" w:rsidRDefault="00845B47" w:rsidP="0068533C">
      <w:pPr>
        <w:shd w:val="clear" w:color="auto" w:fill="FFFFFF"/>
        <w:spacing w:after="0" w:line="294" w:lineRule="atLeast"/>
        <w:jc w:val="both"/>
        <w:rPr>
          <w:rFonts w:ascii="Times New Roman" w:eastAsia="Times New Roman" w:hAnsi="Times New Roman" w:cs="Times New Roman"/>
          <w:color w:val="333333"/>
          <w:sz w:val="24"/>
          <w:szCs w:val="24"/>
          <w:lang w:eastAsia="es-SV"/>
        </w:rPr>
      </w:pPr>
    </w:p>
    <w:tbl>
      <w:tblPr>
        <w:tblStyle w:val="Tablaconcuadrcula"/>
        <w:tblW w:w="0" w:type="auto"/>
        <w:tblLook w:val="04A0"/>
      </w:tblPr>
      <w:tblGrid>
        <w:gridCol w:w="2131"/>
        <w:gridCol w:w="6697"/>
      </w:tblGrid>
      <w:tr w:rsidR="00032852" w:rsidTr="009F0BB2">
        <w:tc>
          <w:tcPr>
            <w:tcW w:w="8828" w:type="dxa"/>
            <w:gridSpan w:val="2"/>
          </w:tcPr>
          <w:p w:rsidR="00032852" w:rsidRPr="00315772" w:rsidRDefault="00032852" w:rsidP="00032852">
            <w:pPr>
              <w:spacing w:line="294" w:lineRule="atLeast"/>
              <w:jc w:val="center"/>
              <w:rPr>
                <w:rFonts w:ascii="Times New Roman" w:eastAsia="Times New Roman" w:hAnsi="Times New Roman" w:cs="Times New Roman"/>
                <w:b/>
                <w:bCs/>
                <w:color w:val="000000"/>
                <w:sz w:val="28"/>
                <w:szCs w:val="28"/>
                <w:lang w:eastAsia="es-SV"/>
              </w:rPr>
            </w:pPr>
            <w:r w:rsidRPr="00315772">
              <w:rPr>
                <w:rFonts w:ascii="Times New Roman" w:eastAsia="Times New Roman" w:hAnsi="Times New Roman" w:cs="Times New Roman"/>
                <w:b/>
                <w:bCs/>
                <w:color w:val="000000"/>
                <w:sz w:val="28"/>
                <w:szCs w:val="28"/>
                <w:lang w:eastAsia="es-SV"/>
              </w:rPr>
              <w:lastRenderedPageBreak/>
              <w:t>Derechos violados</w:t>
            </w:r>
          </w:p>
          <w:p w:rsidR="00315772" w:rsidRPr="00032852" w:rsidRDefault="00315772" w:rsidP="00032852">
            <w:pPr>
              <w:spacing w:line="294" w:lineRule="atLeast"/>
              <w:jc w:val="center"/>
              <w:rPr>
                <w:rFonts w:ascii="Times New Roman" w:eastAsia="Times New Roman" w:hAnsi="Times New Roman" w:cs="Times New Roman"/>
                <w:color w:val="333333"/>
                <w:sz w:val="24"/>
                <w:szCs w:val="24"/>
                <w:lang w:eastAsia="es-SV"/>
              </w:rPr>
            </w:pPr>
          </w:p>
        </w:tc>
      </w:tr>
      <w:tr w:rsidR="00032852" w:rsidTr="00032852">
        <w:tc>
          <w:tcPr>
            <w:tcW w:w="2131" w:type="dxa"/>
          </w:tcPr>
          <w:p w:rsidR="00032852" w:rsidRPr="00032852" w:rsidRDefault="00032852" w:rsidP="00032852">
            <w:pPr>
              <w:spacing w:line="294" w:lineRule="atLeast"/>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b/>
                <w:bCs/>
                <w:color w:val="000000"/>
                <w:sz w:val="24"/>
                <w:szCs w:val="24"/>
                <w:lang w:eastAsia="es-SV"/>
              </w:rPr>
              <w:t>Convención Americana:</w:t>
            </w:r>
          </w:p>
        </w:tc>
        <w:tc>
          <w:tcPr>
            <w:tcW w:w="6697" w:type="dxa"/>
            <w:vAlign w:val="center"/>
          </w:tcPr>
          <w:p w:rsidR="00146CD9" w:rsidRDefault="00032852" w:rsidP="00032852">
            <w:pPr>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Artículo 1 (Obligaci</w:t>
            </w:r>
            <w:r w:rsidR="00146CD9">
              <w:rPr>
                <w:rFonts w:ascii="Times New Roman" w:eastAsia="Times New Roman" w:hAnsi="Times New Roman" w:cs="Times New Roman"/>
                <w:color w:val="000000"/>
                <w:sz w:val="24"/>
                <w:szCs w:val="24"/>
                <w:lang w:eastAsia="es-SV"/>
              </w:rPr>
              <w:t xml:space="preserve">ón de respetar los derechos.) </w:t>
            </w:r>
          </w:p>
          <w:p w:rsidR="00146CD9" w:rsidRDefault="00032852" w:rsidP="00032852">
            <w:pPr>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Artículo 11 (D</w:t>
            </w:r>
            <w:r w:rsidR="00146CD9">
              <w:rPr>
                <w:rFonts w:ascii="Times New Roman" w:eastAsia="Times New Roman" w:hAnsi="Times New Roman" w:cs="Times New Roman"/>
                <w:color w:val="000000"/>
                <w:sz w:val="24"/>
                <w:szCs w:val="24"/>
                <w:lang w:eastAsia="es-SV"/>
              </w:rPr>
              <w:t xml:space="preserve">erecho a la honra y dignidad) </w:t>
            </w:r>
          </w:p>
          <w:p w:rsidR="00146CD9" w:rsidRDefault="00146CD9" w:rsidP="00032852">
            <w:pPr>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Artículo 19 (Derecho de niño)</w:t>
            </w:r>
          </w:p>
          <w:p w:rsidR="00146CD9" w:rsidRDefault="00032852" w:rsidP="00032852">
            <w:pPr>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 xml:space="preserve"> Artículo 2 (Deber de adoptar dis</w:t>
            </w:r>
            <w:r w:rsidR="00146CD9">
              <w:rPr>
                <w:rFonts w:ascii="Times New Roman" w:eastAsia="Times New Roman" w:hAnsi="Times New Roman" w:cs="Times New Roman"/>
                <w:color w:val="000000"/>
                <w:sz w:val="24"/>
                <w:szCs w:val="24"/>
                <w:lang w:eastAsia="es-SV"/>
              </w:rPr>
              <w:t xml:space="preserve">posiciones de derecho interno) </w:t>
            </w:r>
            <w:r w:rsidRPr="00032852">
              <w:rPr>
                <w:rFonts w:ascii="Times New Roman" w:eastAsia="Times New Roman" w:hAnsi="Times New Roman" w:cs="Times New Roman"/>
                <w:color w:val="000000"/>
                <w:sz w:val="24"/>
                <w:szCs w:val="24"/>
                <w:lang w:eastAsia="es-SV"/>
              </w:rPr>
              <w:t xml:space="preserve"> Art</w:t>
            </w:r>
            <w:r w:rsidR="00146CD9">
              <w:rPr>
                <w:rFonts w:ascii="Times New Roman" w:eastAsia="Times New Roman" w:hAnsi="Times New Roman" w:cs="Times New Roman"/>
                <w:color w:val="000000"/>
                <w:sz w:val="24"/>
                <w:szCs w:val="24"/>
                <w:lang w:eastAsia="es-SV"/>
              </w:rPr>
              <w:t>ículo 25 (Protección Judicial)</w:t>
            </w:r>
          </w:p>
          <w:p w:rsidR="00146CD9" w:rsidRDefault="00146CD9" w:rsidP="00032852">
            <w:pPr>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Artículo 4 (Derecho a la vida) </w:t>
            </w:r>
          </w:p>
          <w:p w:rsidR="00146CD9" w:rsidRDefault="00032852" w:rsidP="00032852">
            <w:pPr>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Artículo 5 (Der</w:t>
            </w:r>
            <w:r w:rsidR="00146CD9">
              <w:rPr>
                <w:rFonts w:ascii="Times New Roman" w:eastAsia="Times New Roman" w:hAnsi="Times New Roman" w:cs="Times New Roman"/>
                <w:color w:val="000000"/>
                <w:sz w:val="24"/>
                <w:szCs w:val="24"/>
                <w:lang w:eastAsia="es-SV"/>
              </w:rPr>
              <w:t>echo a la Integridad Personal)</w:t>
            </w:r>
          </w:p>
          <w:p w:rsidR="00032852" w:rsidRPr="00032852" w:rsidRDefault="00032852" w:rsidP="00032852">
            <w:pPr>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 xml:space="preserve"> Artículo 8 (Garantías Judiciales)</w:t>
            </w:r>
          </w:p>
        </w:tc>
      </w:tr>
      <w:tr w:rsidR="00032852" w:rsidTr="00032852">
        <w:tc>
          <w:tcPr>
            <w:tcW w:w="2131" w:type="dxa"/>
          </w:tcPr>
          <w:p w:rsidR="00032852" w:rsidRPr="00032852" w:rsidRDefault="00032852" w:rsidP="00032852">
            <w:pPr>
              <w:spacing w:line="294" w:lineRule="atLeast"/>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b/>
                <w:bCs/>
                <w:color w:val="000000"/>
                <w:sz w:val="24"/>
                <w:szCs w:val="24"/>
                <w:lang w:eastAsia="es-SV"/>
              </w:rPr>
              <w:t>Otro(s) tratado(s) interamericano(s):</w:t>
            </w:r>
          </w:p>
        </w:tc>
        <w:tc>
          <w:tcPr>
            <w:tcW w:w="6697" w:type="dxa"/>
          </w:tcPr>
          <w:p w:rsidR="00146CD9" w:rsidRDefault="00032852" w:rsidP="00032852">
            <w:pPr>
              <w:spacing w:line="294" w:lineRule="atLeast"/>
              <w:jc w:val="both"/>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Conve</w:t>
            </w:r>
            <w:r w:rsidR="00710BD0">
              <w:rPr>
                <w:rFonts w:ascii="Times New Roman" w:eastAsia="Times New Roman" w:hAnsi="Times New Roman" w:cs="Times New Roman"/>
                <w:color w:val="000000"/>
                <w:sz w:val="24"/>
                <w:szCs w:val="24"/>
                <w:lang w:eastAsia="es-SV"/>
              </w:rPr>
              <w:t>nción Interamericana para la el</w:t>
            </w:r>
            <w:r w:rsidRPr="00032852">
              <w:rPr>
                <w:rFonts w:ascii="Times New Roman" w:eastAsia="Times New Roman" w:hAnsi="Times New Roman" w:cs="Times New Roman"/>
                <w:color w:val="000000"/>
                <w:sz w:val="24"/>
                <w:szCs w:val="24"/>
                <w:lang w:eastAsia="es-SV"/>
              </w:rPr>
              <w:t>iminación de Todas las Formas de Discriminación contr</w:t>
            </w:r>
            <w:r w:rsidR="00146CD9">
              <w:rPr>
                <w:rFonts w:ascii="Times New Roman" w:eastAsia="Times New Roman" w:hAnsi="Times New Roman" w:cs="Times New Roman"/>
                <w:color w:val="000000"/>
                <w:sz w:val="24"/>
                <w:szCs w:val="24"/>
                <w:lang w:eastAsia="es-SV"/>
              </w:rPr>
              <w:t>a las Personas con Discapacidad.</w:t>
            </w:r>
          </w:p>
          <w:p w:rsidR="00146CD9" w:rsidRDefault="00032852" w:rsidP="00032852">
            <w:pPr>
              <w:spacing w:line="294" w:lineRule="atLeast"/>
              <w:jc w:val="both"/>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Convención Interamericana para Prevenir y Sancionar la Tortura, Convención Interamericana sobre Desaparición Forzada de Personas</w:t>
            </w:r>
            <w:r w:rsidR="00146CD9">
              <w:rPr>
                <w:rFonts w:ascii="Times New Roman" w:eastAsia="Times New Roman" w:hAnsi="Times New Roman" w:cs="Times New Roman"/>
                <w:color w:val="000000"/>
                <w:sz w:val="24"/>
                <w:szCs w:val="24"/>
                <w:lang w:eastAsia="es-SV"/>
              </w:rPr>
              <w:t>.</w:t>
            </w:r>
          </w:p>
          <w:p w:rsidR="00032852" w:rsidRPr="00032852" w:rsidRDefault="00032852" w:rsidP="00032852">
            <w:pPr>
              <w:spacing w:line="294" w:lineRule="atLeast"/>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color w:val="000000"/>
                <w:sz w:val="24"/>
                <w:szCs w:val="24"/>
                <w:lang w:eastAsia="es-SV"/>
              </w:rPr>
              <w:t>Protocolo Adicional a la Convención Americana sobre Derechos Humanos en Materia de Derechos Económicos, Sociales y Culturales ("Protocolo de San Salvador")</w:t>
            </w:r>
            <w:r w:rsidR="00146CD9">
              <w:rPr>
                <w:rFonts w:ascii="Times New Roman" w:eastAsia="Times New Roman" w:hAnsi="Times New Roman" w:cs="Times New Roman"/>
                <w:color w:val="000000"/>
                <w:sz w:val="24"/>
                <w:szCs w:val="24"/>
                <w:lang w:eastAsia="es-SV"/>
              </w:rPr>
              <w:t>.</w:t>
            </w:r>
          </w:p>
        </w:tc>
      </w:tr>
      <w:tr w:rsidR="00032852" w:rsidTr="00032852">
        <w:tc>
          <w:tcPr>
            <w:tcW w:w="2131" w:type="dxa"/>
          </w:tcPr>
          <w:p w:rsidR="00032852" w:rsidRPr="00032852" w:rsidRDefault="00032852" w:rsidP="00032852">
            <w:pPr>
              <w:spacing w:line="294" w:lineRule="atLeast"/>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b/>
                <w:bCs/>
                <w:color w:val="000000"/>
                <w:sz w:val="24"/>
                <w:szCs w:val="24"/>
                <w:lang w:eastAsia="es-SV"/>
              </w:rPr>
              <w:t>Otros Instrumentos:</w:t>
            </w:r>
          </w:p>
        </w:tc>
        <w:tc>
          <w:tcPr>
            <w:tcW w:w="6697" w:type="dxa"/>
          </w:tcPr>
          <w:p w:rsidR="00146CD9" w:rsidRDefault="00032852" w:rsidP="00032852">
            <w:pPr>
              <w:spacing w:line="294" w:lineRule="atLeast"/>
              <w:jc w:val="both"/>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Convención sobre los Dere</w:t>
            </w:r>
            <w:r w:rsidR="00146CD9">
              <w:rPr>
                <w:rFonts w:ascii="Times New Roman" w:eastAsia="Times New Roman" w:hAnsi="Times New Roman" w:cs="Times New Roman"/>
                <w:color w:val="000000"/>
                <w:sz w:val="24"/>
                <w:szCs w:val="24"/>
                <w:lang w:eastAsia="es-SV"/>
              </w:rPr>
              <w:t>chos del Niño – Naciones Unidas.</w:t>
            </w:r>
          </w:p>
          <w:p w:rsidR="00146CD9" w:rsidRDefault="00032852" w:rsidP="00032852">
            <w:pPr>
              <w:spacing w:line="294" w:lineRule="atLeast"/>
              <w:jc w:val="both"/>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Convención de Viena sobre el Derecho de</w:t>
            </w:r>
            <w:r w:rsidR="00146CD9">
              <w:rPr>
                <w:rFonts w:ascii="Times New Roman" w:eastAsia="Times New Roman" w:hAnsi="Times New Roman" w:cs="Times New Roman"/>
                <w:color w:val="000000"/>
                <w:sz w:val="24"/>
                <w:szCs w:val="24"/>
                <w:lang w:eastAsia="es-SV"/>
              </w:rPr>
              <w:t xml:space="preserve"> los Tratados – Naciones Unidas.</w:t>
            </w:r>
          </w:p>
          <w:p w:rsidR="00146CD9" w:rsidRDefault="00032852" w:rsidP="00032852">
            <w:pPr>
              <w:spacing w:line="294" w:lineRule="atLeast"/>
              <w:jc w:val="both"/>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Convención sobre la eliminación de todas las formas de discriminación co</w:t>
            </w:r>
            <w:r w:rsidR="00146CD9">
              <w:rPr>
                <w:rFonts w:ascii="Times New Roman" w:eastAsia="Times New Roman" w:hAnsi="Times New Roman" w:cs="Times New Roman"/>
                <w:color w:val="000000"/>
                <w:sz w:val="24"/>
                <w:szCs w:val="24"/>
                <w:lang w:eastAsia="es-SV"/>
              </w:rPr>
              <w:t>ntra la mujer – Naciones Unidas.</w:t>
            </w:r>
          </w:p>
          <w:p w:rsidR="00146CD9" w:rsidRDefault="00032852" w:rsidP="00032852">
            <w:pPr>
              <w:spacing w:line="294" w:lineRule="atLeast"/>
              <w:jc w:val="both"/>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Declaración sobre la Protección de Todas las Personas contra las Desaparici</w:t>
            </w:r>
            <w:r w:rsidR="00146CD9">
              <w:rPr>
                <w:rFonts w:ascii="Times New Roman" w:eastAsia="Times New Roman" w:hAnsi="Times New Roman" w:cs="Times New Roman"/>
                <w:color w:val="000000"/>
                <w:sz w:val="24"/>
                <w:szCs w:val="24"/>
                <w:lang w:eastAsia="es-SV"/>
              </w:rPr>
              <w:t>ones Forzadas – Naciones Unidas.</w:t>
            </w:r>
          </w:p>
          <w:p w:rsidR="00146CD9" w:rsidRDefault="00032852" w:rsidP="00032852">
            <w:pPr>
              <w:spacing w:line="294" w:lineRule="atLeast"/>
              <w:jc w:val="both"/>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Manual para la investigación y documentación eficaces de la tortura</w:t>
            </w:r>
            <w:r w:rsidR="00146CD9">
              <w:rPr>
                <w:rFonts w:ascii="Times New Roman" w:eastAsia="Times New Roman" w:hAnsi="Times New Roman" w:cs="Times New Roman"/>
                <w:color w:val="000000"/>
                <w:sz w:val="24"/>
                <w:szCs w:val="24"/>
                <w:lang w:eastAsia="es-SV"/>
              </w:rPr>
              <w:t xml:space="preserve"> y otros tratos o penas crueles </w:t>
            </w:r>
            <w:r w:rsidRPr="00032852">
              <w:rPr>
                <w:rFonts w:ascii="Times New Roman" w:eastAsia="Times New Roman" w:hAnsi="Times New Roman" w:cs="Times New Roman"/>
                <w:color w:val="000000"/>
                <w:sz w:val="24"/>
                <w:szCs w:val="24"/>
                <w:lang w:eastAsia="es-SV"/>
              </w:rPr>
              <w:t xml:space="preserve">inhumanos o degradantes ("Protocolo </w:t>
            </w:r>
            <w:r w:rsidR="00146CD9">
              <w:rPr>
                <w:rFonts w:ascii="Times New Roman" w:eastAsia="Times New Roman" w:hAnsi="Times New Roman" w:cs="Times New Roman"/>
                <w:color w:val="000000"/>
                <w:sz w:val="24"/>
                <w:szCs w:val="24"/>
                <w:lang w:eastAsia="es-SV"/>
              </w:rPr>
              <w:t>de Estambul") – Naciones Unidas.</w:t>
            </w:r>
          </w:p>
          <w:p w:rsidR="00032852" w:rsidRPr="00146CD9" w:rsidRDefault="00032852" w:rsidP="00032852">
            <w:pPr>
              <w:spacing w:line="294" w:lineRule="atLeast"/>
              <w:jc w:val="both"/>
              <w:rPr>
                <w:rFonts w:ascii="Times New Roman" w:eastAsia="Times New Roman" w:hAnsi="Times New Roman" w:cs="Times New Roman"/>
                <w:color w:val="000000"/>
                <w:sz w:val="24"/>
                <w:szCs w:val="24"/>
                <w:lang w:eastAsia="es-SV"/>
              </w:rPr>
            </w:pPr>
            <w:r w:rsidRPr="00032852">
              <w:rPr>
                <w:rFonts w:ascii="Times New Roman" w:eastAsia="Times New Roman" w:hAnsi="Times New Roman" w:cs="Times New Roman"/>
                <w:color w:val="000000"/>
                <w:sz w:val="24"/>
                <w:szCs w:val="24"/>
                <w:lang w:eastAsia="es-SV"/>
              </w:rPr>
              <w:t>Manual sobre la Prevención e Investigación Eficaces de las Ejecuciones Extrajudiciales, Arbitrarias y Sumarias ("Protocolo de Minnesota") – Naciones Unidas</w:t>
            </w:r>
            <w:r w:rsidR="00146CD9">
              <w:rPr>
                <w:rFonts w:ascii="Times New Roman" w:eastAsia="Times New Roman" w:hAnsi="Times New Roman" w:cs="Times New Roman"/>
                <w:color w:val="000000"/>
                <w:sz w:val="24"/>
                <w:szCs w:val="24"/>
                <w:lang w:eastAsia="es-SV"/>
              </w:rPr>
              <w:t>.</w:t>
            </w:r>
          </w:p>
        </w:tc>
      </w:tr>
    </w:tbl>
    <w:p w:rsidR="00032852" w:rsidRDefault="00032852" w:rsidP="0068533C">
      <w:pPr>
        <w:shd w:val="clear" w:color="auto" w:fill="FFFFFF"/>
        <w:spacing w:after="0" w:line="294" w:lineRule="atLeast"/>
        <w:jc w:val="both"/>
        <w:rPr>
          <w:rFonts w:ascii="Times New Roman" w:eastAsia="Times New Roman" w:hAnsi="Times New Roman" w:cs="Times New Roman"/>
          <w:color w:val="333333"/>
          <w:sz w:val="24"/>
          <w:szCs w:val="24"/>
          <w:lang w:eastAsia="es-SV"/>
        </w:rPr>
      </w:pPr>
    </w:p>
    <w:p w:rsidR="00032852" w:rsidRPr="0068533C" w:rsidRDefault="0031577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Pr>
          <w:rFonts w:ascii="Times New Roman" w:eastAsia="Times New Roman" w:hAnsi="Times New Roman" w:cs="Times New Roman"/>
          <w:color w:val="333333"/>
          <w:sz w:val="24"/>
          <w:szCs w:val="24"/>
          <w:lang w:eastAsia="es-SV"/>
        </w:rPr>
        <w:tab/>
      </w:r>
      <w:r w:rsidRPr="0068533C">
        <w:rPr>
          <w:rFonts w:ascii="Times New Roman" w:eastAsia="Times New Roman" w:hAnsi="Times New Roman" w:cs="Times New Roman"/>
          <w:color w:val="333333"/>
          <w:sz w:val="24"/>
          <w:szCs w:val="24"/>
          <w:lang w:eastAsia="es-SV"/>
        </w:rPr>
        <w:t xml:space="preserve">El caso del “Campo Algodonero” provocó una fuerte reacción en la sociedad, al presentar ante el público la negligencia de la autoridad correspondiente, al hacer caso omiso en las denuncias presentadas por la desaparición de las víctimas y actuar de forma irresponsable en la integración de la investigación desde sus inicios, aún más cuando la propia autoridad reconoció su error y dejó pasar un tiempo invaluable para la recolección de pruebas y evidencias importantísimas para el esclarecimiento del hecho. </w:t>
      </w:r>
    </w:p>
    <w:p w:rsidR="0068533C" w:rsidRPr="0068533C"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Pr>
          <w:rFonts w:ascii="Times New Roman" w:eastAsia="Times New Roman" w:hAnsi="Times New Roman" w:cs="Times New Roman"/>
          <w:color w:val="333333"/>
          <w:sz w:val="24"/>
          <w:szCs w:val="24"/>
          <w:lang w:eastAsia="es-SV"/>
        </w:rPr>
        <w:tab/>
      </w:r>
      <w:r w:rsidR="0068533C" w:rsidRPr="0068533C">
        <w:rPr>
          <w:rFonts w:ascii="Times New Roman" w:eastAsia="Times New Roman" w:hAnsi="Times New Roman" w:cs="Times New Roman"/>
          <w:color w:val="333333"/>
          <w:sz w:val="24"/>
          <w:szCs w:val="24"/>
          <w:lang w:eastAsia="es-SV"/>
        </w:rPr>
        <w:t>El 16 de noviembre de 2009 la Corte Interamericana de Derechos Humanos (Co.I.D.H) emitió sentencia sobre este caso.</w:t>
      </w:r>
    </w:p>
    <w:p w:rsidR="0068533C" w:rsidRPr="0068533C"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Pr>
          <w:rFonts w:ascii="Times New Roman" w:eastAsia="Times New Roman" w:hAnsi="Times New Roman" w:cs="Times New Roman"/>
          <w:color w:val="333333"/>
          <w:sz w:val="24"/>
          <w:szCs w:val="24"/>
          <w:lang w:eastAsia="es-SV"/>
        </w:rPr>
        <w:tab/>
      </w:r>
      <w:r w:rsidR="0068533C" w:rsidRPr="0068533C">
        <w:rPr>
          <w:rFonts w:ascii="Times New Roman" w:eastAsia="Times New Roman" w:hAnsi="Times New Roman" w:cs="Times New Roman"/>
          <w:color w:val="333333"/>
          <w:sz w:val="24"/>
          <w:szCs w:val="24"/>
          <w:lang w:eastAsia="es-SV"/>
        </w:rPr>
        <w:t xml:space="preserve">El asunto se centra en la desaparición y ulterior muerte de las jóvenes Claudia Ivette González, Esmeralda Herrera Monreal y Laura Berenice Ramos Monárrez, cuyos cuerpos </w:t>
      </w:r>
      <w:r w:rsidR="0068533C" w:rsidRPr="0068533C">
        <w:rPr>
          <w:rFonts w:ascii="Times New Roman" w:eastAsia="Times New Roman" w:hAnsi="Times New Roman" w:cs="Times New Roman"/>
          <w:color w:val="333333"/>
          <w:sz w:val="24"/>
          <w:szCs w:val="24"/>
          <w:lang w:eastAsia="es-SV"/>
        </w:rPr>
        <w:lastRenderedPageBreak/>
        <w:t xml:space="preserve">fueron encontrados en un campo algodonero en Ciudad Juárez, Chihuahua el día 6 de noviembre de 2001. </w:t>
      </w:r>
      <w:r w:rsidR="0068533C" w:rsidRPr="00146CD9">
        <w:rPr>
          <w:rFonts w:ascii="Times New Roman" w:eastAsia="Times New Roman" w:hAnsi="Times New Roman" w:cs="Times New Roman"/>
          <w:color w:val="333333"/>
          <w:sz w:val="24"/>
          <w:szCs w:val="24"/>
          <w:u w:val="single"/>
          <w:lang w:eastAsia="es-SV"/>
        </w:rPr>
        <w:t>La Comisión Interamericana de Derechos Humanos (CIDH) refirió ante la Co.I.D.H la responsabilidad internacional del Estado mexicano por la falta de medidas de protección a las víctimas</w:t>
      </w:r>
      <w:r w:rsidR="0068533C" w:rsidRPr="0068533C">
        <w:rPr>
          <w:rFonts w:ascii="Times New Roman" w:eastAsia="Times New Roman" w:hAnsi="Times New Roman" w:cs="Times New Roman"/>
          <w:color w:val="333333"/>
          <w:sz w:val="24"/>
          <w:szCs w:val="24"/>
          <w:lang w:eastAsia="es-SV"/>
        </w:rPr>
        <w:t xml:space="preserve">; </w:t>
      </w:r>
      <w:r w:rsidR="0068533C" w:rsidRPr="00146CD9">
        <w:rPr>
          <w:rFonts w:ascii="Times New Roman" w:eastAsia="Times New Roman" w:hAnsi="Times New Roman" w:cs="Times New Roman"/>
          <w:color w:val="333333"/>
          <w:sz w:val="24"/>
          <w:szCs w:val="24"/>
          <w:u w:val="single"/>
          <w:lang w:eastAsia="es-SV"/>
        </w:rPr>
        <w:t>la falta de prevención de estos crímenes, pese al conocimiento de la existencia de un patrón de violencia de género en la zona</w:t>
      </w:r>
      <w:r w:rsidR="0068533C" w:rsidRPr="0068533C">
        <w:rPr>
          <w:rFonts w:ascii="Times New Roman" w:eastAsia="Times New Roman" w:hAnsi="Times New Roman" w:cs="Times New Roman"/>
          <w:color w:val="333333"/>
          <w:sz w:val="24"/>
          <w:szCs w:val="24"/>
          <w:lang w:eastAsia="es-SV"/>
        </w:rPr>
        <w:t xml:space="preserve">; </w:t>
      </w:r>
      <w:r w:rsidR="0068533C" w:rsidRPr="00146CD9">
        <w:rPr>
          <w:rFonts w:ascii="Times New Roman" w:eastAsia="Times New Roman" w:hAnsi="Times New Roman" w:cs="Times New Roman"/>
          <w:color w:val="333333"/>
          <w:sz w:val="24"/>
          <w:szCs w:val="24"/>
          <w:u w:val="single"/>
          <w:lang w:eastAsia="es-SV"/>
        </w:rPr>
        <w:t>la falta de respuesta de las autoridades frente a la desaparición; la falta de debida diligencia en la investigación de los asesinatos</w:t>
      </w:r>
      <w:r w:rsidR="0068533C" w:rsidRPr="0068533C">
        <w:rPr>
          <w:rFonts w:ascii="Times New Roman" w:eastAsia="Times New Roman" w:hAnsi="Times New Roman" w:cs="Times New Roman"/>
          <w:color w:val="333333"/>
          <w:sz w:val="24"/>
          <w:szCs w:val="24"/>
          <w:lang w:eastAsia="es-SV"/>
        </w:rPr>
        <w:t xml:space="preserve">; </w:t>
      </w:r>
      <w:r w:rsidR="0068533C" w:rsidRPr="00146CD9">
        <w:rPr>
          <w:rFonts w:ascii="Times New Roman" w:eastAsia="Times New Roman" w:hAnsi="Times New Roman" w:cs="Times New Roman"/>
          <w:color w:val="333333"/>
          <w:sz w:val="24"/>
          <w:szCs w:val="24"/>
          <w:u w:val="single"/>
          <w:lang w:eastAsia="es-SV"/>
        </w:rPr>
        <w:t>la denegación de justicia y la falta de reparación adecuada</w:t>
      </w:r>
      <w:r w:rsidR="0068533C" w:rsidRPr="0068533C">
        <w:rPr>
          <w:rFonts w:ascii="Times New Roman" w:eastAsia="Times New Roman" w:hAnsi="Times New Roman" w:cs="Times New Roman"/>
          <w:color w:val="333333"/>
          <w:sz w:val="24"/>
          <w:szCs w:val="24"/>
          <w:lang w:eastAsia="es-SV"/>
        </w:rPr>
        <w:t>.</w:t>
      </w:r>
    </w:p>
    <w:p w:rsidR="0068533C" w:rsidRPr="0068533C"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Pr>
          <w:rFonts w:ascii="Times New Roman" w:eastAsia="Times New Roman" w:hAnsi="Times New Roman" w:cs="Times New Roman"/>
          <w:color w:val="333333"/>
          <w:sz w:val="24"/>
          <w:szCs w:val="24"/>
          <w:lang w:eastAsia="es-SV"/>
        </w:rPr>
        <w:tab/>
      </w:r>
      <w:r w:rsidR="0068533C" w:rsidRPr="0068533C">
        <w:rPr>
          <w:rFonts w:ascii="Times New Roman" w:eastAsia="Times New Roman" w:hAnsi="Times New Roman" w:cs="Times New Roman"/>
          <w:color w:val="333333"/>
          <w:sz w:val="24"/>
          <w:szCs w:val="24"/>
          <w:lang w:eastAsia="es-SV"/>
        </w:rPr>
        <w:t xml:space="preserve">Así mismo, la C.I.D.H. solicitó a la </w:t>
      </w:r>
      <w:proofErr w:type="spellStart"/>
      <w:r w:rsidR="0068533C" w:rsidRPr="0068533C">
        <w:rPr>
          <w:rFonts w:ascii="Times New Roman" w:eastAsia="Times New Roman" w:hAnsi="Times New Roman" w:cs="Times New Roman"/>
          <w:color w:val="333333"/>
          <w:sz w:val="24"/>
          <w:szCs w:val="24"/>
          <w:lang w:eastAsia="es-SV"/>
        </w:rPr>
        <w:t>C.o.I.D.H</w:t>
      </w:r>
      <w:proofErr w:type="spellEnd"/>
      <w:r w:rsidR="0068533C" w:rsidRPr="0068533C">
        <w:rPr>
          <w:rFonts w:ascii="Times New Roman" w:eastAsia="Times New Roman" w:hAnsi="Times New Roman" w:cs="Times New Roman"/>
          <w:color w:val="333333"/>
          <w:sz w:val="24"/>
          <w:szCs w:val="24"/>
          <w:lang w:eastAsia="es-SV"/>
        </w:rPr>
        <w:t xml:space="preserve"> que declarara </w:t>
      </w:r>
      <w:r w:rsidR="0068533C" w:rsidRPr="00146CD9">
        <w:rPr>
          <w:rFonts w:ascii="Times New Roman" w:eastAsia="Times New Roman" w:hAnsi="Times New Roman" w:cs="Times New Roman"/>
          <w:b/>
          <w:color w:val="333333"/>
          <w:sz w:val="24"/>
          <w:szCs w:val="24"/>
          <w:lang w:eastAsia="es-SV"/>
        </w:rPr>
        <w:t>la responsabilidad internacional del Estado mexicano por el incumplimiento de las obligaciones establecidas en el artículo 7 de la Convención Interamericana para prevenir, sancionar y erradicar la violencia contra la mujer</w:t>
      </w:r>
      <w:r w:rsidR="0068533C" w:rsidRPr="0068533C">
        <w:rPr>
          <w:rFonts w:ascii="Times New Roman" w:eastAsia="Times New Roman" w:hAnsi="Times New Roman" w:cs="Times New Roman"/>
          <w:color w:val="333333"/>
          <w:sz w:val="24"/>
          <w:szCs w:val="24"/>
          <w:lang w:eastAsia="es-SV"/>
        </w:rPr>
        <w:t>. Por su parte, las y los representantes de las víctimas, alegaron la violencia de otros derechos establecidos en la C.A.D.H. a saber: el derecho a la libertad personal y a la protección de la honra y la dignidad, y las obligaciones establecidas en los artículos 8 (obligaciones “progresivas” relacionadas con la prevención y protección) y del artículo 9 de la Convención de Belém do Pará </w:t>
      </w:r>
      <w:r w:rsidR="0068533C" w:rsidRPr="0068533C">
        <w:rPr>
          <w:rFonts w:ascii="Times New Roman" w:eastAsia="Times New Roman" w:hAnsi="Times New Roman" w:cs="Times New Roman"/>
          <w:i/>
          <w:iCs/>
          <w:color w:val="333333"/>
          <w:sz w:val="24"/>
          <w:szCs w:val="24"/>
          <w:lang w:eastAsia="es-SV"/>
        </w:rPr>
        <w:t>(</w:t>
      </w:r>
      <w:r w:rsidR="00315772">
        <w:rPr>
          <w:rFonts w:ascii="Times New Roman" w:eastAsia="Times New Roman" w:hAnsi="Times New Roman" w:cs="Times New Roman"/>
          <w:i/>
          <w:iCs/>
          <w:color w:val="333333"/>
          <w:sz w:val="24"/>
          <w:szCs w:val="24"/>
          <w:lang w:eastAsia="es-SV"/>
        </w:rPr>
        <w:t xml:space="preserve">la cual </w:t>
      </w:r>
      <w:r w:rsidR="0068533C" w:rsidRPr="0068533C">
        <w:rPr>
          <w:rFonts w:ascii="Times New Roman" w:eastAsia="Times New Roman" w:hAnsi="Times New Roman" w:cs="Times New Roman"/>
          <w:i/>
          <w:iCs/>
          <w:color w:val="333333"/>
          <w:sz w:val="24"/>
          <w:szCs w:val="24"/>
          <w:lang w:eastAsia="es-SV"/>
        </w:rPr>
        <w:t>tiene el propósito de proteger los derechos humanos de las mujeres y eliminar las situaciones de violencia que puedan afectarlas, ya que toda mujer tiene derecho a una vida libre de violencia, tanto en el ámbito público como en el privado).</w:t>
      </w:r>
    </w:p>
    <w:p w:rsidR="0068533C" w:rsidRPr="00315772" w:rsidRDefault="00032852" w:rsidP="00710BD0">
      <w:pPr>
        <w:shd w:val="clear" w:color="auto" w:fill="FFFFFF"/>
        <w:spacing w:after="0" w:line="360" w:lineRule="auto"/>
        <w:jc w:val="both"/>
        <w:rPr>
          <w:rFonts w:ascii="Times New Roman" w:eastAsia="Times New Roman" w:hAnsi="Times New Roman" w:cs="Times New Roman"/>
          <w:b/>
          <w:color w:val="333333"/>
          <w:sz w:val="24"/>
          <w:szCs w:val="24"/>
          <w:u w:val="single"/>
          <w:lang w:eastAsia="es-SV"/>
        </w:rPr>
      </w:pPr>
      <w:r>
        <w:rPr>
          <w:rFonts w:ascii="Times New Roman" w:eastAsia="Times New Roman" w:hAnsi="Times New Roman" w:cs="Times New Roman"/>
          <w:color w:val="333333"/>
          <w:sz w:val="24"/>
          <w:szCs w:val="24"/>
          <w:lang w:eastAsia="es-SV"/>
        </w:rPr>
        <w:tab/>
      </w:r>
      <w:r w:rsidR="0068533C" w:rsidRPr="00315772">
        <w:rPr>
          <w:rFonts w:ascii="Times New Roman" w:eastAsia="Times New Roman" w:hAnsi="Times New Roman" w:cs="Times New Roman"/>
          <w:b/>
          <w:color w:val="333333"/>
          <w:sz w:val="24"/>
          <w:szCs w:val="24"/>
          <w:u w:val="single"/>
          <w:lang w:eastAsia="es-SV"/>
        </w:rPr>
        <w:t>México reconoce haber cometido errores en la primera etapa  del procedimiento de la investigación, los cuales corrigió en su momento, por lo tanto consideraba que no era responsable de la violación a los derechos a la vida, a la integridad personal, a la libertad personal a la honra y a la dignidad, y los derechos de la niñez en perjuicio de las tres víctimas, por lo que solicitó a la Co.I.D.H que declarara que había cumplido con su deber de prevención, investigación y reparación en relación con los derechos a la vida y a la integridad personal.</w:t>
      </w:r>
    </w:p>
    <w:p w:rsidR="0068533C" w:rsidRPr="00315772" w:rsidRDefault="00032852" w:rsidP="00710BD0">
      <w:pPr>
        <w:shd w:val="clear" w:color="auto" w:fill="FFFFFF"/>
        <w:spacing w:after="0" w:line="360" w:lineRule="auto"/>
        <w:jc w:val="both"/>
        <w:rPr>
          <w:rFonts w:ascii="Times New Roman" w:eastAsia="Times New Roman" w:hAnsi="Times New Roman" w:cs="Times New Roman"/>
          <w:b/>
          <w:color w:val="333333"/>
          <w:sz w:val="24"/>
          <w:szCs w:val="24"/>
          <w:u w:val="single"/>
          <w:lang w:eastAsia="es-SV"/>
        </w:rPr>
      </w:pPr>
      <w:r>
        <w:rPr>
          <w:rFonts w:ascii="Times New Roman" w:eastAsia="Times New Roman" w:hAnsi="Times New Roman" w:cs="Times New Roman"/>
          <w:color w:val="333333"/>
          <w:sz w:val="24"/>
          <w:szCs w:val="24"/>
          <w:lang w:eastAsia="es-SV"/>
        </w:rPr>
        <w:tab/>
      </w:r>
      <w:r w:rsidR="0068533C" w:rsidRPr="0068533C">
        <w:rPr>
          <w:rFonts w:ascii="Times New Roman" w:eastAsia="Times New Roman" w:hAnsi="Times New Roman" w:cs="Times New Roman"/>
          <w:color w:val="333333"/>
          <w:sz w:val="24"/>
          <w:szCs w:val="24"/>
          <w:lang w:eastAsia="es-SV"/>
        </w:rPr>
        <w:t xml:space="preserve">Con respecto a la violencia que existe en Ciudad Juárez, hay datos que reflejan un alto índice de muertes de mujeres con violencia sexual (aproximadamente de 379 mujeres hasta el 2005). </w:t>
      </w:r>
      <w:r w:rsidR="0068533C" w:rsidRPr="00315772">
        <w:rPr>
          <w:rFonts w:ascii="Times New Roman" w:eastAsia="Times New Roman" w:hAnsi="Times New Roman" w:cs="Times New Roman"/>
          <w:b/>
          <w:color w:val="333333"/>
          <w:sz w:val="24"/>
          <w:szCs w:val="24"/>
          <w:u w:val="single"/>
          <w:lang w:eastAsia="es-SV"/>
        </w:rPr>
        <w:t>El Estado mexicano acepta que estos asesinatos eran influenciados por una cultura de discriminación contra la mujer</w:t>
      </w:r>
      <w:r w:rsidR="0068533C" w:rsidRPr="0068533C">
        <w:rPr>
          <w:rFonts w:ascii="Times New Roman" w:eastAsia="Times New Roman" w:hAnsi="Times New Roman" w:cs="Times New Roman"/>
          <w:color w:val="333333"/>
          <w:sz w:val="24"/>
          <w:szCs w:val="24"/>
          <w:lang w:eastAsia="es-SV"/>
        </w:rPr>
        <w:t xml:space="preserve">. La ineficiencia e indiferencia por parte de las autoridades estatales con la investigación de dichos crímenes hizo persistir en la violencia contra la mujer y consecuentemente que la mayoría de los crímenes no se hayan resuelto. Así como también se entiende como un mensaje subliminal enviado a la sociedad </w:t>
      </w:r>
      <w:r w:rsidR="0068533C" w:rsidRPr="0068533C">
        <w:rPr>
          <w:rFonts w:ascii="Times New Roman" w:eastAsia="Times New Roman" w:hAnsi="Times New Roman" w:cs="Times New Roman"/>
          <w:color w:val="333333"/>
          <w:sz w:val="24"/>
          <w:szCs w:val="24"/>
          <w:lang w:eastAsia="es-SV"/>
        </w:rPr>
        <w:lastRenderedPageBreak/>
        <w:t>de que la violencia contra la mujer es tolerada en esa entidad, lo que permite la perpetuidad y aceptación social de ese hecho y genera un gran sentimiento de desconfianza de las mujeres en el sistema de administración de justicia. Se actualizó en Ciudad Juárez el homicidio de la mujer por razones de género también conocido como </w:t>
      </w:r>
      <w:proofErr w:type="spellStart"/>
      <w:r w:rsidRPr="00315772">
        <w:rPr>
          <w:rFonts w:ascii="Times New Roman" w:eastAsia="Times New Roman" w:hAnsi="Times New Roman" w:cs="Times New Roman"/>
          <w:b/>
          <w:i/>
          <w:iCs/>
          <w:color w:val="333333"/>
          <w:sz w:val="24"/>
          <w:szCs w:val="24"/>
          <w:u w:val="single"/>
          <w:lang w:eastAsia="es-SV"/>
        </w:rPr>
        <w:t>feme</w:t>
      </w:r>
      <w:r w:rsidR="0068533C" w:rsidRPr="00315772">
        <w:rPr>
          <w:rFonts w:ascii="Times New Roman" w:eastAsia="Times New Roman" w:hAnsi="Times New Roman" w:cs="Times New Roman"/>
          <w:b/>
          <w:i/>
          <w:iCs/>
          <w:color w:val="333333"/>
          <w:sz w:val="24"/>
          <w:szCs w:val="24"/>
          <w:u w:val="single"/>
          <w:lang w:eastAsia="es-SV"/>
        </w:rPr>
        <w:t>nicidio</w:t>
      </w:r>
      <w:proofErr w:type="spellEnd"/>
      <w:r w:rsidR="0068533C" w:rsidRPr="00315772">
        <w:rPr>
          <w:rFonts w:ascii="Times New Roman" w:eastAsia="Times New Roman" w:hAnsi="Times New Roman" w:cs="Times New Roman"/>
          <w:b/>
          <w:i/>
          <w:iCs/>
          <w:color w:val="333333"/>
          <w:sz w:val="24"/>
          <w:szCs w:val="24"/>
          <w:u w:val="single"/>
          <w:lang w:eastAsia="es-SV"/>
        </w:rPr>
        <w:t>.</w:t>
      </w:r>
    </w:p>
    <w:p w:rsidR="00710BD0" w:rsidRPr="00315772" w:rsidRDefault="00032852" w:rsidP="00710BD0">
      <w:pPr>
        <w:shd w:val="clear" w:color="auto" w:fill="FFFFFF"/>
        <w:spacing w:after="0" w:line="360" w:lineRule="auto"/>
        <w:jc w:val="both"/>
        <w:rPr>
          <w:rFonts w:ascii="Times New Roman" w:eastAsia="Times New Roman" w:hAnsi="Times New Roman" w:cs="Times New Roman"/>
          <w:b/>
          <w:color w:val="333333"/>
          <w:sz w:val="24"/>
          <w:szCs w:val="24"/>
          <w:u w:val="single"/>
          <w:lang w:eastAsia="es-SV"/>
        </w:rPr>
      </w:pPr>
      <w:r>
        <w:rPr>
          <w:rFonts w:ascii="Times New Roman" w:eastAsia="Times New Roman" w:hAnsi="Times New Roman" w:cs="Times New Roman"/>
          <w:color w:val="333333"/>
          <w:sz w:val="24"/>
          <w:szCs w:val="24"/>
          <w:lang w:eastAsia="es-SV"/>
        </w:rPr>
        <w:tab/>
      </w:r>
      <w:r w:rsidR="0068533C" w:rsidRPr="00315772">
        <w:rPr>
          <w:rFonts w:ascii="Times New Roman" w:eastAsia="Times New Roman" w:hAnsi="Times New Roman" w:cs="Times New Roman"/>
          <w:b/>
          <w:color w:val="333333"/>
          <w:sz w:val="24"/>
          <w:szCs w:val="24"/>
          <w:u w:val="single"/>
          <w:lang w:eastAsia="es-SV"/>
        </w:rPr>
        <w:t>Después de examinar el expediente, la Corte</w:t>
      </w:r>
      <w:r w:rsidR="0068533C" w:rsidRPr="0068533C">
        <w:rPr>
          <w:rFonts w:ascii="Times New Roman" w:eastAsia="Times New Roman" w:hAnsi="Times New Roman" w:cs="Times New Roman"/>
          <w:color w:val="333333"/>
          <w:sz w:val="24"/>
          <w:szCs w:val="24"/>
          <w:lang w:eastAsia="es-SV"/>
        </w:rPr>
        <w:t>, tomando en cuenta lo establecido en la Convención Americana de Derechos Humanos (CADH), la Convención de Belém do Pará y la Convención sobre Eliminación de todas las Formas de Discriminación contra la Mujer (CEDAW), instrumentos que complementan el </w:t>
      </w:r>
      <w:r w:rsidR="0068533C" w:rsidRPr="0068533C">
        <w:rPr>
          <w:rFonts w:ascii="Times New Roman" w:eastAsia="Times New Roman" w:hAnsi="Times New Roman" w:cs="Times New Roman"/>
          <w:i/>
          <w:iCs/>
          <w:color w:val="333333"/>
          <w:sz w:val="24"/>
          <w:szCs w:val="24"/>
          <w:lang w:eastAsia="es-SV"/>
        </w:rPr>
        <w:t>corpus iuris</w:t>
      </w:r>
      <w:r w:rsidR="0068533C" w:rsidRPr="0068533C">
        <w:rPr>
          <w:rFonts w:ascii="Times New Roman" w:eastAsia="Times New Roman" w:hAnsi="Times New Roman" w:cs="Times New Roman"/>
          <w:color w:val="333333"/>
          <w:sz w:val="24"/>
          <w:szCs w:val="24"/>
          <w:lang w:eastAsia="es-SV"/>
        </w:rPr>
        <w:t> internacional en materia de protección de la integridad personal de las mujeres,  </w:t>
      </w:r>
      <w:r w:rsidR="0068533C" w:rsidRPr="00315772">
        <w:rPr>
          <w:rFonts w:ascii="Times New Roman" w:eastAsia="Times New Roman" w:hAnsi="Times New Roman" w:cs="Times New Roman"/>
          <w:b/>
          <w:color w:val="333333"/>
          <w:sz w:val="24"/>
          <w:szCs w:val="24"/>
          <w:u w:val="single"/>
          <w:lang w:eastAsia="es-SV"/>
        </w:rPr>
        <w:t>determinó que la violencia ejercida en contra de las tres  víctimas en el caso, constituía “</w:t>
      </w:r>
      <w:r w:rsidR="0068533C" w:rsidRPr="00315772">
        <w:rPr>
          <w:rFonts w:ascii="Times New Roman" w:eastAsia="Times New Roman" w:hAnsi="Times New Roman" w:cs="Times New Roman"/>
          <w:b/>
          <w:i/>
          <w:iCs/>
          <w:color w:val="333333"/>
          <w:sz w:val="24"/>
          <w:szCs w:val="24"/>
          <w:u w:val="single"/>
          <w:lang w:eastAsia="es-SV"/>
        </w:rPr>
        <w:t>violencia contra la mujer</w:t>
      </w:r>
      <w:r w:rsidR="0068533C" w:rsidRPr="00315772">
        <w:rPr>
          <w:rFonts w:ascii="Times New Roman" w:eastAsia="Times New Roman" w:hAnsi="Times New Roman" w:cs="Times New Roman"/>
          <w:b/>
          <w:color w:val="333333"/>
          <w:sz w:val="24"/>
          <w:szCs w:val="24"/>
          <w:u w:val="single"/>
          <w:lang w:eastAsia="es-SV"/>
        </w:rPr>
        <w:t>” contemplada así en la Convención Americana  y</w:t>
      </w:r>
      <w:r w:rsidR="00710BD0" w:rsidRPr="00315772">
        <w:rPr>
          <w:rFonts w:ascii="Times New Roman" w:eastAsia="Times New Roman" w:hAnsi="Times New Roman" w:cs="Times New Roman"/>
          <w:b/>
          <w:color w:val="333333"/>
          <w:sz w:val="24"/>
          <w:szCs w:val="24"/>
          <w:u w:val="single"/>
          <w:lang w:eastAsia="es-SV"/>
        </w:rPr>
        <w:t xml:space="preserve"> la Convención de Belém do Pará.</w:t>
      </w:r>
    </w:p>
    <w:p w:rsidR="0068533C" w:rsidRPr="0068533C"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Pr>
          <w:rFonts w:ascii="Times New Roman" w:eastAsia="Times New Roman" w:hAnsi="Times New Roman" w:cs="Times New Roman"/>
          <w:color w:val="333333"/>
          <w:sz w:val="24"/>
          <w:szCs w:val="24"/>
          <w:lang w:eastAsia="es-SV"/>
        </w:rPr>
        <w:tab/>
      </w:r>
      <w:r w:rsidR="0068533C" w:rsidRPr="0068533C">
        <w:rPr>
          <w:rFonts w:ascii="Times New Roman" w:eastAsia="Times New Roman" w:hAnsi="Times New Roman" w:cs="Times New Roman"/>
          <w:color w:val="333333"/>
          <w:sz w:val="24"/>
          <w:szCs w:val="24"/>
          <w:lang w:eastAsia="es-SV"/>
        </w:rPr>
        <w:t>Por otra parte la Co.I.D.H precisa los estereotipos de género, que son una preconcepción de atributos o características asumidas por las personas, o roles que son o deben ser ejecutados por hombres y mujeres. El uso de ciertos estereotipos se puede convertir en una causa de violencia de género en contra de la mujer. Sin embargo, el hecho de que las víctimas tuvieran ciertas actividades o diferencias sexuales no son  motivo para que no se les tomara en cuenta y se les administrara justicia, que les correspondía como ciudadanos y que además tenemos derecho como seres humanos, tanto para la víctima como para sus familias.</w:t>
      </w:r>
    </w:p>
    <w:p w:rsidR="0068533C" w:rsidRPr="0068533C"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Pr>
          <w:rFonts w:ascii="Times New Roman" w:eastAsia="Times New Roman" w:hAnsi="Times New Roman" w:cs="Times New Roman"/>
          <w:color w:val="333333"/>
          <w:sz w:val="24"/>
          <w:szCs w:val="24"/>
          <w:lang w:eastAsia="es-SV"/>
        </w:rPr>
        <w:tab/>
      </w:r>
      <w:r w:rsidR="0068533C" w:rsidRPr="0068533C">
        <w:rPr>
          <w:rFonts w:ascii="Times New Roman" w:eastAsia="Times New Roman" w:hAnsi="Times New Roman" w:cs="Times New Roman"/>
          <w:color w:val="333333"/>
          <w:sz w:val="24"/>
          <w:szCs w:val="24"/>
          <w:lang w:eastAsia="es-SV"/>
        </w:rPr>
        <w:t>El Estado tiene la obligación de contar con un marco jurídico de protección que contenga políticas de prevención y prácticas para actuar eficazmente ante las denuncias y una estrategia de prevención integral que permita prevenir los factores de riesgo y fortalecer las instituciones para dar una respuesta efectiva a los casos de violencia. Sin embargo, el Estado mexicano no tomó ninguna medida de prevención para estos casos a pesar de tener conocimiento de los hechos. Hizo caso omiso de la situación. En 1998 la Comisión Nacional de Derechos Humanos (CNDH)  advirtió del patrón de violencia contra la mujer en Ciudad Juárez. El Estado debió implementar en ese momento una política general para combatir esta violencia. Sin embargo la ausencia de ésta es una falta grave del Estado en cuanto hace a su obligación de prevención.</w:t>
      </w:r>
    </w:p>
    <w:p w:rsidR="0068533C" w:rsidRPr="0068533C"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Pr>
          <w:rFonts w:ascii="Times New Roman" w:eastAsia="Times New Roman" w:hAnsi="Times New Roman" w:cs="Times New Roman"/>
          <w:color w:val="333333"/>
          <w:sz w:val="24"/>
          <w:szCs w:val="24"/>
          <w:lang w:eastAsia="es-SV"/>
        </w:rPr>
        <w:tab/>
      </w:r>
      <w:r w:rsidR="0068533C" w:rsidRPr="00315772">
        <w:rPr>
          <w:rFonts w:ascii="Times New Roman" w:eastAsia="Times New Roman" w:hAnsi="Times New Roman" w:cs="Times New Roman"/>
          <w:color w:val="333333"/>
          <w:sz w:val="24"/>
          <w:szCs w:val="24"/>
          <w:u w:val="single"/>
          <w:lang w:eastAsia="es-SV"/>
        </w:rPr>
        <w:t xml:space="preserve">El Estado no actuó con prontitud y eficacia al momento de conocer las denuncias presentadas, como era su obligación al ser garante de la seguridad de los ciudadanos de su </w:t>
      </w:r>
      <w:r w:rsidR="0068533C" w:rsidRPr="00315772">
        <w:rPr>
          <w:rFonts w:ascii="Times New Roman" w:eastAsia="Times New Roman" w:hAnsi="Times New Roman" w:cs="Times New Roman"/>
          <w:color w:val="333333"/>
          <w:sz w:val="24"/>
          <w:szCs w:val="24"/>
          <w:u w:val="single"/>
          <w:lang w:eastAsia="es-SV"/>
        </w:rPr>
        <w:lastRenderedPageBreak/>
        <w:t>comunidad.</w:t>
      </w:r>
      <w:r w:rsidR="0068533C" w:rsidRPr="0068533C">
        <w:rPr>
          <w:rFonts w:ascii="Times New Roman" w:eastAsia="Times New Roman" w:hAnsi="Times New Roman" w:cs="Times New Roman"/>
          <w:color w:val="333333"/>
          <w:sz w:val="24"/>
          <w:szCs w:val="24"/>
          <w:lang w:eastAsia="es-SV"/>
        </w:rPr>
        <w:t xml:space="preserve"> Al no actuar de manera inmediata provocó que se siguieran efectuando los asesinatos de mujeres y que éstos quedaran sin castigo. Este comportamiento irresponsable del Estado afectó sobremanera a diversas familias en todos los aspectos; emocionales, económicas, afectivas y de seguridad social,  que al no tener el apoyo de la autoridad se sentían desprotegidos en la administración de la justicia, aumentando la desconfianza en el sistema de gobierno y en las leyes que lo sustentan.</w:t>
      </w:r>
    </w:p>
    <w:p w:rsidR="0068533C" w:rsidRPr="0068533C"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Pr>
          <w:rFonts w:ascii="Times New Roman" w:eastAsia="Times New Roman" w:hAnsi="Times New Roman" w:cs="Times New Roman"/>
          <w:color w:val="333333"/>
          <w:sz w:val="24"/>
          <w:szCs w:val="24"/>
          <w:lang w:eastAsia="es-SV"/>
        </w:rPr>
        <w:tab/>
      </w:r>
      <w:r w:rsidR="0068533C" w:rsidRPr="0068533C">
        <w:rPr>
          <w:rFonts w:ascii="Times New Roman" w:eastAsia="Times New Roman" w:hAnsi="Times New Roman" w:cs="Times New Roman"/>
          <w:color w:val="333333"/>
          <w:sz w:val="24"/>
          <w:szCs w:val="24"/>
          <w:lang w:eastAsia="es-SV"/>
        </w:rPr>
        <w:t>En otro orden de ideas, no es posible que a pesar de que el Estado tuvo  conocimiento de las irregularidades que se cometieron desde el inicio de la investigación en los asesinatos de estas mujeres, no se haya efectuado ninguna investigación de los funcionarios responsables, habiendo sido muy importante y necesario impartirles una sanción, esto con el objeto de haber combatido la impunidad y evitar que los factores que incidían en el contexto de la  violencia contra la mujer persistieran o se agravaran habiéndoles provocado con esto que tuvieran  poca certeza en la impartición de justicia.</w:t>
      </w:r>
    </w:p>
    <w:p w:rsidR="0068533C" w:rsidRPr="0068533C"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Pr>
          <w:rFonts w:ascii="Times New Roman" w:eastAsia="Times New Roman" w:hAnsi="Times New Roman" w:cs="Times New Roman"/>
          <w:color w:val="333333"/>
          <w:sz w:val="24"/>
          <w:szCs w:val="24"/>
          <w:lang w:eastAsia="es-SV"/>
        </w:rPr>
        <w:tab/>
      </w:r>
      <w:r w:rsidR="0068533C" w:rsidRPr="0068533C">
        <w:rPr>
          <w:rFonts w:ascii="Times New Roman" w:eastAsia="Times New Roman" w:hAnsi="Times New Roman" w:cs="Times New Roman"/>
          <w:color w:val="333333"/>
          <w:sz w:val="24"/>
          <w:szCs w:val="24"/>
          <w:lang w:eastAsia="es-SV"/>
        </w:rPr>
        <w:t>Derivado del análisis que realizó la Co.I.D.H y C.A.D.H determinó cierta responsabilidad internacional para México y sugirió algunas reparaciones conducentes, como son:</w:t>
      </w:r>
    </w:p>
    <w:p w:rsidR="0068533C" w:rsidRPr="0068533C" w:rsidRDefault="0068533C" w:rsidP="00710BD0">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t>a)    Conducir eficazmente el proceso penal,</w:t>
      </w:r>
    </w:p>
    <w:p w:rsidR="0068533C" w:rsidRPr="0068533C" w:rsidRDefault="0068533C" w:rsidP="00710BD0">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t>b)    Incluir una perspectiva de género en la investigación,</w:t>
      </w:r>
    </w:p>
    <w:p w:rsidR="0068533C" w:rsidRPr="0068533C" w:rsidRDefault="0068533C" w:rsidP="00710BD0">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t>c)    Los órganos de investigación y judiciales cuenten con los recursos humanos y materiales necesarios,</w:t>
      </w:r>
    </w:p>
    <w:p w:rsidR="0068533C" w:rsidRPr="0068533C" w:rsidRDefault="0068533C" w:rsidP="00710BD0">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t>d)    Difundir públicamente los resultados de los procesos,</w:t>
      </w:r>
    </w:p>
    <w:p w:rsidR="0068533C" w:rsidRPr="0068533C" w:rsidRDefault="0068533C" w:rsidP="00710BD0">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t>e)    Implementar programas de educación y capacitación a funcionarios públicos en materia de derechos humanos,</w:t>
      </w:r>
    </w:p>
    <w:p w:rsidR="0068533C" w:rsidRPr="0068533C" w:rsidRDefault="0068533C" w:rsidP="00710BD0">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t>f)     Brindar atención médica, psicológica o psiquiátrica gratuita de forma inmediata, adecuada y efectiva,</w:t>
      </w:r>
    </w:p>
    <w:p w:rsidR="0068533C" w:rsidRPr="0068533C" w:rsidRDefault="0068533C" w:rsidP="00710BD0">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t>g)    Investigar a los funcionarios acusados de irregularidades y aplicar las sanciones adecuadas,</w:t>
      </w:r>
    </w:p>
    <w:p w:rsidR="0068533C" w:rsidRPr="0068533C" w:rsidRDefault="0068533C" w:rsidP="00710BD0">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t>h)   Investigar y sancionar a las personas responsables de los hostigamientos que la familia de las víctimas sufrió,</w:t>
      </w:r>
    </w:p>
    <w:p w:rsidR="0068533C" w:rsidRPr="0068533C" w:rsidRDefault="0068533C" w:rsidP="00710BD0">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t>i)     Realizar un programa de educación destinado a la población de Chihuahua, para la superación de estereotipos sobre el papel social de las mujeres,</w:t>
      </w:r>
    </w:p>
    <w:p w:rsidR="0068533C" w:rsidRPr="0068533C" w:rsidRDefault="0068533C" w:rsidP="00710BD0">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t>j)      Publicar ciertos párrafos de la sentencia en el Diario Oficial de la Federación y en dos diarios de amplia circulación,</w:t>
      </w:r>
    </w:p>
    <w:p w:rsidR="0068533C" w:rsidRPr="0068533C" w:rsidRDefault="0068533C" w:rsidP="00710BD0">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lastRenderedPageBreak/>
        <w:t>k)    Realizar un acto público de reconocimiento de responsabilidad internacional,</w:t>
      </w:r>
    </w:p>
    <w:p w:rsidR="00845B47" w:rsidRPr="0068533C" w:rsidRDefault="0068533C" w:rsidP="00315772">
      <w:pPr>
        <w:shd w:val="clear" w:color="auto" w:fill="FFFFFF"/>
        <w:spacing w:after="0" w:line="360" w:lineRule="auto"/>
        <w:ind w:hanging="360"/>
        <w:jc w:val="both"/>
        <w:rPr>
          <w:rFonts w:ascii="Times New Roman" w:eastAsia="Times New Roman" w:hAnsi="Times New Roman" w:cs="Times New Roman"/>
          <w:color w:val="333333"/>
          <w:sz w:val="24"/>
          <w:szCs w:val="24"/>
          <w:lang w:eastAsia="es-SV"/>
        </w:rPr>
      </w:pPr>
      <w:r w:rsidRPr="0068533C">
        <w:rPr>
          <w:rFonts w:ascii="Times New Roman" w:eastAsia="Times New Roman" w:hAnsi="Times New Roman" w:cs="Times New Roman"/>
          <w:color w:val="333333"/>
          <w:sz w:val="24"/>
          <w:szCs w:val="24"/>
          <w:lang w:eastAsia="es-SV"/>
        </w:rPr>
        <w:t>l)     Levantar un monumento en memoria de las mujeres víctimas de homicidio por razones de género en Ciudad Juárez.</w:t>
      </w:r>
    </w:p>
    <w:p w:rsidR="00032852" w:rsidRPr="00315772" w:rsidRDefault="00032852" w:rsidP="00710BD0">
      <w:pPr>
        <w:shd w:val="clear" w:color="auto" w:fill="FFFFFF"/>
        <w:spacing w:after="0" w:line="360" w:lineRule="auto"/>
        <w:jc w:val="both"/>
        <w:rPr>
          <w:rFonts w:ascii="Times New Roman" w:eastAsia="Times New Roman" w:hAnsi="Times New Roman" w:cs="Times New Roman"/>
          <w:b/>
          <w:color w:val="333333"/>
          <w:sz w:val="24"/>
          <w:szCs w:val="24"/>
          <w:u w:val="single"/>
          <w:lang w:eastAsia="es-SV"/>
        </w:rPr>
      </w:pPr>
      <w:r>
        <w:rPr>
          <w:rFonts w:ascii="Times New Roman" w:eastAsia="Times New Roman" w:hAnsi="Times New Roman" w:cs="Times New Roman"/>
          <w:color w:val="333333"/>
          <w:sz w:val="24"/>
          <w:szCs w:val="24"/>
          <w:lang w:eastAsia="es-SV"/>
        </w:rPr>
        <w:tab/>
      </w:r>
      <w:r w:rsidRPr="00315772">
        <w:rPr>
          <w:rFonts w:ascii="Times New Roman" w:eastAsia="Times New Roman" w:hAnsi="Times New Roman" w:cs="Times New Roman"/>
          <w:b/>
          <w:color w:val="333333"/>
          <w:sz w:val="24"/>
          <w:szCs w:val="24"/>
          <w:u w:val="single"/>
          <w:lang w:eastAsia="es-SV"/>
        </w:rPr>
        <w:tab/>
        <w:t>La sentencia es emblemática por diversas razones, entre estas:</w:t>
      </w:r>
    </w:p>
    <w:p w:rsidR="00032852" w:rsidRPr="00032852"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color w:val="333333"/>
          <w:sz w:val="24"/>
          <w:szCs w:val="24"/>
          <w:lang w:eastAsia="es-SV"/>
        </w:rPr>
        <w:t>1. Se condena al Estado mexicano por violar derechos humanos y señala su responsabilidad internacional –en el ámbito interamericano– por incumplir sus deberes por los hechos vinculados a tres víctimas y sus familias, en un contexto de violencia contra las mujeres que se ha documentado en Ciudad Juárez desde 1993.</w:t>
      </w:r>
    </w:p>
    <w:p w:rsidR="00032852" w:rsidRPr="00032852"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p>
    <w:p w:rsidR="00032852" w:rsidRPr="00032852"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color w:val="333333"/>
          <w:sz w:val="24"/>
          <w:szCs w:val="24"/>
          <w:lang w:eastAsia="es-SV"/>
        </w:rPr>
        <w:t xml:space="preserve">2. Por ser un caso todavía vigente, marcado por la impunidad en el ámbito nacional y por un largo proceso, de siete años, ante el Sistema Interamericano, es una sentencia histórica que define </w:t>
      </w:r>
      <w:bookmarkStart w:id="0" w:name="_GoBack"/>
      <w:r w:rsidRPr="00032852">
        <w:rPr>
          <w:rFonts w:ascii="Times New Roman" w:eastAsia="Times New Roman" w:hAnsi="Times New Roman" w:cs="Times New Roman"/>
          <w:color w:val="333333"/>
          <w:sz w:val="24"/>
          <w:szCs w:val="24"/>
          <w:lang w:eastAsia="es-SV"/>
        </w:rPr>
        <w:t>acciones de reparación del daño para las personas ofendidas directamente en el caso, así como medidas de no repetición, es decir, reformas en las instituciones y con autoridades, programas de prevención y de atención, e incluso políticas públicas dirigidas a la población en general, con el fin de realizar los cambios sociales y en el Estado para que los derechos humanos sean una realidad en Ciudad Juárez y en México.</w:t>
      </w:r>
    </w:p>
    <w:p w:rsidR="00032852" w:rsidRPr="00032852"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p>
    <w:p w:rsidR="00032852" w:rsidRPr="00032852"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color w:val="333333"/>
          <w:sz w:val="24"/>
          <w:szCs w:val="24"/>
          <w:lang w:eastAsia="es-SV"/>
        </w:rPr>
        <w:t>3. La CorteI</w:t>
      </w:r>
      <w:r>
        <w:rPr>
          <w:rFonts w:ascii="Times New Roman" w:eastAsia="Times New Roman" w:hAnsi="Times New Roman" w:cs="Times New Roman"/>
          <w:color w:val="333333"/>
          <w:sz w:val="24"/>
          <w:szCs w:val="24"/>
          <w:lang w:eastAsia="es-SV"/>
        </w:rPr>
        <w:t xml:space="preserve">. </w:t>
      </w:r>
      <w:r w:rsidRPr="00032852">
        <w:rPr>
          <w:rFonts w:ascii="Times New Roman" w:eastAsia="Times New Roman" w:hAnsi="Times New Roman" w:cs="Times New Roman"/>
          <w:color w:val="333333"/>
          <w:sz w:val="24"/>
          <w:szCs w:val="24"/>
          <w:lang w:eastAsia="es-SV"/>
        </w:rPr>
        <w:t>D</w:t>
      </w:r>
      <w:r>
        <w:rPr>
          <w:rFonts w:ascii="Times New Roman" w:eastAsia="Times New Roman" w:hAnsi="Times New Roman" w:cs="Times New Roman"/>
          <w:color w:val="333333"/>
          <w:sz w:val="24"/>
          <w:szCs w:val="24"/>
          <w:lang w:eastAsia="es-SV"/>
        </w:rPr>
        <w:t xml:space="preserve">. </w:t>
      </w:r>
      <w:r w:rsidRPr="00032852">
        <w:rPr>
          <w:rFonts w:ascii="Times New Roman" w:eastAsia="Times New Roman" w:hAnsi="Times New Roman" w:cs="Times New Roman"/>
          <w:color w:val="333333"/>
          <w:sz w:val="24"/>
          <w:szCs w:val="24"/>
          <w:lang w:eastAsia="es-SV"/>
        </w:rPr>
        <w:t>H</w:t>
      </w:r>
      <w:r>
        <w:rPr>
          <w:rFonts w:ascii="Times New Roman" w:eastAsia="Times New Roman" w:hAnsi="Times New Roman" w:cs="Times New Roman"/>
          <w:color w:val="333333"/>
          <w:sz w:val="24"/>
          <w:szCs w:val="24"/>
          <w:lang w:eastAsia="es-SV"/>
        </w:rPr>
        <w:t>.</w:t>
      </w:r>
      <w:r w:rsidRPr="00032852">
        <w:rPr>
          <w:rFonts w:ascii="Times New Roman" w:eastAsia="Times New Roman" w:hAnsi="Times New Roman" w:cs="Times New Roman"/>
          <w:color w:val="333333"/>
          <w:sz w:val="24"/>
          <w:szCs w:val="24"/>
          <w:lang w:eastAsia="es-SV"/>
        </w:rPr>
        <w:t xml:space="preserve"> confirma su competencia para juzgar posibles violaciones a los derechos y obligaciones definidos en la Convención Interamericana para Prevenir, Sancionar y Erradicar la Violencia contra la Mujer (Convención Belém do Pará) y con ello los derechos de las mujeres se reafirman como derechos humanos, universales, exigibles y justiciables.</w:t>
      </w:r>
    </w:p>
    <w:p w:rsidR="00032852" w:rsidRPr="00032852"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p>
    <w:p w:rsidR="00032852" w:rsidRPr="00032852"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color w:val="333333"/>
          <w:sz w:val="24"/>
          <w:szCs w:val="24"/>
          <w:lang w:eastAsia="es-SV"/>
        </w:rPr>
        <w:t>4. La Corte consolida los conceptos y metodología de la perspectiva de género en la interpretación judicial. Además confirma a la perspectiva de género como característica central de exigencia para evaluar las acciones que los Estados emprendan para reparar los daños y cumplir con sus obligaciones.</w:t>
      </w:r>
    </w:p>
    <w:p w:rsidR="00032852" w:rsidRPr="00032852" w:rsidRDefault="00032852" w:rsidP="00710BD0">
      <w:pPr>
        <w:shd w:val="clear" w:color="auto" w:fill="FFFFFF"/>
        <w:spacing w:after="0" w:line="360" w:lineRule="auto"/>
        <w:jc w:val="both"/>
        <w:rPr>
          <w:rFonts w:ascii="Times New Roman" w:eastAsia="Times New Roman" w:hAnsi="Times New Roman" w:cs="Times New Roman"/>
          <w:color w:val="333333"/>
          <w:sz w:val="24"/>
          <w:szCs w:val="24"/>
          <w:lang w:eastAsia="es-SV"/>
        </w:rPr>
      </w:pPr>
    </w:p>
    <w:p w:rsidR="002173C1" w:rsidRPr="00845B47" w:rsidRDefault="00032852" w:rsidP="00845B47">
      <w:pPr>
        <w:shd w:val="clear" w:color="auto" w:fill="FFFFFF"/>
        <w:spacing w:after="0" w:line="360" w:lineRule="auto"/>
        <w:jc w:val="both"/>
        <w:rPr>
          <w:rFonts w:ascii="Times New Roman" w:eastAsia="Times New Roman" w:hAnsi="Times New Roman" w:cs="Times New Roman"/>
          <w:color w:val="333333"/>
          <w:sz w:val="24"/>
          <w:szCs w:val="24"/>
          <w:lang w:eastAsia="es-SV"/>
        </w:rPr>
      </w:pPr>
      <w:r w:rsidRPr="00032852">
        <w:rPr>
          <w:rFonts w:ascii="Times New Roman" w:eastAsia="Times New Roman" w:hAnsi="Times New Roman" w:cs="Times New Roman"/>
          <w:color w:val="333333"/>
          <w:sz w:val="24"/>
          <w:szCs w:val="24"/>
          <w:lang w:eastAsia="es-SV"/>
        </w:rPr>
        <w:t>5. Los argumentos utilizados en torno al derecho de las mujeres a una vida libre de violencia, el análisis jurídico realizado con una perspectiva de género, así como las medidas de reparación definidas en la sentencia, tienen un impacto directo en las acciones a desarrollar en Ciudad Juárez, y un impacto potencial en México, en la región interamericana y en el mundo.</w:t>
      </w:r>
      <w:bookmarkEnd w:id="0"/>
    </w:p>
    <w:sectPr w:rsidR="002173C1" w:rsidRPr="00845B47" w:rsidSect="00146CD9">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08D1"/>
    <w:rsid w:val="00032852"/>
    <w:rsid w:val="00035E03"/>
    <w:rsid w:val="00146CD9"/>
    <w:rsid w:val="001C6D0B"/>
    <w:rsid w:val="00270EE8"/>
    <w:rsid w:val="00315772"/>
    <w:rsid w:val="003431F4"/>
    <w:rsid w:val="004208D1"/>
    <w:rsid w:val="0068533C"/>
    <w:rsid w:val="00710BD0"/>
    <w:rsid w:val="00845B47"/>
    <w:rsid w:val="008F06E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0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32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F06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6E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86082477">
      <w:bodyDiv w:val="1"/>
      <w:marLeft w:val="0"/>
      <w:marRight w:val="0"/>
      <w:marTop w:val="0"/>
      <w:marBottom w:val="0"/>
      <w:divBdr>
        <w:top w:val="none" w:sz="0" w:space="0" w:color="auto"/>
        <w:left w:val="none" w:sz="0" w:space="0" w:color="auto"/>
        <w:bottom w:val="none" w:sz="0" w:space="0" w:color="auto"/>
        <w:right w:val="none" w:sz="0" w:space="0" w:color="auto"/>
      </w:divBdr>
      <w:divsChild>
        <w:div w:id="1797407528">
          <w:marLeft w:val="0"/>
          <w:marRight w:val="0"/>
          <w:marTop w:val="0"/>
          <w:marBottom w:val="0"/>
          <w:divBdr>
            <w:top w:val="none" w:sz="0" w:space="0" w:color="auto"/>
            <w:left w:val="none" w:sz="0" w:space="0" w:color="auto"/>
            <w:bottom w:val="none" w:sz="0" w:space="0" w:color="auto"/>
            <w:right w:val="none" w:sz="0" w:space="0" w:color="auto"/>
          </w:divBdr>
          <w:divsChild>
            <w:div w:id="1450509092">
              <w:marLeft w:val="0"/>
              <w:marRight w:val="0"/>
              <w:marTop w:val="0"/>
              <w:marBottom w:val="0"/>
              <w:divBdr>
                <w:top w:val="none" w:sz="0" w:space="0" w:color="auto"/>
                <w:left w:val="none" w:sz="0" w:space="0" w:color="auto"/>
                <w:bottom w:val="none" w:sz="0" w:space="0" w:color="auto"/>
                <w:right w:val="none" w:sz="0" w:space="0" w:color="auto"/>
              </w:divBdr>
            </w:div>
            <w:div w:id="252518935">
              <w:marLeft w:val="0"/>
              <w:marRight w:val="0"/>
              <w:marTop w:val="0"/>
              <w:marBottom w:val="0"/>
              <w:divBdr>
                <w:top w:val="none" w:sz="0" w:space="0" w:color="auto"/>
                <w:left w:val="none" w:sz="0" w:space="0" w:color="auto"/>
                <w:bottom w:val="none" w:sz="0" w:space="0" w:color="auto"/>
                <w:right w:val="none" w:sz="0" w:space="0" w:color="auto"/>
              </w:divBdr>
            </w:div>
          </w:divsChild>
        </w:div>
        <w:div w:id="1772819955">
          <w:marLeft w:val="0"/>
          <w:marRight w:val="0"/>
          <w:marTop w:val="0"/>
          <w:marBottom w:val="0"/>
          <w:divBdr>
            <w:top w:val="none" w:sz="0" w:space="0" w:color="auto"/>
            <w:left w:val="none" w:sz="0" w:space="0" w:color="auto"/>
            <w:bottom w:val="none" w:sz="0" w:space="0" w:color="auto"/>
            <w:right w:val="none" w:sz="0" w:space="0" w:color="auto"/>
          </w:divBdr>
        </w:div>
        <w:div w:id="453252482">
          <w:marLeft w:val="0"/>
          <w:marRight w:val="0"/>
          <w:marTop w:val="0"/>
          <w:marBottom w:val="0"/>
          <w:divBdr>
            <w:top w:val="none" w:sz="0" w:space="0" w:color="auto"/>
            <w:left w:val="none" w:sz="0" w:space="0" w:color="auto"/>
            <w:bottom w:val="none" w:sz="0" w:space="0" w:color="auto"/>
            <w:right w:val="none" w:sz="0" w:space="0" w:color="auto"/>
          </w:divBdr>
        </w:div>
        <w:div w:id="628323583">
          <w:marLeft w:val="0"/>
          <w:marRight w:val="0"/>
          <w:marTop w:val="0"/>
          <w:marBottom w:val="0"/>
          <w:divBdr>
            <w:top w:val="none" w:sz="0" w:space="0" w:color="auto"/>
            <w:left w:val="none" w:sz="0" w:space="0" w:color="auto"/>
            <w:bottom w:val="none" w:sz="0" w:space="0" w:color="auto"/>
            <w:right w:val="none" w:sz="0" w:space="0" w:color="auto"/>
          </w:divBdr>
        </w:div>
        <w:div w:id="1989435619">
          <w:marLeft w:val="0"/>
          <w:marRight w:val="0"/>
          <w:marTop w:val="0"/>
          <w:marBottom w:val="0"/>
          <w:divBdr>
            <w:top w:val="none" w:sz="0" w:space="0" w:color="auto"/>
            <w:left w:val="none" w:sz="0" w:space="0" w:color="auto"/>
            <w:bottom w:val="none" w:sz="0" w:space="0" w:color="auto"/>
            <w:right w:val="none" w:sz="0" w:space="0" w:color="auto"/>
          </w:divBdr>
        </w:div>
        <w:div w:id="135730505">
          <w:marLeft w:val="0"/>
          <w:marRight w:val="0"/>
          <w:marTop w:val="0"/>
          <w:marBottom w:val="0"/>
          <w:divBdr>
            <w:top w:val="none" w:sz="0" w:space="0" w:color="auto"/>
            <w:left w:val="none" w:sz="0" w:space="0" w:color="auto"/>
            <w:bottom w:val="none" w:sz="0" w:space="0" w:color="auto"/>
            <w:right w:val="none" w:sz="0" w:space="0" w:color="auto"/>
          </w:divBdr>
        </w:div>
        <w:div w:id="341661601">
          <w:marLeft w:val="0"/>
          <w:marRight w:val="0"/>
          <w:marTop w:val="0"/>
          <w:marBottom w:val="0"/>
          <w:divBdr>
            <w:top w:val="none" w:sz="0" w:space="0" w:color="auto"/>
            <w:left w:val="none" w:sz="0" w:space="0" w:color="auto"/>
            <w:bottom w:val="none" w:sz="0" w:space="0" w:color="auto"/>
            <w:right w:val="none" w:sz="0" w:space="0" w:color="auto"/>
          </w:divBdr>
        </w:div>
        <w:div w:id="1265381506">
          <w:marLeft w:val="0"/>
          <w:marRight w:val="0"/>
          <w:marTop w:val="0"/>
          <w:marBottom w:val="0"/>
          <w:divBdr>
            <w:top w:val="none" w:sz="0" w:space="0" w:color="auto"/>
            <w:left w:val="none" w:sz="0" w:space="0" w:color="auto"/>
            <w:bottom w:val="none" w:sz="0" w:space="0" w:color="auto"/>
            <w:right w:val="none" w:sz="0" w:space="0" w:color="auto"/>
          </w:divBdr>
        </w:div>
      </w:divsChild>
    </w:div>
    <w:div w:id="494877281">
      <w:bodyDiv w:val="1"/>
      <w:marLeft w:val="0"/>
      <w:marRight w:val="0"/>
      <w:marTop w:val="0"/>
      <w:marBottom w:val="0"/>
      <w:divBdr>
        <w:top w:val="none" w:sz="0" w:space="0" w:color="auto"/>
        <w:left w:val="none" w:sz="0" w:space="0" w:color="auto"/>
        <w:bottom w:val="none" w:sz="0" w:space="0" w:color="auto"/>
        <w:right w:val="none" w:sz="0" w:space="0" w:color="auto"/>
      </w:divBdr>
    </w:div>
    <w:div w:id="902134939">
      <w:bodyDiv w:val="1"/>
      <w:marLeft w:val="0"/>
      <w:marRight w:val="0"/>
      <w:marTop w:val="0"/>
      <w:marBottom w:val="0"/>
      <w:divBdr>
        <w:top w:val="none" w:sz="0" w:space="0" w:color="auto"/>
        <w:left w:val="none" w:sz="0" w:space="0" w:color="auto"/>
        <w:bottom w:val="none" w:sz="0" w:space="0" w:color="auto"/>
        <w:right w:val="none" w:sz="0" w:space="0" w:color="auto"/>
      </w:divBdr>
    </w:div>
    <w:div w:id="118937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1965</Words>
  <Characters>10810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Elias Menjivar</dc:creator>
  <cp:keywords/>
  <dc:description/>
  <cp:lastModifiedBy>admin</cp:lastModifiedBy>
  <cp:revision>5</cp:revision>
  <cp:lastPrinted>2015-10-23T20:49:00Z</cp:lastPrinted>
  <dcterms:created xsi:type="dcterms:W3CDTF">2015-10-23T20:08:00Z</dcterms:created>
  <dcterms:modified xsi:type="dcterms:W3CDTF">2017-07-08T02:59:00Z</dcterms:modified>
</cp:coreProperties>
</file>