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CEE" w:rsidRPr="002D58E4" w:rsidRDefault="00DB5CEE" w:rsidP="00DB5CEE">
      <w:pPr>
        <w:pStyle w:val="Prrafodelista"/>
        <w:numPr>
          <w:ilvl w:val="0"/>
          <w:numId w:val="1"/>
        </w:numPr>
        <w:jc w:val="both"/>
        <w:rPr>
          <w:rFonts w:ascii="Times New Roman" w:hAnsi="Times New Roman" w:cs="Times New Roman"/>
          <w:i/>
          <w:sz w:val="20"/>
          <w:szCs w:val="20"/>
        </w:rPr>
      </w:pPr>
      <w:r w:rsidRPr="002D58E4">
        <w:rPr>
          <w:rFonts w:ascii="Times New Roman" w:hAnsi="Times New Roman" w:cs="Times New Roman"/>
          <w:i/>
          <w:sz w:val="20"/>
          <w:szCs w:val="20"/>
        </w:rPr>
        <w:t xml:space="preserve">Sistemas de Control. 2) Sistema </w:t>
      </w:r>
      <w:r>
        <w:rPr>
          <w:rFonts w:ascii="Times New Roman" w:hAnsi="Times New Roman" w:cs="Times New Roman"/>
          <w:i/>
          <w:sz w:val="20"/>
          <w:szCs w:val="20"/>
        </w:rPr>
        <w:t>Difuso</w:t>
      </w:r>
      <w:r w:rsidRPr="002D58E4">
        <w:rPr>
          <w:rFonts w:ascii="Times New Roman" w:hAnsi="Times New Roman" w:cs="Times New Roman"/>
          <w:i/>
          <w:sz w:val="20"/>
          <w:szCs w:val="20"/>
        </w:rPr>
        <w:t xml:space="preserve">. 3) Sistema </w:t>
      </w:r>
      <w:r>
        <w:rPr>
          <w:rFonts w:ascii="Times New Roman" w:hAnsi="Times New Roman" w:cs="Times New Roman"/>
          <w:i/>
          <w:sz w:val="20"/>
          <w:szCs w:val="20"/>
        </w:rPr>
        <w:t>Concentrado</w:t>
      </w:r>
      <w:r w:rsidRPr="002D58E4">
        <w:rPr>
          <w:rFonts w:ascii="Times New Roman" w:hAnsi="Times New Roman" w:cs="Times New Roman"/>
          <w:i/>
          <w:sz w:val="20"/>
          <w:szCs w:val="20"/>
        </w:rPr>
        <w:t>.</w:t>
      </w:r>
    </w:p>
    <w:p w:rsidR="00DB5CEE" w:rsidRDefault="00DB5CEE" w:rsidP="00DB5CEE">
      <w:pPr>
        <w:jc w:val="both"/>
        <w:rPr>
          <w:rFonts w:ascii="Times New Roman" w:hAnsi="Times New Roman" w:cs="Times New Roman"/>
          <w:sz w:val="20"/>
          <w:szCs w:val="20"/>
        </w:rPr>
      </w:pPr>
    </w:p>
    <w:p w:rsidR="00DB5CEE" w:rsidRDefault="00DB5CEE" w:rsidP="00DB5CEE">
      <w:pPr>
        <w:pStyle w:val="Prrafodelista"/>
        <w:numPr>
          <w:ilvl w:val="0"/>
          <w:numId w:val="2"/>
        </w:numPr>
        <w:jc w:val="both"/>
        <w:rPr>
          <w:rFonts w:ascii="Times New Roman" w:hAnsi="Times New Roman" w:cs="Times New Roman"/>
          <w:b/>
          <w:sz w:val="24"/>
          <w:szCs w:val="24"/>
        </w:rPr>
      </w:pPr>
      <w:r w:rsidRPr="00B46C72">
        <w:rPr>
          <w:rFonts w:ascii="Times New Roman" w:hAnsi="Times New Roman" w:cs="Times New Roman"/>
          <w:b/>
          <w:sz w:val="24"/>
          <w:szCs w:val="24"/>
        </w:rPr>
        <w:t>Sistemas d</w:t>
      </w:r>
      <w:r>
        <w:rPr>
          <w:rFonts w:ascii="Times New Roman" w:hAnsi="Times New Roman" w:cs="Times New Roman"/>
          <w:b/>
          <w:sz w:val="24"/>
          <w:szCs w:val="24"/>
        </w:rPr>
        <w:t>e Control</w:t>
      </w:r>
    </w:p>
    <w:p w:rsidR="00DB5CEE" w:rsidRDefault="00DB5CEE" w:rsidP="00DB5CE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En el país coexisten dos tipos  de Sistemas de Control de Constitucionalidad. Por un lado se prescribe la potestad para declarar la inconstitucionalidad de las leyes, de los actos de aplicación de la Constitución y además de los actos de autoridad en general de modo reservado para una sola entidad: Sala de lo Constitucional. Por otro, se posibilita que todos los funcionarios públicos puedan ejercer el control de constitucionalidad de leyes o de cualquiera otra clase de actividad decisora de carácter público, con especial énfasis en la facultad que en ese sentido ha sido conferida a los Tribunales de la República.</w:t>
      </w:r>
    </w:p>
    <w:p w:rsidR="00DB5CEE" w:rsidRDefault="00DB5CEE" w:rsidP="00DB5CE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En tal sentido, la jurisdicción constitucional en El Salvador puede dividirse en dos grandes ramas, de acuerdo a cada uno de los Sistemas de Control de Constitucionalidad: la jurisdicción constitucional concentrada –reservada principalmente a la Sala de lo Constitucional- y la jurisdicción constitucional difusa –depositada en todos los Tribunales de la República-. Ambas son ejercidas por entidades investidas de la potestad de juzgar y hacer ejecutar lo juzgado que aparece en el artículo 172 de la Constitución de la República</w:t>
      </w:r>
      <w:r>
        <w:rPr>
          <w:rStyle w:val="Refdenotaalpie"/>
          <w:rFonts w:ascii="Times New Roman" w:hAnsi="Times New Roman" w:cs="Times New Roman"/>
          <w:sz w:val="24"/>
          <w:szCs w:val="24"/>
        </w:rPr>
        <w:footnoteReference w:id="1"/>
      </w:r>
      <w:r>
        <w:rPr>
          <w:rFonts w:ascii="Times New Roman" w:hAnsi="Times New Roman" w:cs="Times New Roman"/>
          <w:sz w:val="24"/>
          <w:szCs w:val="24"/>
        </w:rPr>
        <w:t>; sin embargo, la especialidad en la materia primaria y la concentración en el conocimiento de los procesos constitucionales por parte de la Sala, es lo que marca la diferencia entre ambas.</w:t>
      </w:r>
    </w:p>
    <w:p w:rsidR="00DB5CEE" w:rsidRPr="003117B1" w:rsidRDefault="00DB5CEE" w:rsidP="00DB5CEE">
      <w:pPr>
        <w:pStyle w:val="Prrafode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b/>
          <w:sz w:val="24"/>
          <w:szCs w:val="24"/>
        </w:rPr>
        <w:t>Sistema de Control Difuso</w:t>
      </w:r>
    </w:p>
    <w:p w:rsidR="00DB5CEE" w:rsidRDefault="00DB5CEE" w:rsidP="00DB5CE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La primera fórmula adoptada con éxito en la historia del constitucionalismo para controlar la adecuación a la Constitución de las normas legales consistió en encomendar tal tarea al conjunto del aparato judicial ordinario. Se trata de una fórmula introducida en Estados Unidos y que se ha extendido ampliamente, tanto en los países anglosajones como en otros contextos. Se puede designar por ello como modelo norteamericano, en contraposición al modelo europeo de justicia constitucional</w:t>
      </w:r>
      <w:r>
        <w:rPr>
          <w:rStyle w:val="Refdenotaalpie"/>
          <w:rFonts w:ascii="Times New Roman" w:hAnsi="Times New Roman" w:cs="Times New Roman"/>
          <w:sz w:val="24"/>
          <w:szCs w:val="24"/>
        </w:rPr>
        <w:footnoteReference w:id="2"/>
      </w:r>
      <w:r>
        <w:rPr>
          <w:rFonts w:ascii="Times New Roman" w:hAnsi="Times New Roman" w:cs="Times New Roman"/>
          <w:sz w:val="24"/>
          <w:szCs w:val="24"/>
        </w:rPr>
        <w:t>.</w:t>
      </w:r>
    </w:p>
    <w:p w:rsidR="00DB5CEE" w:rsidRDefault="00DB5CEE" w:rsidP="00DB5CE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Resulta indispensable hacer una reseña de los mecanismos que integran el sistema de control difuso, a fin de cimentar la idea de la existencia de una jurisdicción constitucional difusa, manifestada a través del mecanismo de inaplicabilidad de las leyes.</w:t>
      </w:r>
    </w:p>
    <w:p w:rsidR="00DB5CEE" w:rsidRDefault="00DB5CEE" w:rsidP="00DB5CE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Este sistema puede definirse como el conjunto de mecanismos prescritos por la Constitución para su autoprotección, que están diseminados en los diferentes órganos e instituciones mediante los cuales se ejerce el poder público en El Salvador. Entonces, ante la posibilidad de que el resto de entidades públicas distintas de la Sala de lo Constitucional realicen una actividad controladora de validez primaria de normas jurídicas y actos de autoridad, se erige el sistema de control difuso de constitucionalidad, en el que se encuentra enclavada la jurisdicción constitucional difusa.</w:t>
      </w:r>
    </w:p>
    <w:p w:rsidR="00DB5CEE" w:rsidRDefault="00DB5CEE" w:rsidP="00DB5CE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El Sistema de Control Difuso, es una garantía para preservar la supremacía de la Constitución. Esta supremacía está consagrada en el artículo 246 que literalmente reza: </w:t>
      </w:r>
      <w:r>
        <w:rPr>
          <w:rFonts w:ascii="Times New Roman" w:hAnsi="Times New Roman" w:cs="Times New Roman"/>
          <w:i/>
          <w:sz w:val="24"/>
          <w:szCs w:val="24"/>
        </w:rPr>
        <w:t xml:space="preserve">“Los principios, derechos y obligaciones establecidos por esta Constitución, no pueden ser alterados por las leyes que regulen su ejercicio. La Constitución prevalecerá sobre todas las leyes y reglamentos. El interés público tienen primacía sobre el interés privado.” </w:t>
      </w:r>
      <w:r>
        <w:rPr>
          <w:rFonts w:ascii="Times New Roman" w:hAnsi="Times New Roman" w:cs="Times New Roman"/>
          <w:sz w:val="24"/>
          <w:szCs w:val="24"/>
        </w:rPr>
        <w:t xml:space="preserve">Este sistema se manifiesta a través de los mecanismos de </w:t>
      </w:r>
      <w:r w:rsidRPr="00C84BC0">
        <w:rPr>
          <w:rFonts w:ascii="Times New Roman" w:hAnsi="Times New Roman" w:cs="Times New Roman"/>
          <w:i/>
          <w:sz w:val="24"/>
          <w:szCs w:val="24"/>
        </w:rPr>
        <w:t>la inaplicabilidad de las leyes y del deber de no aplicació</w:t>
      </w:r>
      <w:r>
        <w:rPr>
          <w:rFonts w:ascii="Times New Roman" w:hAnsi="Times New Roman" w:cs="Times New Roman"/>
          <w:sz w:val="24"/>
          <w:szCs w:val="24"/>
        </w:rPr>
        <w:t>n, cuya ubicación en la norma constitucional aparece en los artículos 149 y 185, la primera, y 235, la segunda. El primero es un mecanismo eminentemente jurisdiccional y el segundo está dirigido más bien a las entidades no jurisdiccionales.</w:t>
      </w:r>
    </w:p>
    <w:p w:rsidR="00DB5CEE" w:rsidRDefault="00DB5CEE" w:rsidP="00DB5CE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La inaplicabilidad es una potestad conferida a todo órgano jurisdiccional, es decir, a los Jueces de Paz y de Primera Instancia, a las Cámaras de Segunda Instancia o a cualquiera de las Salas de la Corte Suprema de Justicia, quienes están autorizados para inaplicar una Ley, cuando ella esté en desacuerdo con nuestra Constitución. Para ejercer este control difuso necesariamente tiene que existir un proceso de cualquier clase en el tribunal que hace uso de la potestad inaplicadora, es decir, un caso particular, lo que se colige del sentido literal del artículo 185 de la Constitución</w:t>
      </w:r>
      <w:r>
        <w:rPr>
          <w:rStyle w:val="Refdenotaalpie"/>
          <w:rFonts w:ascii="Times New Roman" w:hAnsi="Times New Roman" w:cs="Times New Roman"/>
          <w:sz w:val="24"/>
          <w:szCs w:val="24"/>
        </w:rPr>
        <w:footnoteReference w:id="3"/>
      </w:r>
      <w:r>
        <w:rPr>
          <w:rFonts w:ascii="Times New Roman" w:hAnsi="Times New Roman" w:cs="Times New Roman"/>
          <w:sz w:val="24"/>
          <w:szCs w:val="24"/>
        </w:rPr>
        <w:t xml:space="preserve">. Este control difuso de la constitucionalidad de las Leyes está generalizado para cualesquiera procesos y tribunales; es decir, es un deber </w:t>
      </w:r>
      <w:r>
        <w:rPr>
          <w:rFonts w:ascii="Times New Roman" w:hAnsi="Times New Roman" w:cs="Times New Roman"/>
          <w:sz w:val="24"/>
          <w:szCs w:val="24"/>
        </w:rPr>
        <w:lastRenderedPageBreak/>
        <w:t>dirigido a todos los entes jurisdiccionales de dar preferencia a la Constitución en cualquier caso concreto de que se trate, a fin de garantizar el carácter supremo de la misma.</w:t>
      </w:r>
    </w:p>
    <w:p w:rsidR="00DB5CEE" w:rsidRDefault="00DB5CEE" w:rsidP="00DB5CE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Es preciso subrayar que el mecanismo de la inaplicabilidad de la Ley no debe ser utilizado arbitrariamente por jueces y magistrados, puesto que, justamente a la par de esta potestad especial conferida por la Constitución para ellos, también aparece el deber de motivar sus decisiones. Lo dicho significa que los tribunales, cuando van a ejercer la potestad de inaplicación de normas jurídicas de carácter general para un caso particular, deben exponer en su decisión todos los fundamentos que posibiliten al destinatario de su decisión, o a cualquier interesado, conocer las razones por las cuales han inaplicado la disposición de que se trate, de manera que puedan advertirse las motivaciones que les han llevado a adoptar una decisión en ese sentido.</w:t>
      </w:r>
    </w:p>
    <w:p w:rsidR="00DB5CEE" w:rsidRDefault="00DB5CEE" w:rsidP="00DB5CE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Por otro lado, el deber de no aplicación aparece contemplado en el artículo 235 de la Constitución de la República</w:t>
      </w:r>
      <w:r>
        <w:rPr>
          <w:rStyle w:val="Refdenotaalpie"/>
          <w:rFonts w:ascii="Times New Roman" w:hAnsi="Times New Roman" w:cs="Times New Roman"/>
          <w:sz w:val="24"/>
          <w:szCs w:val="24"/>
        </w:rPr>
        <w:footnoteReference w:id="4"/>
      </w:r>
      <w:r>
        <w:rPr>
          <w:rFonts w:ascii="Times New Roman" w:hAnsi="Times New Roman" w:cs="Times New Roman"/>
          <w:sz w:val="24"/>
          <w:szCs w:val="24"/>
        </w:rPr>
        <w:t xml:space="preserve">. Esta disposición está redactada de tal modo que incluye a los jueces, aunque no se les menciona expresamente como tales, ya que la disposición mencionada señala: </w:t>
      </w:r>
      <w:r>
        <w:rPr>
          <w:rFonts w:ascii="Times New Roman" w:hAnsi="Times New Roman" w:cs="Times New Roman"/>
          <w:i/>
          <w:sz w:val="24"/>
          <w:szCs w:val="24"/>
        </w:rPr>
        <w:t>“Todo funcionario civil o militar antes de tomar posesión de su cargo, protestará bajo su palabra de honor, ser fiel a la República, cumplir y hacer cumplir la Constitución, ateniéndose a su texto cualesquiera que fueren las leyes, decretos, órdenes  o resoluciones que la contraríen, prometiendo, además, el exacto cumplimiento de los deberes que el cargo le imponga, por cuya infracción será responsable conforme a las leyes.”</w:t>
      </w:r>
      <w:r>
        <w:rPr>
          <w:rFonts w:ascii="Times New Roman" w:hAnsi="Times New Roman" w:cs="Times New Roman"/>
          <w:sz w:val="24"/>
          <w:szCs w:val="24"/>
        </w:rPr>
        <w:t xml:space="preserve"> Se advierte entonces que dentro de esta disposición aparecen obligados a no acatar actos inconstitucionales tanto los funcionarios civiles como los militares. Como es lógico, los jueces aparecen dentro de la categoría de funcionarios civiles. Sin embargo, el constituyente pareció haber querido enfatizar la potestad de inaplicar leyes que se reconoce a la jurisdicción, ya que, de acuerdo a la finalidad de este deber de no aplicación, hubiera sido suficiente el establecer la norma que contiene el artículo 235 y no prescribir una potestad especifica conferida a los jueces mediante el artículo 185.</w:t>
      </w:r>
    </w:p>
    <w:p w:rsidR="00DB5CEE" w:rsidRPr="00893965" w:rsidRDefault="00DB5CEE" w:rsidP="00DB5CEE">
      <w:pPr>
        <w:pStyle w:val="Prrafode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b/>
          <w:sz w:val="24"/>
          <w:szCs w:val="24"/>
        </w:rPr>
        <w:t>Sistema de Control Concentrado</w:t>
      </w:r>
    </w:p>
    <w:p w:rsidR="00DB5CEE" w:rsidRDefault="00DB5CEE" w:rsidP="00DB5CE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La tradición constitucional europea, que ponía el acento en el imperio de la Ley como expresión de la voluntad popular, no era pues compatible con un control sobre las Leyes por parte del aparato judicial. Por ello, la introducción en Europa del control de constitucionalidad de las Leyes se ha llevado a cabo en el constitucionalismo europeo mediante la creación -basada en las propuestas de Hans Kelsen- de un órgano especializado, encargado de ese control de constitucionalidad, que actuase con todas las garantías de imparcialidad e independencia de los jueces ordinarios, pero que se configurase como un órgano completamente separado de éstos</w:t>
      </w:r>
      <w:r>
        <w:rPr>
          <w:rStyle w:val="Refdenotaalpie"/>
          <w:rFonts w:ascii="Times New Roman" w:hAnsi="Times New Roman" w:cs="Times New Roman"/>
          <w:sz w:val="24"/>
          <w:szCs w:val="24"/>
        </w:rPr>
        <w:footnoteReference w:id="5"/>
      </w:r>
      <w:r>
        <w:rPr>
          <w:rFonts w:ascii="Times New Roman" w:hAnsi="Times New Roman" w:cs="Times New Roman"/>
          <w:sz w:val="24"/>
          <w:szCs w:val="24"/>
        </w:rPr>
        <w:t>.</w:t>
      </w:r>
    </w:p>
    <w:p w:rsidR="00DB5CEE" w:rsidRDefault="00DB5CEE" w:rsidP="00DB5CE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Éste sistema se caracteriza porque, generalmente es un solo organismo del Estado el que tiene la potestad de actuar como juez constitucional, quien tiene el poder exclusivo de conocer y decidir en esta materia.</w:t>
      </w:r>
    </w:p>
    <w:p w:rsidR="00DB5CEE" w:rsidRDefault="00DB5CEE" w:rsidP="00DB5CE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En nuestro país, el sistema de protección concentrado de la Constitución se manifiesta a través de los mecanismos de control concentrado de constitucionalidad: los procesos de Amparo, Inconstitucionalidad y Habeas Corpus. En la República, dicho sistema es ejercido por la Sala de lo Constitucional de la Corte Suprema de Justicia. El Salvador fue el primer país en Centroamérica en adoptar el modelo de la Sala de lo Constitucional, en la Constitución de mil novecientos ochenta y tres</w:t>
      </w:r>
      <w:r>
        <w:rPr>
          <w:rStyle w:val="Refdenotaalpie"/>
          <w:rFonts w:ascii="Times New Roman" w:hAnsi="Times New Roman" w:cs="Times New Roman"/>
          <w:sz w:val="24"/>
          <w:szCs w:val="24"/>
        </w:rPr>
        <w:footnoteReference w:id="6"/>
      </w:r>
      <w:r>
        <w:rPr>
          <w:rFonts w:ascii="Times New Roman" w:hAnsi="Times New Roman" w:cs="Times New Roman"/>
          <w:sz w:val="24"/>
          <w:szCs w:val="24"/>
        </w:rPr>
        <w:t>.</w:t>
      </w:r>
    </w:p>
    <w:p w:rsidR="00DB5CEE" w:rsidRDefault="00DB5CEE" w:rsidP="00DB5CE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Los fundamentos jurídicos de cada uno de los mecanismos que integran este sistema de control se encuentran ubicados en la Constitución de la República, en los artículos 11 y 247 inciso 2° para el caso del Habeas Corpus; 149, 174 y 183 en relación a la Inconstitucionalidad y, 247 inciso 1° en referencia al proceso de Amparo. Para los fines del presente tema realizaré únicamente una breve descripción del proceso de Inconstitucionalidad.</w:t>
      </w:r>
    </w:p>
    <w:p w:rsidR="00DB5CEE" w:rsidRDefault="00DB5CEE" w:rsidP="00DB5CEE">
      <w:pPr>
        <w:spacing w:line="360" w:lineRule="auto"/>
        <w:ind w:firstLine="360"/>
        <w:jc w:val="both"/>
        <w:rPr>
          <w:rFonts w:ascii="Times New Roman" w:hAnsi="Times New Roman" w:cs="Times New Roman"/>
          <w:i/>
          <w:sz w:val="24"/>
          <w:szCs w:val="24"/>
        </w:rPr>
      </w:pPr>
      <w:r>
        <w:rPr>
          <w:rFonts w:ascii="Times New Roman" w:hAnsi="Times New Roman" w:cs="Times New Roman"/>
          <w:sz w:val="24"/>
          <w:szCs w:val="24"/>
        </w:rPr>
        <w:t xml:space="preserve">En relación al proceso de Inconstitucionalidad, el artículo 183 de la Constitución nos plantea: </w:t>
      </w:r>
      <w:r>
        <w:rPr>
          <w:rFonts w:ascii="Times New Roman" w:hAnsi="Times New Roman" w:cs="Times New Roman"/>
          <w:i/>
          <w:sz w:val="24"/>
          <w:szCs w:val="24"/>
        </w:rPr>
        <w:t xml:space="preserve">“La Corte Suprema de Justicia por medio de la Sala de lo Constitucional será el único tribunal competente para declarar la inconstitucionalidad de las leyes, decretos y reglamentos, en su forma y contenido, de un modo general y obligatorio, y podrá hacerlo a </w:t>
      </w:r>
      <w:r>
        <w:rPr>
          <w:rFonts w:ascii="Times New Roman" w:hAnsi="Times New Roman" w:cs="Times New Roman"/>
          <w:i/>
          <w:sz w:val="24"/>
          <w:szCs w:val="24"/>
        </w:rPr>
        <w:lastRenderedPageBreak/>
        <w:t xml:space="preserve">petición de cualquier ciudadano.” </w:t>
      </w:r>
      <w:r>
        <w:rPr>
          <w:rFonts w:ascii="Times New Roman" w:hAnsi="Times New Roman" w:cs="Times New Roman"/>
          <w:sz w:val="24"/>
          <w:szCs w:val="24"/>
        </w:rPr>
        <w:t xml:space="preserve">Asimismo en su artículo 174 establece: </w:t>
      </w:r>
      <w:r>
        <w:rPr>
          <w:rFonts w:ascii="Times New Roman" w:hAnsi="Times New Roman" w:cs="Times New Roman"/>
          <w:i/>
          <w:sz w:val="24"/>
          <w:szCs w:val="24"/>
        </w:rPr>
        <w:t>“La Corte Suprema de Justicia tendrá una Sala de lo Constitucional, a la cual corresponderá conocer y resolver las demandas de inconstitucionalidad de las leyes, decretos y reglamentos, los proceso de amparo, el habeas corpus, las controversias entre el Órgano Legislativo y el Órgano Ejecutivo a que se refiere el Art. 138 y las causas mencionadas en la atribución 7ͣ del Art. 182 de esta Constitución.</w:t>
      </w:r>
    </w:p>
    <w:p w:rsidR="00DB5CEE" w:rsidRDefault="00DB5CEE" w:rsidP="00DB5CEE">
      <w:pPr>
        <w:spacing w:line="360" w:lineRule="auto"/>
        <w:ind w:firstLine="360"/>
        <w:jc w:val="both"/>
        <w:rPr>
          <w:rFonts w:ascii="Times New Roman" w:hAnsi="Times New Roman" w:cs="Times New Roman"/>
          <w:sz w:val="24"/>
          <w:szCs w:val="24"/>
        </w:rPr>
      </w:pPr>
      <w:r w:rsidRPr="0022360A">
        <w:rPr>
          <w:rFonts w:ascii="Times New Roman" w:hAnsi="Times New Roman" w:cs="Times New Roman"/>
          <w:sz w:val="24"/>
          <w:szCs w:val="24"/>
          <w:highlight w:val="yellow"/>
        </w:rPr>
        <w:t>A partir</w:t>
      </w:r>
      <w:r>
        <w:rPr>
          <w:rFonts w:ascii="Times New Roman" w:hAnsi="Times New Roman" w:cs="Times New Roman"/>
          <w:sz w:val="24"/>
          <w:szCs w:val="24"/>
        </w:rPr>
        <w:t xml:space="preserve"> de la Jurisprudencia, la Ley y la propia Constitución, se puede definir al proceso de inconstitucionalidad como aquel mecanismo procesal de control que está constituido por un análisis lógico-jurídico que busca desentrañar el sentido intrínseco de las disposiciones constitucionales propuestas como parámetro, así como el sentido general y abstracto de los diversos mandatos que se puedan contener en las disposiciones objeto de control, para luego verificar que exista conformidad de las segundas con las primeras y, si como resultado de dicho juicio de contraste, las disposiciones inferiores aparecieran disconformes con la Norma Suprema, decidir su invalidación, es decir, su expulsión del ordenamiento jurídico.</w:t>
      </w:r>
    </w:p>
    <w:p w:rsidR="00DB5CEE" w:rsidRDefault="00DB5CEE" w:rsidP="00DB5CE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El proceso de inconstitucionalidad es un mecanismo de control concentrado </w:t>
      </w:r>
      <w:r>
        <w:rPr>
          <w:rFonts w:ascii="Times New Roman" w:hAnsi="Times New Roman" w:cs="Times New Roman"/>
          <w:i/>
          <w:sz w:val="24"/>
          <w:szCs w:val="24"/>
        </w:rPr>
        <w:t xml:space="preserve">a posteriori, </w:t>
      </w:r>
      <w:r>
        <w:rPr>
          <w:rFonts w:ascii="Times New Roman" w:hAnsi="Times New Roman" w:cs="Times New Roman"/>
          <w:sz w:val="24"/>
          <w:szCs w:val="24"/>
        </w:rPr>
        <w:t xml:space="preserve">que tiene por objeto restaurar el orden constitucional alterado con motivo de la norma inconstitucional, con posterioridad a su vigencia; el cual, de conformidad a la </w:t>
      </w:r>
      <w:r>
        <w:rPr>
          <w:rFonts w:ascii="Times New Roman" w:hAnsi="Times New Roman" w:cs="Times New Roman"/>
          <w:i/>
          <w:sz w:val="24"/>
          <w:szCs w:val="24"/>
        </w:rPr>
        <w:t>naturaleza del vicio</w:t>
      </w:r>
      <w:r>
        <w:rPr>
          <w:rFonts w:ascii="Times New Roman" w:hAnsi="Times New Roman" w:cs="Times New Roman"/>
          <w:sz w:val="24"/>
          <w:szCs w:val="24"/>
        </w:rPr>
        <w:t xml:space="preserve"> del acto que se controla, puede clasificarse en: (a) </w:t>
      </w:r>
      <w:r>
        <w:rPr>
          <w:rFonts w:ascii="Times New Roman" w:hAnsi="Times New Roman" w:cs="Times New Roman"/>
          <w:i/>
          <w:sz w:val="24"/>
          <w:szCs w:val="24"/>
        </w:rPr>
        <w:t xml:space="preserve">formal, </w:t>
      </w:r>
      <w:r>
        <w:rPr>
          <w:rFonts w:ascii="Times New Roman" w:hAnsi="Times New Roman" w:cs="Times New Roman"/>
          <w:sz w:val="24"/>
          <w:szCs w:val="24"/>
        </w:rPr>
        <w:t xml:space="preserve">que controla el procedimiento de formación y validez de la norma; y (b) </w:t>
      </w:r>
      <w:r>
        <w:rPr>
          <w:rFonts w:ascii="Times New Roman" w:hAnsi="Times New Roman" w:cs="Times New Roman"/>
          <w:i/>
          <w:sz w:val="24"/>
          <w:szCs w:val="24"/>
        </w:rPr>
        <w:t xml:space="preserve">material, </w:t>
      </w:r>
      <w:r>
        <w:rPr>
          <w:rFonts w:ascii="Times New Roman" w:hAnsi="Times New Roman" w:cs="Times New Roman"/>
          <w:sz w:val="24"/>
          <w:szCs w:val="24"/>
        </w:rPr>
        <w:t xml:space="preserve">que controla el contenido de la </w:t>
      </w:r>
      <w:r w:rsidRPr="00333BE8">
        <w:rPr>
          <w:rFonts w:ascii="Times New Roman" w:hAnsi="Times New Roman" w:cs="Times New Roman"/>
          <w:sz w:val="24"/>
          <w:szCs w:val="24"/>
          <w:highlight w:val="yellow"/>
        </w:rPr>
        <w:t>misma.</w:t>
      </w:r>
    </w:p>
    <w:p w:rsidR="00DB5CEE" w:rsidRDefault="00DB5CEE" w:rsidP="00DB5CE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Este mecanismo de control concentrado se inicia por medio de una demanda de inconstitucionalidad en ejercicio de una acción que es catalogada como popular, pues no está sometida a condiciones particulares de legitimación que sean distintas de la mera calidad de ciudadano. Precisamente, el artículo 183 ya mencionado señala que la declaratoria de inconstitucionalidad puede decretarse “</w:t>
      </w:r>
      <w:r>
        <w:rPr>
          <w:rFonts w:ascii="Times New Roman" w:hAnsi="Times New Roman" w:cs="Times New Roman"/>
          <w:i/>
          <w:sz w:val="24"/>
          <w:szCs w:val="24"/>
        </w:rPr>
        <w:t xml:space="preserve">a petición de cualquier ciudadano”, </w:t>
      </w:r>
      <w:r>
        <w:rPr>
          <w:rFonts w:ascii="Times New Roman" w:hAnsi="Times New Roman" w:cs="Times New Roman"/>
          <w:sz w:val="24"/>
          <w:szCs w:val="24"/>
        </w:rPr>
        <w:t xml:space="preserve">ya que el ciudadano no necesita una legitimación específica –como el agravio en el caso del Amparo- para poder interponer una demanda de inconstitucionalidad, ante la Sala de lo  Constitucional de la Corte Suprema de Justicia. En ese orden de ideas, el artículo 73 de la Constitución establece en su ordinal segundo, como uno de los deberes políticos del </w:t>
      </w:r>
      <w:r>
        <w:rPr>
          <w:rFonts w:ascii="Times New Roman" w:hAnsi="Times New Roman" w:cs="Times New Roman"/>
          <w:sz w:val="24"/>
          <w:szCs w:val="24"/>
        </w:rPr>
        <w:lastRenderedPageBreak/>
        <w:t>ciudadano, cumplir y velar porque se cumpla la Constitución de la República. Ese deber es el que provee la legitimación activa de cualquier ciudadano en el proceso de inconstitucionalidad, por cuanto esta clase de procesos tiene como objeto mediato la defensa del orden constitucional cuando se considera vulnerado por la emisión de una disposición, un cuerpo normativo o un específico acto de aplicación directa de la norma primaria.</w:t>
      </w:r>
    </w:p>
    <w:p w:rsidR="00826774" w:rsidRDefault="00826774">
      <w:bookmarkStart w:id="0" w:name="_GoBack"/>
      <w:bookmarkEnd w:id="0"/>
    </w:p>
    <w:sectPr w:rsidR="00826774" w:rsidSect="00B2674C">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CEE" w:rsidRDefault="00DB5CEE" w:rsidP="00DB5CEE">
      <w:pPr>
        <w:spacing w:after="0" w:line="240" w:lineRule="auto"/>
      </w:pPr>
      <w:r>
        <w:separator/>
      </w:r>
    </w:p>
  </w:endnote>
  <w:endnote w:type="continuationSeparator" w:id="0">
    <w:p w:rsidR="00DB5CEE" w:rsidRDefault="00DB5CEE" w:rsidP="00DB5C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CEE" w:rsidRDefault="00DB5CEE" w:rsidP="00DB5CEE">
      <w:pPr>
        <w:spacing w:after="0" w:line="240" w:lineRule="auto"/>
      </w:pPr>
      <w:r>
        <w:separator/>
      </w:r>
    </w:p>
  </w:footnote>
  <w:footnote w:type="continuationSeparator" w:id="0">
    <w:p w:rsidR="00DB5CEE" w:rsidRDefault="00DB5CEE" w:rsidP="00DB5CEE">
      <w:pPr>
        <w:spacing w:after="0" w:line="240" w:lineRule="auto"/>
      </w:pPr>
      <w:r>
        <w:continuationSeparator/>
      </w:r>
    </w:p>
  </w:footnote>
  <w:footnote w:id="1">
    <w:p w:rsidR="00DB5CEE" w:rsidRDefault="00DB5CEE" w:rsidP="00DB5CEE">
      <w:pPr>
        <w:pStyle w:val="Textonotapie"/>
        <w:jc w:val="both"/>
      </w:pPr>
      <w:r>
        <w:rPr>
          <w:rStyle w:val="Refdenotaalpie"/>
        </w:rPr>
        <w:footnoteRef/>
      </w:r>
      <w:r>
        <w:t xml:space="preserve"> </w:t>
      </w:r>
      <w:r w:rsidRPr="008F3EE5">
        <w:rPr>
          <w:rFonts w:cstheme="minorHAnsi"/>
          <w:color w:val="000000"/>
        </w:rPr>
        <w:t>Constitución de la República de El Salvador, Decreto número 38, del 15 de diciembre de 1983, publicado en el Diario Oficial Número 234, del 16 de diciembre del mismo año</w:t>
      </w:r>
      <w:r>
        <w:rPr>
          <w:rFonts w:cstheme="minorHAnsi"/>
          <w:color w:val="000000"/>
        </w:rPr>
        <w:t>.</w:t>
      </w:r>
    </w:p>
  </w:footnote>
  <w:footnote w:id="2">
    <w:p w:rsidR="00DB5CEE" w:rsidRPr="00EE1B13" w:rsidRDefault="00DB5CEE" w:rsidP="00DB5CEE">
      <w:pPr>
        <w:pStyle w:val="Textonotapie"/>
      </w:pPr>
      <w:r>
        <w:rPr>
          <w:rStyle w:val="Refdenotaalpie"/>
        </w:rPr>
        <w:footnoteRef/>
      </w:r>
      <w:r>
        <w:t xml:space="preserve"> L</w:t>
      </w:r>
      <w:r>
        <w:rPr>
          <w:sz w:val="16"/>
          <w:szCs w:val="16"/>
        </w:rPr>
        <w:t xml:space="preserve">UIS </w:t>
      </w:r>
      <w:r>
        <w:t>L</w:t>
      </w:r>
      <w:r w:rsidRPr="00EE1B13">
        <w:rPr>
          <w:sz w:val="16"/>
          <w:szCs w:val="16"/>
        </w:rPr>
        <w:t>OPEZ</w:t>
      </w:r>
      <w:r>
        <w:t xml:space="preserve"> G</w:t>
      </w:r>
      <w:r w:rsidRPr="00EE1B13">
        <w:rPr>
          <w:sz w:val="16"/>
          <w:szCs w:val="16"/>
        </w:rPr>
        <w:t>UERRA</w:t>
      </w:r>
      <w:r>
        <w:rPr>
          <w:sz w:val="16"/>
          <w:szCs w:val="16"/>
        </w:rPr>
        <w:t xml:space="preserve">, </w:t>
      </w:r>
      <w:r w:rsidRPr="003B455A">
        <w:rPr>
          <w:sz w:val="18"/>
          <w:szCs w:val="18"/>
        </w:rPr>
        <w:t>“Introducción al Derecho Constitucional”, Valencia, Tirant Lo Blanch, 1994, p. 198.</w:t>
      </w:r>
    </w:p>
  </w:footnote>
  <w:footnote w:id="3">
    <w:p w:rsidR="00DB5CEE" w:rsidRPr="003B455A" w:rsidRDefault="00DB5CEE" w:rsidP="00DB5CEE">
      <w:pPr>
        <w:pStyle w:val="Textonotapie"/>
        <w:jc w:val="both"/>
        <w:rPr>
          <w:rFonts w:cstheme="minorHAnsi"/>
          <w:sz w:val="18"/>
          <w:szCs w:val="18"/>
        </w:rPr>
      </w:pPr>
      <w:r>
        <w:rPr>
          <w:rStyle w:val="Refdenotaalpie"/>
        </w:rPr>
        <w:footnoteRef/>
      </w:r>
      <w:r>
        <w:t xml:space="preserve"> Art. 185.- </w:t>
      </w:r>
      <w:r w:rsidRPr="003B455A">
        <w:rPr>
          <w:sz w:val="18"/>
          <w:szCs w:val="18"/>
        </w:rPr>
        <w:t>“</w:t>
      </w:r>
      <w:r w:rsidRPr="003B455A">
        <w:rPr>
          <w:rFonts w:cstheme="minorHAnsi"/>
          <w:i/>
          <w:sz w:val="18"/>
          <w:szCs w:val="18"/>
        </w:rPr>
        <w:t>Dentro de la potestad de administrar justicia, corresponde a los tribunales, en los casos en que tengan que pronunciar sentencia, declarar la inaplicabilidad de cualquier ley o disposición de los otros Órganos, contraria a los preceptos constitucionales”.</w:t>
      </w:r>
    </w:p>
  </w:footnote>
  <w:footnote w:id="4">
    <w:p w:rsidR="00DB5CEE" w:rsidRPr="0095779E" w:rsidRDefault="00DB5CEE" w:rsidP="00DB5CEE">
      <w:pPr>
        <w:pStyle w:val="Textonotapie"/>
        <w:rPr>
          <w:rFonts w:cstheme="minorHAnsi"/>
          <w:sz w:val="18"/>
          <w:szCs w:val="18"/>
        </w:rPr>
      </w:pPr>
      <w:r>
        <w:rPr>
          <w:rStyle w:val="Refdenotaalpie"/>
        </w:rPr>
        <w:footnoteRef/>
      </w:r>
      <w:r>
        <w:t xml:space="preserve"> </w:t>
      </w:r>
      <w:r w:rsidRPr="0095779E">
        <w:rPr>
          <w:rFonts w:cstheme="minorHAnsi"/>
          <w:sz w:val="18"/>
          <w:szCs w:val="18"/>
        </w:rPr>
        <w:t>Ob.cit. página 1.</w:t>
      </w:r>
    </w:p>
    <w:p w:rsidR="00DB5CEE" w:rsidRPr="0095779E" w:rsidRDefault="00DB5CEE" w:rsidP="00DB5CEE">
      <w:pPr>
        <w:pStyle w:val="Textonotapie"/>
        <w:rPr>
          <w:rFonts w:cstheme="minorHAnsi"/>
          <w:sz w:val="18"/>
          <w:szCs w:val="18"/>
        </w:rPr>
      </w:pPr>
    </w:p>
  </w:footnote>
  <w:footnote w:id="5">
    <w:p w:rsidR="00DB5CEE" w:rsidRPr="008407C9" w:rsidRDefault="00DB5CEE" w:rsidP="00DB5CEE">
      <w:pPr>
        <w:pStyle w:val="Textonotapie"/>
        <w:rPr>
          <w:sz w:val="18"/>
          <w:szCs w:val="18"/>
        </w:rPr>
      </w:pPr>
      <w:r>
        <w:rPr>
          <w:rStyle w:val="Refdenotaalpie"/>
        </w:rPr>
        <w:footnoteRef/>
      </w:r>
      <w:r>
        <w:t xml:space="preserve"> L</w:t>
      </w:r>
      <w:r>
        <w:rPr>
          <w:sz w:val="16"/>
          <w:szCs w:val="16"/>
        </w:rPr>
        <w:t xml:space="preserve">UIS </w:t>
      </w:r>
      <w:r>
        <w:t>L</w:t>
      </w:r>
      <w:r w:rsidRPr="00EE1B13">
        <w:rPr>
          <w:sz w:val="16"/>
          <w:szCs w:val="16"/>
        </w:rPr>
        <w:t>OPEZ</w:t>
      </w:r>
      <w:r>
        <w:t xml:space="preserve"> G</w:t>
      </w:r>
      <w:r w:rsidRPr="00EE1B13">
        <w:rPr>
          <w:sz w:val="16"/>
          <w:szCs w:val="16"/>
        </w:rPr>
        <w:t>UERRA</w:t>
      </w:r>
      <w:r>
        <w:rPr>
          <w:sz w:val="16"/>
          <w:szCs w:val="16"/>
        </w:rPr>
        <w:t>, “</w:t>
      </w:r>
      <w:r w:rsidRPr="008407C9">
        <w:rPr>
          <w:sz w:val="18"/>
          <w:szCs w:val="18"/>
        </w:rPr>
        <w:t>Introducción al Derecho Constitucional”, Valencia, Tirant Lo Blanch, 1994, p. 201.</w:t>
      </w:r>
    </w:p>
  </w:footnote>
  <w:footnote w:id="6">
    <w:p w:rsidR="00DB5CEE" w:rsidRPr="008407C9" w:rsidRDefault="00DB5CEE" w:rsidP="00DB5CEE">
      <w:pPr>
        <w:pStyle w:val="Textonotapie"/>
        <w:rPr>
          <w:sz w:val="18"/>
          <w:szCs w:val="18"/>
        </w:rPr>
      </w:pPr>
      <w:r>
        <w:rPr>
          <w:rStyle w:val="Refdenotaalpie"/>
        </w:rPr>
        <w:footnoteRef/>
      </w:r>
      <w:r>
        <w:t xml:space="preserve"> E</w:t>
      </w:r>
      <w:r w:rsidRPr="003B455A">
        <w:rPr>
          <w:sz w:val="16"/>
          <w:szCs w:val="16"/>
        </w:rPr>
        <w:t>LENA</w:t>
      </w:r>
      <w:r>
        <w:t xml:space="preserve"> I.H</w:t>
      </w:r>
      <w:r w:rsidRPr="003B455A">
        <w:rPr>
          <w:sz w:val="16"/>
          <w:szCs w:val="16"/>
        </w:rPr>
        <w:t>IGHTON</w:t>
      </w:r>
      <w:r>
        <w:t xml:space="preserve">. </w:t>
      </w:r>
      <w:r w:rsidRPr="008407C9">
        <w:rPr>
          <w:sz w:val="18"/>
          <w:szCs w:val="18"/>
        </w:rPr>
        <w:t>Sistemas Concentrado y Difuso de Control de Constitucionalidad. www.biblio.juridicas.unam.mx</w:t>
      </w:r>
    </w:p>
    <w:p w:rsidR="00DB5CEE" w:rsidRPr="008407C9" w:rsidRDefault="00DB5CEE" w:rsidP="00DB5CEE">
      <w:pPr>
        <w:pStyle w:val="Textonotapie"/>
        <w:rPr>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90F09"/>
    <w:multiLevelType w:val="hybridMultilevel"/>
    <w:tmpl w:val="4498F5D4"/>
    <w:lvl w:ilvl="0" w:tplc="A912A89E">
      <w:start w:val="1"/>
      <w:numFmt w:val="decimal"/>
      <w:lvlText w:val="%1)"/>
      <w:lvlJc w:val="left"/>
      <w:pPr>
        <w:ind w:left="1425" w:hanging="360"/>
      </w:pPr>
      <w:rPr>
        <w:rFonts w:hint="default"/>
      </w:rPr>
    </w:lvl>
    <w:lvl w:ilvl="1" w:tplc="440A0019" w:tentative="1">
      <w:start w:val="1"/>
      <w:numFmt w:val="lowerLetter"/>
      <w:lvlText w:val="%2."/>
      <w:lvlJc w:val="left"/>
      <w:pPr>
        <w:ind w:left="2145" w:hanging="360"/>
      </w:pPr>
    </w:lvl>
    <w:lvl w:ilvl="2" w:tplc="440A001B" w:tentative="1">
      <w:start w:val="1"/>
      <w:numFmt w:val="lowerRoman"/>
      <w:lvlText w:val="%3."/>
      <w:lvlJc w:val="right"/>
      <w:pPr>
        <w:ind w:left="2865" w:hanging="180"/>
      </w:pPr>
    </w:lvl>
    <w:lvl w:ilvl="3" w:tplc="440A000F" w:tentative="1">
      <w:start w:val="1"/>
      <w:numFmt w:val="decimal"/>
      <w:lvlText w:val="%4."/>
      <w:lvlJc w:val="left"/>
      <w:pPr>
        <w:ind w:left="3585" w:hanging="360"/>
      </w:pPr>
    </w:lvl>
    <w:lvl w:ilvl="4" w:tplc="440A0019" w:tentative="1">
      <w:start w:val="1"/>
      <w:numFmt w:val="lowerLetter"/>
      <w:lvlText w:val="%5."/>
      <w:lvlJc w:val="left"/>
      <w:pPr>
        <w:ind w:left="4305" w:hanging="360"/>
      </w:pPr>
    </w:lvl>
    <w:lvl w:ilvl="5" w:tplc="440A001B" w:tentative="1">
      <w:start w:val="1"/>
      <w:numFmt w:val="lowerRoman"/>
      <w:lvlText w:val="%6."/>
      <w:lvlJc w:val="right"/>
      <w:pPr>
        <w:ind w:left="5025" w:hanging="180"/>
      </w:pPr>
    </w:lvl>
    <w:lvl w:ilvl="6" w:tplc="440A000F" w:tentative="1">
      <w:start w:val="1"/>
      <w:numFmt w:val="decimal"/>
      <w:lvlText w:val="%7."/>
      <w:lvlJc w:val="left"/>
      <w:pPr>
        <w:ind w:left="5745" w:hanging="360"/>
      </w:pPr>
    </w:lvl>
    <w:lvl w:ilvl="7" w:tplc="440A0019" w:tentative="1">
      <w:start w:val="1"/>
      <w:numFmt w:val="lowerLetter"/>
      <w:lvlText w:val="%8."/>
      <w:lvlJc w:val="left"/>
      <w:pPr>
        <w:ind w:left="6465" w:hanging="360"/>
      </w:pPr>
    </w:lvl>
    <w:lvl w:ilvl="8" w:tplc="440A001B" w:tentative="1">
      <w:start w:val="1"/>
      <w:numFmt w:val="lowerRoman"/>
      <w:lvlText w:val="%9."/>
      <w:lvlJc w:val="right"/>
      <w:pPr>
        <w:ind w:left="7185" w:hanging="180"/>
      </w:pPr>
    </w:lvl>
  </w:abstractNum>
  <w:abstractNum w:abstractNumId="1">
    <w:nsid w:val="5B8B35ED"/>
    <w:multiLevelType w:val="hybridMultilevel"/>
    <w:tmpl w:val="574C69C4"/>
    <w:lvl w:ilvl="0" w:tplc="078020D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6C148D"/>
    <w:rsid w:val="006C148D"/>
    <w:rsid w:val="007F3CE0"/>
    <w:rsid w:val="00826774"/>
    <w:rsid w:val="00B2674C"/>
    <w:rsid w:val="00DB5CE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CEE"/>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CEE"/>
    <w:pPr>
      <w:ind w:left="720"/>
      <w:contextualSpacing/>
    </w:pPr>
    <w:rPr>
      <w:rFonts w:eastAsiaTheme="minorHAnsi"/>
      <w:lang w:eastAsia="en-US"/>
    </w:rPr>
  </w:style>
  <w:style w:type="paragraph" w:styleId="Textonotapie">
    <w:name w:val="footnote text"/>
    <w:aliases w:val="ALTS FOOTNOTE,fn,Footnote Text 2,Footnote ak,fn Car Car"/>
    <w:basedOn w:val="Normal"/>
    <w:link w:val="TextonotapieCar"/>
    <w:uiPriority w:val="99"/>
    <w:unhideWhenUsed/>
    <w:qFormat/>
    <w:rsid w:val="00DB5CEE"/>
    <w:pPr>
      <w:spacing w:after="0" w:line="240" w:lineRule="auto"/>
    </w:pPr>
    <w:rPr>
      <w:sz w:val="20"/>
      <w:szCs w:val="20"/>
    </w:rPr>
  </w:style>
  <w:style w:type="character" w:customStyle="1" w:styleId="TextonotapieCar">
    <w:name w:val="Texto nota pie Car"/>
    <w:aliases w:val="ALTS FOOTNOTE Car,fn Car,Footnote Text 2 Car,Footnote ak Car,fn Car Car Car"/>
    <w:basedOn w:val="Fuentedeprrafopredeter"/>
    <w:link w:val="Textonotapie"/>
    <w:uiPriority w:val="99"/>
    <w:rsid w:val="00DB5CEE"/>
    <w:rPr>
      <w:rFonts w:eastAsiaTheme="minorEastAsia"/>
      <w:sz w:val="20"/>
      <w:szCs w:val="20"/>
      <w:lang w:eastAsia="es-SV"/>
    </w:rPr>
  </w:style>
  <w:style w:type="character" w:styleId="Refdenotaalpie">
    <w:name w:val="footnote reference"/>
    <w:basedOn w:val="Fuentedeprrafopredeter"/>
    <w:uiPriority w:val="99"/>
    <w:semiHidden/>
    <w:unhideWhenUsed/>
    <w:rsid w:val="00DB5C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CEE"/>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CEE"/>
    <w:pPr>
      <w:ind w:left="720"/>
      <w:contextualSpacing/>
    </w:pPr>
    <w:rPr>
      <w:rFonts w:eastAsiaTheme="minorHAnsi"/>
      <w:lang w:eastAsia="en-US"/>
    </w:rPr>
  </w:style>
  <w:style w:type="paragraph" w:styleId="Textonotapie">
    <w:name w:val="footnote text"/>
    <w:aliases w:val="ALTS FOOTNOTE,fn,Footnote Text 2,Footnote ak,fn Car Car"/>
    <w:basedOn w:val="Normal"/>
    <w:link w:val="TextonotapieCar"/>
    <w:uiPriority w:val="99"/>
    <w:unhideWhenUsed/>
    <w:qFormat/>
    <w:rsid w:val="00DB5CEE"/>
    <w:pPr>
      <w:spacing w:after="0" w:line="240" w:lineRule="auto"/>
    </w:pPr>
    <w:rPr>
      <w:sz w:val="20"/>
      <w:szCs w:val="20"/>
    </w:rPr>
  </w:style>
  <w:style w:type="character" w:customStyle="1" w:styleId="TextonotapieCar">
    <w:name w:val="Texto nota pie Car"/>
    <w:aliases w:val="ALTS FOOTNOTE Car,fn Car,Footnote Text 2 Car,Footnote ak Car,fn Car Car Car"/>
    <w:basedOn w:val="Fuentedeprrafopredeter"/>
    <w:link w:val="Textonotapie"/>
    <w:uiPriority w:val="99"/>
    <w:rsid w:val="00DB5CEE"/>
    <w:rPr>
      <w:rFonts w:eastAsiaTheme="minorEastAsia"/>
      <w:sz w:val="20"/>
      <w:szCs w:val="20"/>
      <w:lang w:eastAsia="es-SV"/>
    </w:rPr>
  </w:style>
  <w:style w:type="character" w:styleId="Refdenotaalpie">
    <w:name w:val="footnote reference"/>
    <w:basedOn w:val="Fuentedeprrafopredeter"/>
    <w:uiPriority w:val="99"/>
    <w:semiHidden/>
    <w:unhideWhenUsed/>
    <w:rsid w:val="00DB5CEE"/>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1783</Words>
  <Characters>9809</Characters>
  <Application>Microsoft Office Word</Application>
  <DocSecurity>0</DocSecurity>
  <Lines>81</Lines>
  <Paragraphs>23</Paragraphs>
  <ScaleCrop>false</ScaleCrop>
  <Company/>
  <LinksUpToDate>false</LinksUpToDate>
  <CharactersWithSpaces>11569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jairzhinho</dc:creator>
  <cp:lastModifiedBy>Fagoaga</cp:lastModifiedBy>
  <cp:revision>2</cp:revision>
  <dcterms:created xsi:type="dcterms:W3CDTF">2014-07-29T16:53:00Z</dcterms:created>
  <dcterms:modified xsi:type="dcterms:W3CDTF">2014-07-29T16:53:00Z</dcterms:modified>
</cp:coreProperties>
</file>