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55" w:rsidRDefault="00E91355" w:rsidP="00E91355">
      <w:pPr>
        <w:pStyle w:val="NormalWeb"/>
        <w:jc w:val="center"/>
      </w:pPr>
      <w:r>
        <w:rPr>
          <w:rFonts w:ascii="Verdana" w:hAnsi="Verdana"/>
          <w:b/>
          <w:bCs/>
          <w:sz w:val="27"/>
          <w:szCs w:val="27"/>
        </w:rPr>
        <w:t>El amparo en El Salvador: finalidad y derechos protegibles*</w:t>
      </w:r>
    </w:p>
    <w:p w:rsidR="00E91355" w:rsidRDefault="00E91355" w:rsidP="00E91355">
      <w:pPr>
        <w:pStyle w:val="NormalWeb"/>
        <w:jc w:val="center"/>
      </w:pPr>
      <w:r>
        <w:rPr>
          <w:rFonts w:ascii="Verdana" w:hAnsi="Verdana"/>
          <w:sz w:val="20"/>
          <w:szCs w:val="20"/>
        </w:rPr>
        <w:t> </w:t>
      </w:r>
    </w:p>
    <w:p w:rsidR="00E91355" w:rsidRDefault="00E91355" w:rsidP="00E91355">
      <w:pPr>
        <w:pStyle w:val="NormalWeb"/>
        <w:jc w:val="center"/>
      </w:pPr>
      <w:r>
        <w:rPr>
          <w:rFonts w:ascii="Verdana" w:hAnsi="Verdana"/>
          <w:b/>
          <w:bCs/>
        </w:rPr>
        <w:t>The Amparo in El Salvador: its Aims and Rights Protected</w:t>
      </w:r>
    </w:p>
    <w:p w:rsidR="00E91355" w:rsidRDefault="00E91355" w:rsidP="00E91355">
      <w:pPr>
        <w:pStyle w:val="NormalWeb"/>
        <w:jc w:val="center"/>
      </w:pPr>
      <w:r>
        <w:rPr>
          <w:rFonts w:ascii="Verdana" w:hAnsi="Verdana"/>
          <w:sz w:val="20"/>
          <w:szCs w:val="20"/>
        </w:rPr>
        <w:t> </w:t>
      </w:r>
    </w:p>
    <w:p w:rsidR="00E91355" w:rsidRDefault="00E91355" w:rsidP="00E91355">
      <w:pPr>
        <w:pStyle w:val="NormalWeb"/>
        <w:jc w:val="center"/>
      </w:pPr>
      <w:r>
        <w:rPr>
          <w:rFonts w:ascii="Verdana" w:hAnsi="Verdana"/>
          <w:b/>
          <w:bCs/>
          <w:sz w:val="20"/>
          <w:szCs w:val="20"/>
        </w:rPr>
        <w:t>Manuel Montecino Giralt**</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i/>
          <w:iCs/>
          <w:sz w:val="20"/>
          <w:szCs w:val="20"/>
        </w:rPr>
        <w:t>** Director General de Asuntos Jurídicos del Ministerio de Relaciones Exteriores</w:t>
      </w:r>
      <w:r>
        <w:rPr>
          <w:rFonts w:ascii="Verdana" w:hAnsi="Verdana"/>
          <w:sz w:val="20"/>
          <w:szCs w:val="20"/>
        </w:rPr>
        <w:t xml:space="preserve"> (</w:t>
      </w:r>
      <w:hyperlink r:id="rId4" w:history="1">
        <w:r>
          <w:rPr>
            <w:rStyle w:val="Hipervnculo"/>
            <w:rFonts w:ascii="Verdana" w:hAnsi="Verdana"/>
            <w:sz w:val="20"/>
            <w:szCs w:val="20"/>
          </w:rPr>
          <w:t>meme_montecino@hotmail.com</w:t>
        </w:r>
      </w:hyperlink>
      <w:r>
        <w:rPr>
          <w:rFonts w:ascii="Verdana" w:hAnsi="Verdana"/>
          <w:sz w:val="20"/>
          <w:szCs w:val="20"/>
        </w:rPr>
        <w:t>).</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sz w:val="20"/>
          <w:szCs w:val="20"/>
        </w:rPr>
        <w:t xml:space="preserve">* Recibido: 2 de marzo de 2011. </w:t>
      </w:r>
      <w:r>
        <w:rPr>
          <w:rFonts w:ascii="Verdana" w:hAnsi="Verdana"/>
          <w:sz w:val="20"/>
          <w:szCs w:val="20"/>
        </w:rPr>
        <w:br/>
        <w:t xml:space="preserve">Aceptado: 15 de abril de 2011. </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b/>
          <w:bCs/>
          <w:sz w:val="20"/>
          <w:szCs w:val="20"/>
        </w:rPr>
        <w:t>Resumen</w:t>
      </w:r>
    </w:p>
    <w:p w:rsidR="00E91355" w:rsidRDefault="00E91355" w:rsidP="00E91355">
      <w:pPr>
        <w:pStyle w:val="NormalWeb"/>
      </w:pPr>
      <w:r>
        <w:rPr>
          <w:rFonts w:ascii="Verdana" w:hAnsi="Verdana"/>
          <w:sz w:val="20"/>
          <w:szCs w:val="20"/>
        </w:rPr>
        <w:t>El presente artículo aborda la temática de la finalidad del amparo, con el objeto de esclarecer que además de la tradicional dimensión subjetiva, existe otra de tipo objetivo que se caracteriza por trascender al caso concreto, pues los criterios que emanan de la interpretación de las disposiciones constitucionales que sirven para resolver éste, se convierten en criterio cierto que orienta la interpretación y aplicación de los derechos fundamentales por parte de los órganos del Estado. Asimismo, hace una aproximación a uno de los temas inacabados en materia de amparo: el relativo a los derechos protegibles por el mismo, lo cual es consecuencia de la amplia formulación contenida en el artículo 247 de la Constitución, que incluye a "los derechos que otorga la presente Constitución". En razón de eso, la Sala de lo Constitucional se ha visto en la necesidad de perfilar los contornos de dicha expresión y sistematizar el contenido de los derechos que han sido interpretados por ella.</w:t>
      </w:r>
    </w:p>
    <w:p w:rsidR="00E91355" w:rsidRDefault="00E91355" w:rsidP="00E91355">
      <w:pPr>
        <w:pStyle w:val="NormalWeb"/>
      </w:pPr>
      <w:r>
        <w:rPr>
          <w:rFonts w:ascii="Verdana" w:hAnsi="Verdana"/>
          <w:b/>
          <w:bCs/>
          <w:sz w:val="20"/>
          <w:szCs w:val="20"/>
        </w:rPr>
        <w:t xml:space="preserve">Palabras Clave: </w:t>
      </w:r>
      <w:r>
        <w:rPr>
          <w:rFonts w:ascii="Verdana" w:hAnsi="Verdana"/>
          <w:sz w:val="20"/>
          <w:szCs w:val="20"/>
        </w:rPr>
        <w:t>Recurso de amparo en El Salvador, justicia constitucional, dimensiones del amparo.</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b/>
          <w:bCs/>
          <w:sz w:val="20"/>
          <w:szCs w:val="20"/>
        </w:rPr>
        <w:t>Abstract</w:t>
      </w:r>
    </w:p>
    <w:p w:rsidR="00E91355" w:rsidRDefault="00E91355" w:rsidP="00E91355">
      <w:pPr>
        <w:pStyle w:val="NormalWeb"/>
      </w:pPr>
      <w:r>
        <w:rPr>
          <w:rFonts w:ascii="Verdana" w:hAnsi="Verdana"/>
          <w:sz w:val="20"/>
          <w:szCs w:val="20"/>
        </w:rPr>
        <w:t xml:space="preserve">The aim of this article is to address in the first place the purpose of the Amparo, in order to clarify, that in addition to the traditional subjective dimension it pertains there is another object type, characterized by going beyond the particular case, due to the criteria that arises from the interpretation of the constitutional provisions which serve to overcome this, it has become a criterion that guides the interpretation and </w:t>
      </w:r>
      <w:r>
        <w:rPr>
          <w:rFonts w:ascii="Verdana" w:hAnsi="Verdana"/>
          <w:sz w:val="20"/>
          <w:szCs w:val="20"/>
        </w:rPr>
        <w:lastRenderedPageBreak/>
        <w:t>application of the fundamental rights by other state bodies. And, secondly, it is an approximation to one of the unfinished terms of Amparo, as it is related to the rights concerning the protected rights, which is a consequence of the broad formulation establish in Article 247 of the Constitution, which includes "the rights granted by this Constitution." Because of that, the Constitutional Chamber has been in the need to gradually shape the contours of the constitutional expression and systematize its content of rights that have been interpreted by it.</w:t>
      </w:r>
    </w:p>
    <w:p w:rsidR="00E91355" w:rsidRDefault="00E91355" w:rsidP="00E91355">
      <w:pPr>
        <w:pStyle w:val="NormalWeb"/>
      </w:pPr>
      <w:r>
        <w:rPr>
          <w:rFonts w:ascii="Verdana" w:hAnsi="Verdana"/>
          <w:b/>
          <w:bCs/>
          <w:sz w:val="20"/>
          <w:szCs w:val="20"/>
        </w:rPr>
        <w:t xml:space="preserve">Key words: </w:t>
      </w:r>
      <w:r>
        <w:rPr>
          <w:rFonts w:ascii="Verdana" w:hAnsi="Verdana"/>
          <w:sz w:val="20"/>
          <w:szCs w:val="20"/>
        </w:rPr>
        <w:t>The amparo in El Salvador, constitutional justice, dimensions of amparo.</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b/>
          <w:bCs/>
          <w:sz w:val="20"/>
          <w:szCs w:val="20"/>
        </w:rPr>
        <w:t>Sumario</w:t>
      </w:r>
    </w:p>
    <w:p w:rsidR="00E91355" w:rsidRDefault="00E91355" w:rsidP="00E91355">
      <w:pPr>
        <w:pStyle w:val="NormalWeb"/>
      </w:pPr>
      <w:r>
        <w:rPr>
          <w:rFonts w:ascii="Verdana" w:hAnsi="Verdana"/>
          <w:sz w:val="20"/>
          <w:szCs w:val="20"/>
        </w:rPr>
        <w:t xml:space="preserve">1. Finalidad del amparo </w:t>
      </w:r>
      <w:r>
        <w:rPr>
          <w:rFonts w:ascii="Verdana" w:hAnsi="Verdana"/>
          <w:sz w:val="20"/>
          <w:szCs w:val="20"/>
        </w:rPr>
        <w:br/>
        <w:t xml:space="preserve">A) Dimensión subjetiva del amparo </w:t>
      </w:r>
      <w:r>
        <w:rPr>
          <w:rFonts w:ascii="Verdana" w:hAnsi="Verdana"/>
          <w:sz w:val="20"/>
          <w:szCs w:val="20"/>
        </w:rPr>
        <w:br/>
        <w:t xml:space="preserve">B) Dimensión objetiva del amparo </w:t>
      </w:r>
      <w:r>
        <w:rPr>
          <w:rFonts w:ascii="Verdana" w:hAnsi="Verdana"/>
          <w:sz w:val="20"/>
          <w:szCs w:val="20"/>
        </w:rPr>
        <w:br/>
        <w:t>C) Conexión entre la dimensión subjetiva y la objetiva del amparo</w:t>
      </w:r>
    </w:p>
    <w:p w:rsidR="00E91355" w:rsidRDefault="00E91355" w:rsidP="00E91355">
      <w:pPr>
        <w:pStyle w:val="NormalWeb"/>
      </w:pPr>
      <w:r>
        <w:rPr>
          <w:rFonts w:ascii="Verdana" w:hAnsi="Verdana"/>
          <w:sz w:val="20"/>
          <w:szCs w:val="20"/>
        </w:rPr>
        <w:t xml:space="preserve">2. Derechos protegibles por el amparo </w:t>
      </w:r>
      <w:r>
        <w:rPr>
          <w:rFonts w:ascii="Verdana" w:hAnsi="Verdana"/>
          <w:sz w:val="20"/>
          <w:szCs w:val="20"/>
        </w:rPr>
        <w:br/>
        <w:t>Ámbito protegido por el amparo según la jurisprudencia de la Sala de lo Constitucional</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b/>
          <w:bCs/>
          <w:sz w:val="20"/>
          <w:szCs w:val="20"/>
        </w:rPr>
        <w:t>1. Finalidad del amparo</w:t>
      </w:r>
    </w:p>
    <w:p w:rsidR="00E91355" w:rsidRDefault="00E91355" w:rsidP="00E91355">
      <w:pPr>
        <w:pStyle w:val="NormalWeb"/>
      </w:pPr>
      <w:r>
        <w:rPr>
          <w:rFonts w:ascii="Verdana" w:hAnsi="Verdana"/>
          <w:i/>
          <w:iCs/>
          <w:sz w:val="20"/>
          <w:szCs w:val="20"/>
        </w:rPr>
        <w:t>A) Dimensión subjetiva del amparo</w:t>
      </w:r>
    </w:p>
    <w:p w:rsidR="00E91355" w:rsidRDefault="00E91355" w:rsidP="00E91355">
      <w:pPr>
        <w:pStyle w:val="NormalWeb"/>
      </w:pPr>
      <w:r>
        <w:rPr>
          <w:rFonts w:ascii="Verdana" w:hAnsi="Verdana"/>
          <w:sz w:val="20"/>
          <w:szCs w:val="20"/>
        </w:rPr>
        <w:t>La Constitución, en su artículo 247, y la Ley de Procedimientos Constitucionales, en los artículos 3o. y 12, establecen expresamente la finalidad del amparo al señalar que puede ser promovido por la "violación de los derechos que otorga la presente Constitución".</w:t>
      </w:r>
      <w:hyperlink r:id="rId5" w:anchor="nota" w:history="1">
        <w:r>
          <w:rPr>
            <w:rStyle w:val="Hipervnculo"/>
            <w:rFonts w:ascii="Verdana" w:hAnsi="Verdana"/>
            <w:sz w:val="20"/>
            <w:szCs w:val="20"/>
            <w:vertAlign w:val="superscript"/>
          </w:rPr>
          <w:t>1</w:t>
        </w:r>
      </w:hyperlink>
      <w:r>
        <w:rPr>
          <w:rFonts w:ascii="Verdana" w:hAnsi="Verdana"/>
          <w:sz w:val="20"/>
          <w:szCs w:val="20"/>
        </w:rPr>
        <w:t xml:space="preserve"> De igual manera, las distintas Constituciones que lo han previsto y las leyes que han regulado el amparo han sido constantes en definirlo como un mecanismo que tiene la finalidad antes apuntada,</w:t>
      </w:r>
      <w:hyperlink r:id="rId6" w:anchor="nota" w:history="1">
        <w:r>
          <w:rPr>
            <w:rStyle w:val="Hipervnculo"/>
            <w:rFonts w:ascii="Verdana" w:hAnsi="Verdana"/>
            <w:sz w:val="20"/>
            <w:szCs w:val="20"/>
            <w:vertAlign w:val="superscript"/>
          </w:rPr>
          <w:t>2</w:t>
        </w:r>
      </w:hyperlink>
      <w:r>
        <w:rPr>
          <w:rFonts w:ascii="Verdana" w:hAnsi="Verdana"/>
          <w:sz w:val="20"/>
          <w:szCs w:val="20"/>
        </w:rPr>
        <w:t xml:space="preserve"> la cual ha sido reiteradamente sostenida por la jurisprudencia de la Sala de lo Constitucional de la Corte Suprema de Justicia y por la de los distintos tribunales que han sido competentes para conocer del amparo,</w:t>
      </w:r>
      <w:hyperlink r:id="rId7" w:anchor="nota" w:history="1">
        <w:r>
          <w:rPr>
            <w:rStyle w:val="Hipervnculo"/>
            <w:rFonts w:ascii="Verdana" w:hAnsi="Verdana"/>
            <w:sz w:val="20"/>
            <w:szCs w:val="20"/>
            <w:vertAlign w:val="superscript"/>
          </w:rPr>
          <w:t>3</w:t>
        </w:r>
      </w:hyperlink>
      <w:r>
        <w:rPr>
          <w:rFonts w:ascii="Verdana" w:hAnsi="Verdana"/>
          <w:sz w:val="20"/>
          <w:szCs w:val="20"/>
        </w:rPr>
        <w:t xml:space="preserve"> al declarar que:</w:t>
      </w:r>
    </w:p>
    <w:p w:rsidR="00E91355" w:rsidRDefault="00E91355" w:rsidP="00E91355">
      <w:pPr>
        <w:pStyle w:val="NormalWeb"/>
      </w:pPr>
      <w:r>
        <w:rPr>
          <w:rFonts w:ascii="Verdana" w:hAnsi="Verdana"/>
          <w:sz w:val="20"/>
          <w:szCs w:val="20"/>
        </w:rPr>
        <w:t>[...] el amparo es un mecanismo procesal constitucional [...] que tiene por objeto dar una protección reforzada de los derechos u otras categorías jurídicas subjetivas protegibles de rango constitucional consagrados a favor de los gobernados frente a los actos u omisiones de autoridades públicas o particulares que los violen, restrinjan u obstaculicen su ejercicio.</w:t>
      </w:r>
      <w:hyperlink r:id="rId8" w:anchor="nota" w:history="1">
        <w:r>
          <w:rPr>
            <w:rStyle w:val="Hipervnculo"/>
            <w:rFonts w:ascii="Verdana" w:hAnsi="Verdana"/>
            <w:sz w:val="20"/>
            <w:szCs w:val="20"/>
            <w:vertAlign w:val="superscript"/>
          </w:rPr>
          <w:t>4</w:t>
        </w:r>
      </w:hyperlink>
    </w:p>
    <w:p w:rsidR="00E91355" w:rsidRDefault="00E91355" w:rsidP="00E91355">
      <w:pPr>
        <w:pStyle w:val="NormalWeb"/>
      </w:pPr>
      <w:r>
        <w:rPr>
          <w:rFonts w:ascii="Verdana" w:hAnsi="Verdana"/>
          <w:sz w:val="20"/>
          <w:szCs w:val="20"/>
        </w:rPr>
        <w:t>Se trata, por tanto, de un mecanismo de protección con una evidente finalidad —o dimensión— subjetiva, dirigida a la protección de los derechos de la persona, que se proyecta, en el caso concreto, en la alegación por parte del actor de que un acto de autoridad o particular, según el caso, le genera un agravio que vulnera sus derechos o categorías jurídicas protegibles por el amparo,</w:t>
      </w:r>
      <w:hyperlink r:id="rId9" w:anchor="nota" w:history="1">
        <w:r>
          <w:rPr>
            <w:rStyle w:val="Hipervnculo"/>
            <w:rFonts w:ascii="Verdana" w:hAnsi="Verdana"/>
            <w:sz w:val="20"/>
            <w:szCs w:val="20"/>
            <w:vertAlign w:val="superscript"/>
          </w:rPr>
          <w:t>5</w:t>
        </w:r>
      </w:hyperlink>
      <w:r>
        <w:rPr>
          <w:rFonts w:ascii="Verdana" w:hAnsi="Verdana"/>
          <w:sz w:val="20"/>
          <w:szCs w:val="20"/>
        </w:rPr>
        <w:t xml:space="preserve"> y no en la conservación de la pureza y correcta aplicación del sistema normativo.</w:t>
      </w:r>
      <w:hyperlink r:id="rId10" w:anchor="nota" w:history="1">
        <w:r>
          <w:rPr>
            <w:rStyle w:val="Hipervnculo"/>
            <w:rFonts w:ascii="Verdana" w:hAnsi="Verdana"/>
            <w:sz w:val="20"/>
            <w:szCs w:val="20"/>
            <w:vertAlign w:val="superscript"/>
          </w:rPr>
          <w:t>6</w:t>
        </w:r>
      </w:hyperlink>
    </w:p>
    <w:p w:rsidR="00E91355" w:rsidRDefault="00E91355" w:rsidP="00E91355">
      <w:pPr>
        <w:pStyle w:val="NormalWeb"/>
      </w:pPr>
      <w:r>
        <w:rPr>
          <w:rFonts w:ascii="Verdana" w:hAnsi="Verdana"/>
          <w:sz w:val="20"/>
          <w:szCs w:val="20"/>
        </w:rPr>
        <w:lastRenderedPageBreak/>
        <w:t>La incorporación de esta dimensión subjetiva en el diseño del amparo salvadoreño ha producido importantes consecuencias, especialmente al momento en el que el tribunal ha definido, vía jurisprudencia, los supuestos de procedencia de este mecanismo de protección.</w:t>
      </w:r>
    </w:p>
    <w:p w:rsidR="00E91355" w:rsidRDefault="00E91355" w:rsidP="00E91355">
      <w:pPr>
        <w:pStyle w:val="NormalWeb"/>
      </w:pPr>
      <w:r>
        <w:rPr>
          <w:rFonts w:ascii="Verdana" w:hAnsi="Verdana"/>
          <w:sz w:val="20"/>
          <w:szCs w:val="20"/>
        </w:rPr>
        <w:t>En una primera dirección encontramos que la existencia de un agravio constituye uno de los elementos que determina la procedencia del amparo, pues, tal como lo expone el tribunal, "el amparo es un proceso que ha sido estructurado para la protección reforzada de los derechos constitucionalmente reconocidos, cuya promoción exige la existencia de un agravio",</w:t>
      </w:r>
      <w:hyperlink r:id="rId11" w:anchor="nota" w:history="1">
        <w:r>
          <w:rPr>
            <w:rStyle w:val="Hipervnculo"/>
            <w:rFonts w:ascii="Verdana" w:hAnsi="Verdana"/>
            <w:sz w:val="20"/>
            <w:szCs w:val="20"/>
            <w:vertAlign w:val="superscript"/>
          </w:rPr>
          <w:t>7</w:t>
        </w:r>
      </w:hyperlink>
      <w:r>
        <w:rPr>
          <w:rFonts w:ascii="Verdana" w:hAnsi="Verdana"/>
          <w:sz w:val="20"/>
          <w:szCs w:val="20"/>
        </w:rPr>
        <w:t xml:space="preserve"> el cual debe ser actual o futuro inminente, no remoto, pues el amparo no protege "hechos inciertos, eventuales, y cuya producción —si llegara a ocurrir— caería dentro del área de lo incierto y sus efectos serían totalmente aproximados, ya que no posee ningún tipo de conexión íntima, ni sólida con el presente".</w:t>
      </w:r>
      <w:hyperlink r:id="rId12" w:anchor="nota" w:history="1">
        <w:r>
          <w:rPr>
            <w:rStyle w:val="Hipervnculo"/>
            <w:rFonts w:ascii="Verdana" w:hAnsi="Verdana"/>
            <w:sz w:val="20"/>
            <w:szCs w:val="20"/>
            <w:vertAlign w:val="superscript"/>
          </w:rPr>
          <w:t>8</w:t>
        </w:r>
      </w:hyperlink>
    </w:p>
    <w:p w:rsidR="00E91355" w:rsidRDefault="00E91355" w:rsidP="00E91355">
      <w:pPr>
        <w:pStyle w:val="NormalWeb"/>
      </w:pPr>
      <w:r>
        <w:rPr>
          <w:rFonts w:ascii="Verdana" w:hAnsi="Verdana"/>
          <w:sz w:val="20"/>
          <w:szCs w:val="20"/>
        </w:rPr>
        <w:t>En esta misma dirección, la Ley de Procedimientos Constitucionales, en el inciso 3o. del artículo 12, y la jurisprudencia constitucional han expresado constantemente que el amparo es un mecanismo de tutela que no pretende sustituir al proceso ordinario, que es una "vía supletoria o subsidiaria en la reclamación de un derecho [...] ante la imposibilidad de remediar o recomponer una situación por las vías ordinarias",</w:t>
      </w:r>
      <w:hyperlink r:id="rId13" w:anchor="nota" w:history="1">
        <w:r>
          <w:rPr>
            <w:rStyle w:val="Hipervnculo"/>
            <w:rFonts w:ascii="Verdana" w:hAnsi="Verdana"/>
            <w:sz w:val="20"/>
            <w:szCs w:val="20"/>
            <w:vertAlign w:val="superscript"/>
          </w:rPr>
          <w:t>9</w:t>
        </w:r>
      </w:hyperlink>
      <w:r>
        <w:rPr>
          <w:rFonts w:ascii="Verdana" w:hAnsi="Verdana"/>
          <w:sz w:val="20"/>
          <w:szCs w:val="20"/>
        </w:rPr>
        <w:t xml:space="preserve"> es decir, "cuando fallan los mecanismos ordinarios de protección —jurisdiccionales o administrativos—, esto es, cuando éstos no cumplen con la finalidad de preservar los derechos o categorías reseñadas".</w:t>
      </w:r>
      <w:hyperlink r:id="rId14" w:anchor="nota" w:history="1">
        <w:r>
          <w:rPr>
            <w:rStyle w:val="Hipervnculo"/>
            <w:rFonts w:ascii="Verdana" w:hAnsi="Verdana"/>
            <w:sz w:val="20"/>
            <w:szCs w:val="20"/>
            <w:vertAlign w:val="superscript"/>
          </w:rPr>
          <w:t>10</w:t>
        </w:r>
      </w:hyperlink>
    </w:p>
    <w:p w:rsidR="00E91355" w:rsidRDefault="00E91355" w:rsidP="00E91355">
      <w:pPr>
        <w:pStyle w:val="NormalWeb"/>
      </w:pPr>
      <w:r>
        <w:rPr>
          <w:rFonts w:ascii="Verdana" w:hAnsi="Verdana"/>
          <w:sz w:val="20"/>
          <w:szCs w:val="20"/>
        </w:rPr>
        <w:t>En una segunda dirección, al sustentarse el amparo exclusivamente en la alegación por parte de una persona a la que se le ha vulnerado uno de los derechos o categorías protegibles mediante el mismo, queda excluido el denominado contra–amparo; es decir, aquel amparo promovido por quien invoque "que se ha reconocido el derecho que no se contiene en la norma",</w:t>
      </w:r>
      <w:hyperlink r:id="rId15" w:anchor="nota" w:history="1">
        <w:r>
          <w:rPr>
            <w:rStyle w:val="Hipervnculo"/>
            <w:rFonts w:ascii="Verdana" w:hAnsi="Verdana"/>
            <w:sz w:val="20"/>
            <w:szCs w:val="20"/>
            <w:vertAlign w:val="superscript"/>
          </w:rPr>
          <w:t>11</w:t>
        </w:r>
      </w:hyperlink>
      <w:r>
        <w:rPr>
          <w:rFonts w:ascii="Verdana" w:hAnsi="Verdana"/>
          <w:sz w:val="20"/>
          <w:szCs w:val="20"/>
        </w:rPr>
        <w:t xml:space="preserve"> sin alegar un agravio o que se ha producido la afectación a sus derechos o categorías.</w:t>
      </w:r>
      <w:hyperlink r:id="rId16" w:anchor="nota" w:history="1">
        <w:r>
          <w:rPr>
            <w:rStyle w:val="Hipervnculo"/>
            <w:rFonts w:ascii="Verdana" w:hAnsi="Verdana"/>
            <w:sz w:val="20"/>
            <w:szCs w:val="20"/>
            <w:vertAlign w:val="superscript"/>
          </w:rPr>
          <w:t>12</w:t>
        </w:r>
      </w:hyperlink>
      <w:r>
        <w:rPr>
          <w:rFonts w:ascii="Verdana" w:hAnsi="Verdana"/>
          <w:sz w:val="20"/>
          <w:szCs w:val="20"/>
        </w:rPr>
        <w:t xml:space="preserve"> Y es que al ser el elemento subjetivo esencial en el amparo, el actor sólo puede atacar, mediante el mismo, un acto que le ocasione un agravio constitucionalmente relevante, que afecte algún derecho o categoría protegida por este proceso constitucional; se trata, por tanto, de una alegación compleja que no puede ir dirigida únicamente a lograr que el tribunal determine el contenido de un derecho o categoría tutelable por el amparo, sino que se vuelve indispensable la conexión de éste con un acto concreto —de autoridad o particulares, cuando proceda— que haya producido una afectación sobre el mismo.</w:t>
      </w:r>
    </w:p>
    <w:p w:rsidR="00E91355" w:rsidRDefault="00E91355" w:rsidP="00E91355">
      <w:pPr>
        <w:pStyle w:val="NormalWeb"/>
      </w:pPr>
      <w:r>
        <w:rPr>
          <w:rFonts w:ascii="Verdana" w:hAnsi="Verdana"/>
          <w:sz w:val="20"/>
          <w:szCs w:val="20"/>
        </w:rPr>
        <w:t>Ello es así, porque el</w:t>
      </w:r>
    </w:p>
    <w:p w:rsidR="00E91355" w:rsidRDefault="00E91355" w:rsidP="00E91355">
      <w:pPr>
        <w:pStyle w:val="NormalWeb"/>
      </w:pPr>
      <w:r>
        <w:rPr>
          <w:rFonts w:ascii="Verdana" w:hAnsi="Verdana"/>
          <w:sz w:val="20"/>
          <w:szCs w:val="20"/>
        </w:rPr>
        <w:t>Tribunal Constitucional no tiene, a través del proceso de amparo, el monopolio de la interpretación de los derechos fundamentales, pues el recurso de amparo no puede operar como un recurso "en interés del derecho de los derechos fundamentales" (contra–amparo). Antes bien, al Tribunal sólo corresponde [...] el "monopolio de la vulneración". Donde no hay violación de derechos no hay acción de amparo y, por ello mismo, cuando un derecho fundamental es incorrectamente interpretado pero no lesionado, el único "Tribunal Supremo" es el propio Tribunal Supremo mediante el recurso de casación [...]. La "supremacía" del Tribunal Constitucional en la jurisdicción de los derechos fundamentales queda constitucionalmente circunscrita al "monopolio declarativo de su vulneración.</w:t>
      </w:r>
      <w:hyperlink r:id="rId17" w:anchor="nota" w:history="1">
        <w:r>
          <w:rPr>
            <w:rStyle w:val="Hipervnculo"/>
            <w:rFonts w:ascii="Verdana" w:hAnsi="Verdana"/>
            <w:sz w:val="20"/>
            <w:szCs w:val="20"/>
            <w:vertAlign w:val="superscript"/>
          </w:rPr>
          <w:t>13</w:t>
        </w:r>
      </w:hyperlink>
    </w:p>
    <w:p w:rsidR="00E91355" w:rsidRDefault="00E91355" w:rsidP="00E91355">
      <w:pPr>
        <w:pStyle w:val="NormalWeb"/>
      </w:pPr>
      <w:r>
        <w:rPr>
          <w:rFonts w:ascii="Verdana" w:hAnsi="Verdana"/>
          <w:sz w:val="20"/>
          <w:szCs w:val="20"/>
        </w:rPr>
        <w:lastRenderedPageBreak/>
        <w:t>Por tanto, para que proceda el amparo en estos supuestos se vuelve indispensable, en primer lugar, la existencia de un acto o resolución que realice una lectura "extensiva" del contenido constitucional"</w:t>
      </w:r>
      <w:hyperlink r:id="rId18" w:anchor="nota" w:history="1">
        <w:r>
          <w:rPr>
            <w:rStyle w:val="Hipervnculo"/>
            <w:rFonts w:ascii="Verdana" w:hAnsi="Verdana"/>
            <w:sz w:val="20"/>
            <w:szCs w:val="20"/>
            <w:vertAlign w:val="superscript"/>
          </w:rPr>
          <w:t>14</w:t>
        </w:r>
      </w:hyperlink>
      <w:r>
        <w:rPr>
          <w:rFonts w:ascii="Verdana" w:hAnsi="Verdana"/>
          <w:sz w:val="20"/>
          <w:szCs w:val="20"/>
        </w:rPr>
        <w:t xml:space="preserve"> de uno de los derechos o categorías tutelables por este cauce procesal, y, en segundo lugar, que dicho acto o resolución vulnere alguno de tales derechos o categorías a la contraparte. Precisamente, con la concurrencia de estos elementos se completa el binomio acto–lesión de derecho o categoría, indispensables para la procedencia del amparo.</w:t>
      </w:r>
    </w:p>
    <w:p w:rsidR="00E91355" w:rsidRDefault="00E91355" w:rsidP="00E91355">
      <w:pPr>
        <w:pStyle w:val="NormalWeb"/>
      </w:pPr>
      <w:r>
        <w:rPr>
          <w:rFonts w:ascii="Verdana" w:hAnsi="Verdana"/>
          <w:i/>
          <w:iCs/>
          <w:sz w:val="20"/>
          <w:szCs w:val="20"/>
        </w:rPr>
        <w:t>B) Dimensión objetiva del amparo</w:t>
      </w:r>
    </w:p>
    <w:p w:rsidR="00E91355" w:rsidRDefault="00E91355" w:rsidP="00E91355">
      <w:pPr>
        <w:pStyle w:val="NormalWeb"/>
      </w:pPr>
      <w:r>
        <w:rPr>
          <w:rFonts w:ascii="Verdana" w:hAnsi="Verdana"/>
          <w:sz w:val="20"/>
          <w:szCs w:val="20"/>
        </w:rPr>
        <w:t>Es evidente que los efectos de la decisión adoptada en un amparo no se restringen únicamente al ámbito subjetivo, es decir, a procurar la tutela de los derechos o categorías jurídicas protegibles que en el caso concreto se alegan como vulnerados, sino que el pronunciamiento trasciende al ámbito objetivo, particularmente porque para la realización de su dimensión subjetiva se vuelve necesaria la interpretación de los preceptos constitucionales relacionados con el caso planteado, específicamente aquéllos en los que se regula el derecho o categoría jurídica protegible que se alega vulnerada, la cual se convierte en "criterio cierto para orientar la interpretación y aplicación de los derechos fundamentales por parte de los demás órganos estatales y, particularmente, de los órganos judiciales".</w:t>
      </w:r>
      <w:hyperlink r:id="rId19" w:anchor="nota" w:history="1">
        <w:r>
          <w:rPr>
            <w:rStyle w:val="Hipervnculo"/>
            <w:rFonts w:ascii="Verdana" w:hAnsi="Verdana"/>
            <w:sz w:val="20"/>
            <w:szCs w:val="20"/>
            <w:vertAlign w:val="superscript"/>
          </w:rPr>
          <w:t>15</w:t>
        </w:r>
      </w:hyperlink>
    </w:p>
    <w:p w:rsidR="00E91355" w:rsidRDefault="00E91355" w:rsidP="00E91355">
      <w:pPr>
        <w:pStyle w:val="NormalWeb"/>
      </w:pPr>
      <w:r>
        <w:rPr>
          <w:rFonts w:ascii="Verdana" w:hAnsi="Verdana"/>
          <w:sz w:val="20"/>
          <w:szCs w:val="20"/>
        </w:rPr>
        <w:t>Se trata de una dimensión que determina y clarifica el contenido de las disposiciones constitucionales que utiliza la Sala para resolver el caso concreto, el cual servirá no sólo a los tribunales, sino también a las autoridades y funcionarios de los otros órganos del Estado para resolver los supuestos similares que se le planteen.</w:t>
      </w:r>
      <w:hyperlink r:id="rId20" w:anchor="nota" w:history="1">
        <w:r>
          <w:rPr>
            <w:rStyle w:val="Hipervnculo"/>
            <w:rFonts w:ascii="Verdana" w:hAnsi="Verdana"/>
            <w:sz w:val="20"/>
            <w:szCs w:val="20"/>
            <w:vertAlign w:val="superscript"/>
          </w:rPr>
          <w:t>16</w:t>
        </w:r>
      </w:hyperlink>
      <w:r>
        <w:rPr>
          <w:rFonts w:ascii="Verdana" w:hAnsi="Verdana"/>
          <w:sz w:val="20"/>
          <w:szCs w:val="20"/>
        </w:rPr>
        <w:t xml:space="preserve"> Por lo anterior es que se afirma que la dimensión objetiva "trasciende a la simple vulneración de un derecho fundamental, o permite perfilar más la correcta interpretación de la norma constitucional que reconoce el derecho en cuestión".</w:t>
      </w:r>
      <w:hyperlink r:id="rId21" w:anchor="nota" w:history="1">
        <w:r>
          <w:rPr>
            <w:rStyle w:val="Hipervnculo"/>
            <w:rFonts w:ascii="Verdana" w:hAnsi="Verdana"/>
            <w:sz w:val="20"/>
            <w:szCs w:val="20"/>
            <w:vertAlign w:val="superscript"/>
          </w:rPr>
          <w:t>17</w:t>
        </w:r>
      </w:hyperlink>
    </w:p>
    <w:p w:rsidR="00E91355" w:rsidRDefault="00E91355" w:rsidP="00E91355">
      <w:pPr>
        <w:pStyle w:val="NormalWeb"/>
      </w:pPr>
      <w:r>
        <w:rPr>
          <w:rFonts w:ascii="Verdana" w:hAnsi="Verdana"/>
          <w:sz w:val="20"/>
          <w:szCs w:val="20"/>
        </w:rPr>
        <w:t>La perspectiva objetiva no se encuentra expresamente consignada en las Constituciones y leyes que han regulado el amparo en El Salvador, sino que ha sido la propia jurisprudencia constitucional la que ha destacado que "junto a este designio [refiriéndose a la dimensión subjetiva] aparece también el de la defensa objetiva de la Constitución".</w:t>
      </w:r>
      <w:hyperlink r:id="rId22" w:anchor="nota" w:history="1">
        <w:r>
          <w:rPr>
            <w:rStyle w:val="Hipervnculo"/>
            <w:rFonts w:ascii="Verdana" w:hAnsi="Verdana"/>
            <w:sz w:val="20"/>
            <w:szCs w:val="20"/>
            <w:vertAlign w:val="superscript"/>
          </w:rPr>
          <w:t>18</w:t>
        </w:r>
      </w:hyperlink>
    </w:p>
    <w:p w:rsidR="00E91355" w:rsidRDefault="00E91355" w:rsidP="00E91355">
      <w:pPr>
        <w:pStyle w:val="NormalWeb"/>
      </w:pPr>
      <w:r>
        <w:rPr>
          <w:rFonts w:ascii="Verdana" w:hAnsi="Verdana"/>
          <w:sz w:val="20"/>
          <w:szCs w:val="20"/>
        </w:rPr>
        <w:t>Dicha dimensión objetiva se ha ido definiendo, además, a través de las distintas resoluciones de la Sala de lo Constitucional.</w:t>
      </w:r>
    </w:p>
    <w:p w:rsidR="00E91355" w:rsidRDefault="00E91355" w:rsidP="00E91355">
      <w:pPr>
        <w:pStyle w:val="NormalWeb"/>
      </w:pPr>
      <w:r>
        <w:rPr>
          <w:rFonts w:ascii="Verdana" w:hAnsi="Verdana"/>
          <w:sz w:val="20"/>
          <w:szCs w:val="20"/>
        </w:rPr>
        <w:t>En primer lugar, la jurisprudencia ha catalogado a la Sala de lo Constitucional como "intérprete supremo",</w:t>
      </w:r>
      <w:hyperlink r:id="rId23" w:anchor="nota" w:history="1">
        <w:r>
          <w:rPr>
            <w:rStyle w:val="Hipervnculo"/>
            <w:rFonts w:ascii="Verdana" w:hAnsi="Verdana"/>
            <w:sz w:val="20"/>
            <w:szCs w:val="20"/>
            <w:vertAlign w:val="superscript"/>
          </w:rPr>
          <w:t>19</w:t>
        </w:r>
      </w:hyperlink>
      <w:r>
        <w:rPr>
          <w:rFonts w:ascii="Verdana" w:hAnsi="Verdana"/>
          <w:sz w:val="20"/>
          <w:szCs w:val="20"/>
        </w:rPr>
        <w:t xml:space="preserve"> "guardián" </w:t>
      </w:r>
      <w:hyperlink r:id="rId24" w:anchor="nota" w:history="1">
        <w:r>
          <w:rPr>
            <w:rStyle w:val="Hipervnculo"/>
            <w:rFonts w:ascii="Verdana" w:hAnsi="Verdana"/>
            <w:sz w:val="20"/>
            <w:szCs w:val="20"/>
            <w:vertAlign w:val="superscript"/>
          </w:rPr>
          <w:t>20</w:t>
        </w:r>
      </w:hyperlink>
      <w:r>
        <w:rPr>
          <w:rFonts w:ascii="Verdana" w:hAnsi="Verdana"/>
          <w:sz w:val="20"/>
          <w:szCs w:val="20"/>
        </w:rPr>
        <w:t xml:space="preserve"> y "garante"</w:t>
      </w:r>
      <w:hyperlink r:id="rId25" w:anchor="nota" w:history="1">
        <w:r>
          <w:rPr>
            <w:rStyle w:val="Hipervnculo"/>
            <w:rFonts w:ascii="Verdana" w:hAnsi="Verdana"/>
            <w:sz w:val="20"/>
            <w:szCs w:val="20"/>
            <w:vertAlign w:val="superscript"/>
          </w:rPr>
          <w:t>21</w:t>
        </w:r>
      </w:hyperlink>
      <w:r>
        <w:rPr>
          <w:rFonts w:ascii="Verdana" w:hAnsi="Verdana"/>
          <w:sz w:val="20"/>
          <w:szCs w:val="20"/>
        </w:rPr>
        <w:t xml:space="preserve"> de la Constitución, es decir, que su función va más allá de la protección de los derechos o categorías que se discuten en el caso concreto, "trasciende de lo singular".</w:t>
      </w:r>
      <w:hyperlink r:id="rId26" w:anchor="nota" w:history="1">
        <w:r>
          <w:rPr>
            <w:rStyle w:val="Hipervnculo"/>
            <w:rFonts w:ascii="Verdana" w:hAnsi="Verdana"/>
            <w:sz w:val="20"/>
            <w:szCs w:val="20"/>
            <w:vertAlign w:val="superscript"/>
          </w:rPr>
          <w:t>22</w:t>
        </w:r>
      </w:hyperlink>
    </w:p>
    <w:p w:rsidR="00E91355" w:rsidRDefault="00E91355" w:rsidP="00E91355">
      <w:pPr>
        <w:pStyle w:val="NormalWeb"/>
      </w:pPr>
      <w:r>
        <w:rPr>
          <w:rFonts w:ascii="Verdana" w:hAnsi="Verdana"/>
          <w:sz w:val="20"/>
          <w:szCs w:val="20"/>
        </w:rPr>
        <w:t>En segundo lugar, la jurisprudencia ha hecho énfasis en el papel del Tribunal como "bastión fundamental en la defensa de la constitucionalidad, sirviendo a los jueces que también representan un papel como defensores de la Constitución, como herramienta para la interpretación de las normas".</w:t>
      </w:r>
      <w:hyperlink r:id="rId27" w:anchor="nota" w:history="1">
        <w:r>
          <w:rPr>
            <w:rStyle w:val="Hipervnculo"/>
            <w:rFonts w:ascii="Verdana" w:hAnsi="Verdana"/>
            <w:sz w:val="20"/>
            <w:szCs w:val="20"/>
            <w:vertAlign w:val="superscript"/>
          </w:rPr>
          <w:t>23</w:t>
        </w:r>
      </w:hyperlink>
    </w:p>
    <w:p w:rsidR="00E91355" w:rsidRDefault="00E91355" w:rsidP="00E91355">
      <w:pPr>
        <w:pStyle w:val="NormalWeb"/>
      </w:pPr>
      <w:r>
        <w:rPr>
          <w:rFonts w:ascii="Verdana" w:hAnsi="Verdana"/>
          <w:sz w:val="20"/>
          <w:szCs w:val="20"/>
        </w:rPr>
        <w:t>Y, en tercer lugar, para determinar la responsabilidad directa de los funcionarios, cuyos actos son lesivos de los derechos o categorías protegidos por el amparo,</w:t>
      </w:r>
    </w:p>
    <w:p w:rsidR="00E91355" w:rsidRDefault="00E91355" w:rsidP="00E91355">
      <w:pPr>
        <w:pStyle w:val="NormalWeb"/>
      </w:pPr>
      <w:r>
        <w:rPr>
          <w:rFonts w:ascii="Verdana" w:hAnsi="Verdana"/>
          <w:sz w:val="20"/>
          <w:szCs w:val="20"/>
        </w:rPr>
        <w:lastRenderedPageBreak/>
        <w:t>[...] deberá procederse con más rigor cuando se trate de situaciones comunes o resueltas con anterioridad, pues siendo este Tribunal el que de modo definitivo desarrolla, amplía y llena el contenido de las disposiciones constitucionales, ninguna autoridad puede dar una interpretación diferente a la que da esta Sala, pues hacerlo violaría la Constitución.</w:t>
      </w:r>
      <w:hyperlink r:id="rId28" w:anchor="nota" w:history="1">
        <w:r>
          <w:rPr>
            <w:rStyle w:val="Hipervnculo"/>
            <w:rFonts w:ascii="Verdana" w:hAnsi="Verdana"/>
            <w:sz w:val="20"/>
            <w:szCs w:val="20"/>
            <w:vertAlign w:val="superscript"/>
          </w:rPr>
          <w:t>24</w:t>
        </w:r>
      </w:hyperlink>
    </w:p>
    <w:p w:rsidR="00E91355" w:rsidRDefault="00E91355" w:rsidP="00E91355">
      <w:pPr>
        <w:pStyle w:val="NormalWeb"/>
      </w:pPr>
      <w:r>
        <w:rPr>
          <w:rFonts w:ascii="Verdana" w:hAnsi="Verdana"/>
          <w:sz w:val="20"/>
          <w:szCs w:val="20"/>
        </w:rPr>
        <w:t>Asimismo, de la estructura de nuestro sistema de protección de derechos se puede desprender también el ámbito objetivo del amparo, pues a pesar de que todos los jueces y magistrados están vinculados a la Constitución,</w:t>
      </w:r>
      <w:hyperlink r:id="rId29" w:anchor="nota" w:history="1">
        <w:r>
          <w:rPr>
            <w:rStyle w:val="Hipervnculo"/>
            <w:rFonts w:ascii="Verdana" w:hAnsi="Verdana"/>
            <w:sz w:val="20"/>
            <w:szCs w:val="20"/>
            <w:vertAlign w:val="superscript"/>
          </w:rPr>
          <w:t>25</w:t>
        </w:r>
      </w:hyperlink>
      <w:r>
        <w:rPr>
          <w:rFonts w:ascii="Verdana" w:hAnsi="Verdana"/>
          <w:sz w:val="20"/>
          <w:szCs w:val="20"/>
        </w:rPr>
        <w:t xml:space="preserve"> y que además pueden inaplicar las disposiciones de los otros órganos del Estado que consideren inconstitucionales,</w:t>
      </w:r>
      <w:hyperlink r:id="rId30" w:anchor="nota" w:history="1">
        <w:r>
          <w:rPr>
            <w:rStyle w:val="Hipervnculo"/>
            <w:rFonts w:ascii="Verdana" w:hAnsi="Verdana"/>
            <w:sz w:val="20"/>
            <w:szCs w:val="20"/>
            <w:vertAlign w:val="superscript"/>
          </w:rPr>
          <w:t>26</w:t>
        </w:r>
      </w:hyperlink>
      <w:r>
        <w:rPr>
          <w:rFonts w:ascii="Verdana" w:hAnsi="Verdana"/>
          <w:sz w:val="20"/>
          <w:szCs w:val="20"/>
        </w:rPr>
        <w:t xml:space="preserve"> existe un tribunal ubicado en la cúspide del órgano Judicial que tiene la "última palabra" en lo relativo a la interpretación de las normas constitucionales, las que constituyen el fundamento normativo de las decisiones pronunciadas por el mismo.</w:t>
      </w:r>
      <w:hyperlink r:id="rId31" w:anchor="nota" w:history="1">
        <w:r>
          <w:rPr>
            <w:rStyle w:val="Hipervnculo"/>
            <w:rFonts w:ascii="Verdana" w:hAnsi="Verdana"/>
            <w:sz w:val="20"/>
            <w:szCs w:val="20"/>
            <w:vertAlign w:val="superscript"/>
          </w:rPr>
          <w:t>27</w:t>
        </w:r>
      </w:hyperlink>
    </w:p>
    <w:p w:rsidR="00E91355" w:rsidRDefault="00E91355" w:rsidP="00E91355">
      <w:pPr>
        <w:pStyle w:val="NormalWeb"/>
      </w:pPr>
      <w:r>
        <w:rPr>
          <w:rFonts w:ascii="Verdana" w:hAnsi="Verdana"/>
          <w:sz w:val="20"/>
          <w:szCs w:val="20"/>
        </w:rPr>
        <w:t>No se trata, por tanto, de una condición singular del amparo, sino que es consecuencia de la posición superior de la Sala de lo Constitucional en el sistema salvadoreño de protección de los derechos, que de igual forma se puede apreciar en la "doctrina fijada en todos los recursos que operan como última y definitiva instancia en cualquier materia del ordenamiento jurídico, como es el caso, señaladamente, del recurso de casación".</w:t>
      </w:r>
      <w:hyperlink r:id="rId32" w:anchor="nota" w:history="1">
        <w:r>
          <w:rPr>
            <w:rStyle w:val="Hipervnculo"/>
            <w:rFonts w:ascii="Verdana" w:hAnsi="Verdana"/>
            <w:sz w:val="20"/>
            <w:szCs w:val="20"/>
            <w:vertAlign w:val="superscript"/>
          </w:rPr>
          <w:t>28</w:t>
        </w:r>
      </w:hyperlink>
    </w:p>
    <w:p w:rsidR="00E91355" w:rsidRDefault="00E91355" w:rsidP="00E91355">
      <w:pPr>
        <w:pStyle w:val="NormalWeb"/>
      </w:pPr>
      <w:r>
        <w:rPr>
          <w:rFonts w:ascii="Verdana" w:hAnsi="Verdana"/>
          <w:sz w:val="20"/>
          <w:szCs w:val="20"/>
        </w:rPr>
        <w:t>Sin embargo, es innegable la superioridad del amparo respecto de los procesos que se tramitan ante los tribunales ordinarios, lo cual se evidencia mediante dos mecanismos específicos que constituyen la síntesis de la dimensión objetiva del amparo, como lo son la eficacia correctora y eficacia persuasiva de la jurisprudencia constitucional.</w:t>
      </w:r>
    </w:p>
    <w:p w:rsidR="00E91355" w:rsidRDefault="00E91355" w:rsidP="00E91355">
      <w:pPr>
        <w:pStyle w:val="NormalWeb"/>
      </w:pPr>
      <w:r>
        <w:rPr>
          <w:rFonts w:ascii="Verdana" w:hAnsi="Verdana"/>
          <w:sz w:val="20"/>
          <w:szCs w:val="20"/>
        </w:rPr>
        <w:t>La eficacia correctora del amparo se pone de manifiesto a través del denominado efecto restitutorio de la sentencia estimatoria, la cual, en los casos en que es posible, además de nulificar el acto reclamado, y los que son su consecuencia, obliga a la autoridad demandada a dictar un nuevo acto conforme al contenido del derecho declarado en la sentencia.</w:t>
      </w:r>
      <w:hyperlink r:id="rId33" w:anchor="nota" w:history="1">
        <w:r>
          <w:rPr>
            <w:rStyle w:val="Hipervnculo"/>
            <w:rFonts w:ascii="Verdana" w:hAnsi="Verdana"/>
            <w:sz w:val="20"/>
            <w:szCs w:val="20"/>
            <w:vertAlign w:val="superscript"/>
          </w:rPr>
          <w:t>29</w:t>
        </w:r>
      </w:hyperlink>
    </w:p>
    <w:p w:rsidR="00E91355" w:rsidRDefault="00E91355" w:rsidP="00E91355">
      <w:pPr>
        <w:pStyle w:val="NormalWeb"/>
      </w:pPr>
      <w:r>
        <w:rPr>
          <w:rFonts w:ascii="Verdana" w:hAnsi="Verdana"/>
          <w:sz w:val="20"/>
          <w:szCs w:val="20"/>
        </w:rPr>
        <w:t>La eficacia persuasiva, por su lado, deriva de la auctoritas que confiera a la jurisprudencia de la Sala de lo Constitucional su condición de máximo órgano jurisdiccional en materia de interpretación de la Constitución, y, en particular, en lo relativo a garantías constitucionales o derechos fundamentales.</w:t>
      </w:r>
      <w:hyperlink r:id="rId34" w:anchor="nota" w:history="1">
        <w:r>
          <w:rPr>
            <w:rStyle w:val="Hipervnculo"/>
            <w:rFonts w:ascii="Verdana" w:hAnsi="Verdana"/>
            <w:sz w:val="20"/>
            <w:szCs w:val="20"/>
            <w:vertAlign w:val="superscript"/>
          </w:rPr>
          <w:t>30</w:t>
        </w:r>
      </w:hyperlink>
    </w:p>
    <w:p w:rsidR="00E91355" w:rsidRDefault="00E91355" w:rsidP="00E91355">
      <w:pPr>
        <w:pStyle w:val="NormalWeb"/>
      </w:pPr>
      <w:r>
        <w:rPr>
          <w:rFonts w:ascii="Verdana" w:hAnsi="Verdana"/>
          <w:sz w:val="20"/>
          <w:szCs w:val="20"/>
        </w:rPr>
        <w:t>La confluencia de estos dos mecanismos produce, en la práctica, una tendencia al seguimiento, por todas las autoridades del Estado, de la jurisprudencia de la Sala de lo Constitucional,</w:t>
      </w:r>
      <w:hyperlink r:id="rId35" w:anchor="nota" w:history="1">
        <w:r>
          <w:rPr>
            <w:rStyle w:val="Hipervnculo"/>
            <w:rFonts w:ascii="Verdana" w:hAnsi="Verdana"/>
            <w:sz w:val="20"/>
            <w:szCs w:val="20"/>
            <w:vertAlign w:val="superscript"/>
          </w:rPr>
          <w:t>31</w:t>
        </w:r>
      </w:hyperlink>
      <w:r>
        <w:rPr>
          <w:rFonts w:ascii="Verdana" w:hAnsi="Verdana"/>
          <w:sz w:val="20"/>
          <w:szCs w:val="20"/>
        </w:rPr>
        <w:t xml:space="preserve"> a pesar de que en el ordenamiento jurídico salvadoreño no hay disposición constitucional o legal expresa que establezca la vinculatoriedad de la jurisprudencia constitucional, y donde la misma Sala se ha encargado de señalar el efecto vinculante de su labor interpretativa</w:t>
      </w:r>
      <w:hyperlink r:id="rId36" w:anchor="nota" w:history="1">
        <w:r>
          <w:rPr>
            <w:rStyle w:val="Hipervnculo"/>
            <w:rFonts w:ascii="Verdana" w:hAnsi="Verdana"/>
            <w:sz w:val="20"/>
            <w:szCs w:val="20"/>
            <w:vertAlign w:val="superscript"/>
          </w:rPr>
          <w:t>32</w:t>
        </w:r>
      </w:hyperlink>
      <w:r>
        <w:rPr>
          <w:rFonts w:ascii="Verdana" w:hAnsi="Verdana"/>
          <w:sz w:val="20"/>
          <w:szCs w:val="20"/>
        </w:rPr>
        <w:t xml:space="preserve"> o "nomotético de las sentencias [...] o el valor objetivo de la jurisprudencia constitucional".</w:t>
      </w:r>
      <w:hyperlink r:id="rId37" w:anchor="nota" w:history="1">
        <w:r>
          <w:rPr>
            <w:rStyle w:val="Hipervnculo"/>
            <w:rFonts w:ascii="Verdana" w:hAnsi="Verdana"/>
            <w:sz w:val="20"/>
            <w:szCs w:val="20"/>
            <w:vertAlign w:val="superscript"/>
          </w:rPr>
          <w:t>33</w:t>
        </w:r>
      </w:hyperlink>
    </w:p>
    <w:p w:rsidR="00E91355" w:rsidRDefault="00E91355" w:rsidP="00E91355">
      <w:pPr>
        <w:pStyle w:val="NormalWeb"/>
      </w:pPr>
      <w:r>
        <w:rPr>
          <w:rFonts w:ascii="Verdana" w:hAnsi="Verdana"/>
          <w:sz w:val="20"/>
          <w:szCs w:val="20"/>
        </w:rPr>
        <w:t>Sin embargo, se vuelve indispensable fortalecer este aspecto de la dimensión objetiva del amparo en El Salvador, ya que si bien las decisiones del Tribunal –y en general su jurisprudencia– son acatadas, existen todavía círculos en los que hay alguna reticencia al respecto, fundadas especialmente en la falta de imparcialidad de la Sala frente a cuestiones vinculadas con aspectos de índole política.</w:t>
      </w:r>
    </w:p>
    <w:p w:rsidR="00E91355" w:rsidRDefault="00E91355" w:rsidP="00E91355">
      <w:pPr>
        <w:pStyle w:val="NormalWeb"/>
      </w:pPr>
      <w:r>
        <w:rPr>
          <w:rFonts w:ascii="Verdana" w:hAnsi="Verdana"/>
          <w:sz w:val="20"/>
          <w:szCs w:val="20"/>
        </w:rPr>
        <w:lastRenderedPageBreak/>
        <w:t> </w:t>
      </w:r>
    </w:p>
    <w:p w:rsidR="00E91355" w:rsidRDefault="00E91355" w:rsidP="00E91355">
      <w:pPr>
        <w:pStyle w:val="NormalWeb"/>
      </w:pPr>
      <w:r>
        <w:rPr>
          <w:rFonts w:ascii="Verdana" w:hAnsi="Verdana"/>
          <w:i/>
          <w:iCs/>
          <w:sz w:val="20"/>
          <w:szCs w:val="20"/>
        </w:rPr>
        <w:t>C) Conexión entre la dimensión subjetiva y la objetiva del amparo</w:t>
      </w:r>
    </w:p>
    <w:p w:rsidR="00E91355" w:rsidRDefault="00E91355" w:rsidP="00E91355">
      <w:pPr>
        <w:pStyle w:val="NormalWeb"/>
      </w:pPr>
      <w:r>
        <w:rPr>
          <w:rFonts w:ascii="Verdana" w:hAnsi="Verdana"/>
          <w:sz w:val="20"/>
          <w:szCs w:val="20"/>
        </w:rPr>
        <w:t>Encontramos así en el amparo dos dimensiones perfectamente distinguibles; por un lado, una dimensión restringida, que se reduce a dar protección jurisdiccional reforzada de los derechos o categorías, y cuyos efectos se limitan a las partes concretas que intervienen en el amparo, y, por otro, una amplia, derivada de la labor interpretativa de los preceptos constitucionales que realiza el tribunal, que trasciende a aquellos que no han intervenido en el amparo, y vincula a todos los órganos del Estado.</w:t>
      </w:r>
    </w:p>
    <w:p w:rsidR="00E91355" w:rsidRDefault="00E91355" w:rsidP="00E91355">
      <w:pPr>
        <w:pStyle w:val="NormalWeb"/>
      </w:pPr>
      <w:r>
        <w:rPr>
          <w:rFonts w:ascii="Verdana" w:hAnsi="Verdana"/>
          <w:sz w:val="20"/>
          <w:szCs w:val="20"/>
        </w:rPr>
        <w:t>Es innegable la conexión que existe entre la dimensión subjetiva y objetiva del amparo, pues el "hecho de que puedan diferenciarse dos funciones [...] en el recurso de amparo, no significa que se traten de dos realidades absolutamente separadas, desconectadas entre sí y, menos aún, contrapuestas".</w:t>
      </w:r>
      <w:hyperlink r:id="rId38" w:anchor="nota" w:history="1">
        <w:r>
          <w:rPr>
            <w:rStyle w:val="Hipervnculo"/>
            <w:rFonts w:ascii="Verdana" w:hAnsi="Verdana"/>
            <w:sz w:val="20"/>
            <w:szCs w:val="20"/>
            <w:vertAlign w:val="superscript"/>
          </w:rPr>
          <w:t>34</w:t>
        </w:r>
      </w:hyperlink>
    </w:p>
    <w:p w:rsidR="00E91355" w:rsidRDefault="00E91355" w:rsidP="00E91355">
      <w:pPr>
        <w:pStyle w:val="NormalWeb"/>
      </w:pPr>
      <w:r>
        <w:rPr>
          <w:rFonts w:ascii="Verdana" w:hAnsi="Verdana"/>
          <w:sz w:val="20"/>
          <w:szCs w:val="20"/>
        </w:rPr>
        <w:t>Son dos dimensiones que coexisten sin que sea posible su separación, en la que cada una aporta notas que lo singularizan respecto a los procesos que se tramitan ante los tribunales ordinarios.</w:t>
      </w:r>
    </w:p>
    <w:p w:rsidR="00E91355" w:rsidRDefault="00E91355" w:rsidP="00E91355">
      <w:pPr>
        <w:pStyle w:val="NormalWeb"/>
      </w:pPr>
      <w:r>
        <w:rPr>
          <w:rFonts w:ascii="Verdana" w:hAnsi="Verdana"/>
          <w:sz w:val="20"/>
          <w:szCs w:val="20"/>
        </w:rPr>
        <w:t>Justamente, no es posible hablar de la dimensión subjetiva del amparo sin tener presente que para su realización se vuelve indispensable interpretar, esclarecer, actualizar el contenido de las disposiciones constitucionales que reconocen los derechos o categorías objeto de tutela, lo cual sin duda alguna incide positivamente en la eficacia del sistema de protección de derechos en el ordenamiento jurídico en general, ya que el contenido de las disposiciones que han sido objeto de interpretación constituyen criterios de actuación no sólo de los tribunales ordinarios, sino del resto de poderes públicos.</w:t>
      </w:r>
    </w:p>
    <w:p w:rsidR="00E91355" w:rsidRDefault="00E91355" w:rsidP="00E91355">
      <w:pPr>
        <w:pStyle w:val="NormalWeb"/>
      </w:pPr>
      <w:r>
        <w:rPr>
          <w:rFonts w:ascii="Verdana" w:hAnsi="Verdana"/>
          <w:sz w:val="20"/>
          <w:szCs w:val="20"/>
        </w:rPr>
        <w:t>De igual forma, la defensa de la Constitución sólo es concebible a partir de la defensa de los derechos reconocidos en la misma, es decir, frente a la posibilidad de reaccionar ante la vulneración de uno de los derechos o categorías protegidos por el amparo. Y es que, es la</w:t>
      </w:r>
    </w:p>
    <w:p w:rsidR="00E91355" w:rsidRDefault="00E91355" w:rsidP="00E91355">
      <w:pPr>
        <w:pStyle w:val="NormalWeb"/>
      </w:pPr>
      <w:r>
        <w:rPr>
          <w:rFonts w:ascii="Verdana" w:hAnsi="Verdana"/>
          <w:sz w:val="20"/>
          <w:szCs w:val="20"/>
        </w:rPr>
        <w:t>[...] realidad, siempre casuística y más rica que la mejor construcción doctrinal, la que permite defender y actualizar la interpretación de la Constitución. Confiar en que la defensa objetiva se consigue mediante legitimaciones meramente objetivas es elevar el derecho casi a Ética; el "deber ser" que encarna la Constitución no puede definirse si no es a partir del "ser".</w:t>
      </w:r>
      <w:hyperlink r:id="rId39" w:anchor="nota" w:history="1">
        <w:r>
          <w:rPr>
            <w:rStyle w:val="Hipervnculo"/>
            <w:rFonts w:ascii="Verdana" w:hAnsi="Verdana"/>
            <w:sz w:val="20"/>
            <w:szCs w:val="20"/>
            <w:vertAlign w:val="superscript"/>
          </w:rPr>
          <w:t>35</w:t>
        </w:r>
      </w:hyperlink>
    </w:p>
    <w:p w:rsidR="00E91355" w:rsidRDefault="00E91355" w:rsidP="00E91355">
      <w:pPr>
        <w:pStyle w:val="NormalWeb"/>
      </w:pPr>
      <w:r>
        <w:rPr>
          <w:rFonts w:ascii="Verdana" w:hAnsi="Verdana"/>
          <w:sz w:val="20"/>
          <w:szCs w:val="20"/>
        </w:rPr>
        <w:t>Esta conexión se vuelve indispensable en un amparo como el salvadoreño, donde mediante la solución del caso concreto se ha ido potenciado la defensa objetiva de la Constitución. No cabe duda, pues, que la conexión</w:t>
      </w:r>
    </w:p>
    <w:p w:rsidR="00E91355" w:rsidRDefault="00E91355" w:rsidP="00E91355">
      <w:pPr>
        <w:pStyle w:val="NormalWeb"/>
      </w:pPr>
      <w:r>
        <w:rPr>
          <w:rFonts w:ascii="Verdana" w:hAnsi="Verdana"/>
          <w:sz w:val="20"/>
          <w:szCs w:val="20"/>
        </w:rPr>
        <w:t>[...] más importante entre la dimensión objetiva y subjetiva de la garantía de la Constitución [...], es, pues, la necesidad de que la justicia constitucional esté abierta a las posibles vulneraciones, que en el día a día, puedan producirse en una determinada sociedad; por ello, la existencia del recurso de amparo y la amplia legitimación que para su interposición se prevé [...], es el mejor servicio que puede prestarse a la garantía objetiva de esos mismos derechos y libertades.</w:t>
      </w:r>
      <w:hyperlink r:id="rId40" w:anchor="nota" w:history="1">
        <w:r>
          <w:rPr>
            <w:rStyle w:val="Hipervnculo"/>
            <w:rFonts w:ascii="Verdana" w:hAnsi="Verdana"/>
            <w:sz w:val="20"/>
            <w:szCs w:val="20"/>
            <w:vertAlign w:val="superscript"/>
          </w:rPr>
          <w:t>36</w:t>
        </w:r>
      </w:hyperlink>
    </w:p>
    <w:p w:rsidR="00E91355" w:rsidRDefault="00E91355" w:rsidP="00E91355">
      <w:pPr>
        <w:pStyle w:val="NormalWeb"/>
      </w:pPr>
      <w:r>
        <w:rPr>
          <w:rFonts w:ascii="Verdana" w:hAnsi="Verdana"/>
          <w:sz w:val="20"/>
          <w:szCs w:val="20"/>
        </w:rPr>
        <w:lastRenderedPageBreak/>
        <w:t>Abandonar esta dirección del amparo por una potenciación de la dimensión objetiva, a consecuencia, en algún momento, del excesivo número de demandas, produciría efectos negativos en lo relativo a la protección de derechos en el ordenamiento salvadoreño, concretamente se produciría un recorte de éstos, ya que, si bien es cierto, el amparo no es el único mecanismo de tutela, constituye una alternativa ante la eventual ineficacia del proceso ordinario.</w:t>
      </w:r>
    </w:p>
    <w:p w:rsidR="00E91355" w:rsidRDefault="00E91355" w:rsidP="00E91355">
      <w:pPr>
        <w:pStyle w:val="NormalWeb"/>
      </w:pPr>
      <w:r>
        <w:rPr>
          <w:rFonts w:ascii="Verdana" w:hAnsi="Verdana"/>
          <w:sz w:val="20"/>
          <w:szCs w:val="20"/>
        </w:rPr>
        <w:t>Además de lo anterior, la Sala de lo Constitucional estaría, en primer lugar, asumiendo un papel al que su estructura orgánica no responde, para el que no tiene la suficiente legitimación, ya que las "instancias en que tiene lugar el debate permanente y necesario sobre la mejora objetiva de los derechos fundamentales son, por esencia, los espacios democráticos de participación ciudadana".</w:t>
      </w:r>
      <w:hyperlink r:id="rId41" w:anchor="nota" w:history="1">
        <w:r>
          <w:rPr>
            <w:rStyle w:val="Hipervnculo"/>
            <w:rFonts w:ascii="Verdana" w:hAnsi="Verdana"/>
            <w:sz w:val="20"/>
            <w:szCs w:val="20"/>
            <w:vertAlign w:val="superscript"/>
          </w:rPr>
          <w:t>37</w:t>
        </w:r>
      </w:hyperlink>
      <w:r>
        <w:rPr>
          <w:rFonts w:ascii="Verdana" w:hAnsi="Verdana"/>
          <w:sz w:val="20"/>
          <w:szCs w:val="20"/>
        </w:rPr>
        <w:t xml:space="preserve"> En segundo lugar, estaría utilizando una vía no idónea para realizar dicha función, pues el amparo está informado por principios de naturaleza procesal, que responden, esencialmente, a la solución del caso concreto.</w:t>
      </w:r>
    </w:p>
    <w:p w:rsidR="00E91355" w:rsidRDefault="00E91355" w:rsidP="00E91355">
      <w:pPr>
        <w:pStyle w:val="NormalWeb"/>
      </w:pPr>
      <w:r>
        <w:rPr>
          <w:rFonts w:ascii="Verdana" w:hAnsi="Verdana"/>
          <w:sz w:val="20"/>
          <w:szCs w:val="20"/>
        </w:rPr>
        <w:t>Una problemática como la planteada conllevaría, en el caso salvadoreño, a soluciones de otra naturaleza, las cuales no serán analizadas en este trabajo debido a que excede los límites del mismo.</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b/>
          <w:bCs/>
          <w:sz w:val="20"/>
          <w:szCs w:val="20"/>
        </w:rPr>
        <w:t>2. Derechos protegibles por el amparo</w:t>
      </w:r>
    </w:p>
    <w:p w:rsidR="00E91355" w:rsidRDefault="00E91355" w:rsidP="00E91355">
      <w:pPr>
        <w:pStyle w:val="NormalWeb"/>
      </w:pPr>
      <w:r>
        <w:rPr>
          <w:rFonts w:ascii="Verdana" w:hAnsi="Verdana"/>
          <w:sz w:val="20"/>
          <w:szCs w:val="20"/>
        </w:rPr>
        <w:t>La Constitución salvadoreña de 1983, en su artículo 247, inciso 1o., determina los derechos protegible por el amparo al señalar que toda "persona puede pedir amparo ante la Sala de lo Constitucional de la Corte Suprema de Justicia por violación de los derechos que otorga la presente Constitución".</w:t>
      </w:r>
    </w:p>
    <w:p w:rsidR="00E91355" w:rsidRDefault="00E91355" w:rsidP="00E91355">
      <w:pPr>
        <w:pStyle w:val="NormalWeb"/>
      </w:pPr>
      <w:r>
        <w:rPr>
          <w:rFonts w:ascii="Verdana" w:hAnsi="Verdana"/>
          <w:sz w:val="20"/>
          <w:szCs w:val="20"/>
        </w:rPr>
        <w:t>En la misma dirección, la Ley de Procedimientos Constitucionales, en sus artículos 3o. y 12, determina los derechos protegibles por el amparo, al reiterar que toda "persona puede pedir amparo ante la Sala de lo Constitucional de la Corte Suprema de Justicia, por violación de los derechos que le otorga la Constitución".</w:t>
      </w:r>
    </w:p>
    <w:p w:rsidR="00E91355" w:rsidRDefault="00E91355" w:rsidP="00E91355">
      <w:pPr>
        <w:pStyle w:val="NormalWeb"/>
      </w:pPr>
      <w:r>
        <w:rPr>
          <w:rFonts w:ascii="Verdana" w:hAnsi="Verdana"/>
          <w:sz w:val="20"/>
          <w:szCs w:val="20"/>
        </w:rPr>
        <w:t>Nos encontramos así ante una lista abierta</w:t>
      </w:r>
      <w:hyperlink r:id="rId42" w:anchor="nota" w:history="1">
        <w:r>
          <w:rPr>
            <w:rStyle w:val="Hipervnculo"/>
            <w:rFonts w:ascii="Verdana" w:hAnsi="Verdana"/>
            <w:sz w:val="20"/>
            <w:szCs w:val="20"/>
            <w:vertAlign w:val="superscript"/>
          </w:rPr>
          <w:t>38</w:t>
        </w:r>
      </w:hyperlink>
      <w:r>
        <w:rPr>
          <w:rFonts w:ascii="Verdana" w:hAnsi="Verdana"/>
          <w:sz w:val="20"/>
          <w:szCs w:val="20"/>
        </w:rPr>
        <w:t xml:space="preserve"> de derechos protegibles a través del amparo, ya que a pesar de que existe una limitación de tipo formal —"los derechos que otorga la presente Constitución"—, la misma sólo arroja los elementos necesarios para establecer un mínimo, no así para elaborar una lista definitiva que comprenda todos los derechos susceptibles de tutela mediante este proceso constitucional, la cual se ha ido complementando a medida en que se determinan cuáles son los derechos que reconoce la Constitución, y además se fija el contenido de los mismos.</w:t>
      </w:r>
    </w:p>
    <w:p w:rsidR="00E91355" w:rsidRDefault="00E91355" w:rsidP="00E91355">
      <w:pPr>
        <w:pStyle w:val="NormalWeb"/>
      </w:pPr>
      <w:r>
        <w:rPr>
          <w:rFonts w:ascii="Verdana" w:hAnsi="Verdana"/>
          <w:sz w:val="20"/>
          <w:szCs w:val="20"/>
        </w:rPr>
        <w:t>En virtud de las graves dificultades interpretativas que se presentan, una de las áreas del amparo que ha impedido elaborar una visión de conjunto o, si se prefiere, mantener inacabada su construcción teórica, es la concerniente a la determinación del ámbito de derechos protegidos, incluso en sistemas en los que existe una disposición constitucional que se encarga de acotar los derechos tutelables por el mismo.</w:t>
      </w:r>
      <w:hyperlink r:id="rId43" w:anchor="nota" w:history="1">
        <w:r>
          <w:rPr>
            <w:rStyle w:val="Hipervnculo"/>
            <w:rFonts w:ascii="Verdana" w:hAnsi="Verdana"/>
            <w:sz w:val="20"/>
            <w:szCs w:val="20"/>
            <w:vertAlign w:val="superscript"/>
          </w:rPr>
          <w:t>39</w:t>
        </w:r>
      </w:hyperlink>
    </w:p>
    <w:p w:rsidR="00E91355" w:rsidRDefault="00E91355" w:rsidP="00E91355">
      <w:pPr>
        <w:pStyle w:val="NormalWeb"/>
      </w:pPr>
      <w:r>
        <w:rPr>
          <w:rFonts w:ascii="Verdana" w:hAnsi="Verdana"/>
          <w:sz w:val="20"/>
          <w:szCs w:val="20"/>
        </w:rPr>
        <w:t>En virtud de eso, haremos un análisis de las resoluciones emanadas de la Sala de lo Constitucional que de alguna manera han contribuido a definir el ámbito de derechos protegibles por el amparo, así como de las vías utilizadas, en algunos casos, para ensancharlo.</w:t>
      </w:r>
    </w:p>
    <w:p w:rsidR="00E91355" w:rsidRDefault="00E91355" w:rsidP="00E91355">
      <w:pPr>
        <w:pStyle w:val="NormalWeb"/>
      </w:pPr>
      <w:r>
        <w:rPr>
          <w:rFonts w:ascii="Verdana" w:hAnsi="Verdana"/>
          <w:sz w:val="20"/>
          <w:szCs w:val="20"/>
        </w:rPr>
        <w:lastRenderedPageBreak/>
        <w:t> </w:t>
      </w:r>
    </w:p>
    <w:p w:rsidR="00E91355" w:rsidRDefault="00E91355" w:rsidP="00E91355">
      <w:pPr>
        <w:pStyle w:val="NormalWeb"/>
      </w:pPr>
      <w:r>
        <w:rPr>
          <w:rFonts w:ascii="Verdana" w:hAnsi="Verdana"/>
          <w:i/>
          <w:iCs/>
          <w:sz w:val="20"/>
          <w:szCs w:val="20"/>
        </w:rPr>
        <w:t>Ámbito protegido por el amparo según la jurisprudencia</w:t>
      </w:r>
      <w:r>
        <w:rPr>
          <w:rFonts w:ascii="Verdana" w:hAnsi="Verdana"/>
          <w:sz w:val="20"/>
          <w:szCs w:val="20"/>
        </w:rPr>
        <w:t xml:space="preserve"> </w:t>
      </w:r>
      <w:r>
        <w:rPr>
          <w:rFonts w:ascii="Verdana" w:hAnsi="Verdana"/>
          <w:i/>
          <w:iCs/>
          <w:sz w:val="20"/>
          <w:szCs w:val="20"/>
        </w:rPr>
        <w:t>de la Sala de lo Constitucional</w:t>
      </w:r>
    </w:p>
    <w:p w:rsidR="00E91355" w:rsidRDefault="00E91355" w:rsidP="00E91355">
      <w:pPr>
        <w:pStyle w:val="NormalWeb"/>
      </w:pPr>
      <w:r>
        <w:rPr>
          <w:rFonts w:ascii="Verdana" w:hAnsi="Verdana"/>
          <w:i/>
          <w:iCs/>
          <w:sz w:val="20"/>
          <w:szCs w:val="20"/>
        </w:rPr>
        <w:t>a.</w:t>
      </w:r>
      <w:r>
        <w:rPr>
          <w:rFonts w:ascii="Verdana" w:hAnsi="Verdana"/>
          <w:sz w:val="20"/>
          <w:szCs w:val="20"/>
        </w:rPr>
        <w:t xml:space="preserve"> </w:t>
      </w:r>
      <w:r>
        <w:rPr>
          <w:rFonts w:ascii="Verdana" w:hAnsi="Verdana"/>
          <w:i/>
          <w:iCs/>
          <w:sz w:val="20"/>
          <w:szCs w:val="20"/>
        </w:rPr>
        <w:t>Extensión del ámbito material protegido o bien litigioso</w:t>
      </w:r>
      <w:r>
        <w:rPr>
          <w:rFonts w:ascii="Verdana" w:hAnsi="Verdana"/>
          <w:sz w:val="20"/>
          <w:szCs w:val="20"/>
        </w:rPr>
        <w:t xml:space="preserve"> </w:t>
      </w:r>
      <w:r>
        <w:rPr>
          <w:rFonts w:ascii="Verdana" w:hAnsi="Verdana"/>
          <w:i/>
          <w:iCs/>
          <w:sz w:val="20"/>
          <w:szCs w:val="20"/>
        </w:rPr>
        <w:t>vía jurisprudencia</w:t>
      </w:r>
    </w:p>
    <w:p w:rsidR="00E91355" w:rsidRDefault="00E91355" w:rsidP="00E91355">
      <w:pPr>
        <w:pStyle w:val="NormalWeb"/>
      </w:pPr>
      <w:r>
        <w:rPr>
          <w:rFonts w:ascii="Verdana" w:hAnsi="Verdana"/>
          <w:sz w:val="20"/>
          <w:szCs w:val="20"/>
        </w:rPr>
        <w:t>Inicialmente, la jurisprudencia constitucional se limitó a reproducir el ámbito de derechos protegibles establecido en la Constitución y en la Ley de Procedimientos Constitucionales, al señalar reiteradamente "que mediante el proceso de amparo se persigue la protección, en sede constitucional, de los derechos que la Constitución otorga".</w:t>
      </w:r>
      <w:hyperlink r:id="rId44" w:anchor="nota" w:history="1">
        <w:r>
          <w:rPr>
            <w:rStyle w:val="Hipervnculo"/>
            <w:rFonts w:ascii="Verdana" w:hAnsi="Verdana"/>
            <w:sz w:val="20"/>
            <w:szCs w:val="20"/>
            <w:vertAlign w:val="superscript"/>
          </w:rPr>
          <w:t>40</w:t>
        </w:r>
      </w:hyperlink>
    </w:p>
    <w:p w:rsidR="00E91355" w:rsidRDefault="00E91355" w:rsidP="00E91355">
      <w:pPr>
        <w:pStyle w:val="NormalWeb"/>
      </w:pPr>
      <w:r>
        <w:rPr>
          <w:rFonts w:ascii="Verdana" w:hAnsi="Verdana"/>
          <w:sz w:val="20"/>
          <w:szCs w:val="20"/>
        </w:rPr>
        <w:t>Se trataba, por tanto, de una delimitación meramente formal del objeto de protección del amparo, ya que el criterio empleado se basaba en la calificación de "derecho" efectuada por la Constitución, es decir, en la simple denominación constitucional, la cual en algunos casos es impropia. En ese sentido, se puede afirmar, que era un criterio que hacía coincidir el objeto de protección con todas las situaciones jurídicas que formalmente fueran denominadas "derecho" en la Constitución. Sin embargo, a través de una sentencia pronunciada en febrero de 1996, la Sala de lo Constitucional empieza a delimitar los alcances de la expresión "derechos" contenida en los artículos 247 de la Constitución y 12 de la Ley de Procedimientos Constitucionales, labor que realiza a partir del análisis de la "utilización de dicho término, no sólo en la disposición en cuestión, sino también en el resto del texto fundamental".</w:t>
      </w:r>
      <w:hyperlink r:id="rId45" w:anchor="nota" w:history="1">
        <w:r>
          <w:rPr>
            <w:rStyle w:val="Hipervnculo"/>
            <w:rFonts w:ascii="Verdana" w:hAnsi="Verdana"/>
            <w:sz w:val="20"/>
            <w:szCs w:val="20"/>
            <w:vertAlign w:val="superscript"/>
          </w:rPr>
          <w:t>41</w:t>
        </w:r>
      </w:hyperlink>
      <w:r>
        <w:rPr>
          <w:rFonts w:ascii="Verdana" w:hAnsi="Verdana"/>
          <w:sz w:val="20"/>
          <w:szCs w:val="20"/>
        </w:rPr>
        <w:t xml:space="preserve"> A su vez, destaca que:</w:t>
      </w:r>
    </w:p>
    <w:p w:rsidR="00E91355" w:rsidRDefault="00E91355" w:rsidP="00E91355">
      <w:pPr>
        <w:pStyle w:val="NormalWeb"/>
      </w:pPr>
      <w:r>
        <w:rPr>
          <w:rFonts w:ascii="Verdana" w:hAnsi="Verdana"/>
          <w:sz w:val="20"/>
          <w:szCs w:val="20"/>
        </w:rPr>
        <w:t>[...] las diversas realidades jurídicas que nuestra Constitución califica como "derecho" no coinciden con la misma, y es que los derechos subjetivos, en su contenido técnico común, configuran un campo limitado de acción; excluyendo de su ámbito una serie de situaciones o realidades jurídicas, las cuales, precisamente, han sido llamadas "derechos" por el legislador constituyente.</w:t>
      </w:r>
    </w:p>
    <w:p w:rsidR="00E91355" w:rsidRDefault="00E91355" w:rsidP="00E91355">
      <w:pPr>
        <w:pStyle w:val="NormalWeb"/>
      </w:pPr>
      <w:r>
        <w:rPr>
          <w:rFonts w:ascii="Verdana" w:hAnsi="Verdana"/>
          <w:sz w:val="20"/>
          <w:szCs w:val="20"/>
        </w:rPr>
        <w:t>En virtud de lo anterior, señala la citada sentencia, la expresión "derecho" en nuestra Constitución "equivale a categorías subjetivas protegidas por el ordenamiento jurídico que no se limitan a derechos subjetivos. Dicho de otra forma, el vocablo 'derecho' en nuestra Constitución no sólo comprende la categoría técnico jurídica de derechos subjetivos, sino que agrupa a varias otras".</w:t>
      </w:r>
    </w:p>
    <w:p w:rsidR="00E91355" w:rsidRDefault="00E91355" w:rsidP="00E91355">
      <w:pPr>
        <w:pStyle w:val="NormalWeb"/>
      </w:pPr>
      <w:r>
        <w:rPr>
          <w:rFonts w:ascii="Verdana" w:hAnsi="Verdana"/>
          <w:sz w:val="20"/>
          <w:szCs w:val="20"/>
        </w:rPr>
        <w:t>La sentencia concluye con que dichas categorías jurídicas constituyen "el ámbito mínimo de aplicación que la misma Constitución ordena del artículo 247. Por lo tanto, el instrumento procesal del amparo procede contra todo acto de autoridad que vulnere cualquiera de las categorías subjetivas protegidas por la Constitución [...]".</w:t>
      </w:r>
    </w:p>
    <w:p w:rsidR="00E91355" w:rsidRDefault="00E91355" w:rsidP="00E91355">
      <w:pPr>
        <w:pStyle w:val="NormalWeb"/>
      </w:pPr>
      <w:r>
        <w:rPr>
          <w:rFonts w:ascii="Verdana" w:hAnsi="Verdana"/>
          <w:sz w:val="20"/>
          <w:szCs w:val="20"/>
        </w:rPr>
        <w:t>A consecuencia de la sentencia relacionada se produce un ensanchamiento del objeto de protección del amparo, en este caso mediante la interpretación de la disposición constitucional que lo fijaba formalmente, ya que partir de este momento son tutelables, mediante el amparo, tanto aquellos que verdaderamente constituyen derechos —y que así les llama la Constitución—, como las categorías jurídicas subjetivas reconocidas en la Constitución, independientemente de su denominación. Por lo que se pasa de un ámbito de protección integrado por verdaderos derechos y por categorías jurídicas, también denominadas derechos, a otro integrado por los verdaderos derechos y por todas las categorías jurídicas subjetivas reconocidas en la Constitución, incluso aquellas que no fueran designadas como tal por ésta.</w:t>
      </w:r>
    </w:p>
    <w:p w:rsidR="00E91355" w:rsidRDefault="00E91355" w:rsidP="00E91355">
      <w:pPr>
        <w:pStyle w:val="NormalWeb"/>
      </w:pPr>
      <w:r>
        <w:rPr>
          <w:rFonts w:ascii="Verdana" w:hAnsi="Verdana"/>
          <w:sz w:val="20"/>
          <w:szCs w:val="20"/>
        </w:rPr>
        <w:lastRenderedPageBreak/>
        <w:t>Ahora bien, a pesar de que el ámbito de protección del amparo no se ha modificado formalmente, la jurisprudencia constitucional para referirse al mismo ya no utiliza la expresión "derechos que otorga la Constitución", sino que expresamente señala que el amparo "pretende brindar una protección reforzada de los derechos y categorías jurídico–subjetivas de relevancia constitucional consagradas a favor de los gobernados".</w:t>
      </w:r>
      <w:hyperlink r:id="rId46" w:anchor="nota" w:history="1">
        <w:r>
          <w:rPr>
            <w:rStyle w:val="Hipervnculo"/>
            <w:rFonts w:ascii="Verdana" w:hAnsi="Verdana"/>
            <w:sz w:val="20"/>
            <w:szCs w:val="20"/>
            <w:vertAlign w:val="superscript"/>
          </w:rPr>
          <w:t>42</w:t>
        </w:r>
      </w:hyperlink>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i/>
          <w:iCs/>
          <w:sz w:val="20"/>
          <w:szCs w:val="20"/>
        </w:rPr>
        <w:t>b.</w:t>
      </w:r>
      <w:r>
        <w:rPr>
          <w:rFonts w:ascii="Verdana" w:hAnsi="Verdana"/>
          <w:sz w:val="20"/>
          <w:szCs w:val="20"/>
        </w:rPr>
        <w:t xml:space="preserve"> </w:t>
      </w:r>
      <w:r>
        <w:rPr>
          <w:rFonts w:ascii="Verdana" w:hAnsi="Verdana"/>
          <w:i/>
          <w:iCs/>
          <w:sz w:val="20"/>
          <w:szCs w:val="20"/>
        </w:rPr>
        <w:t>Extensión del contenido de los derechos protegibles por el amparo</w:t>
      </w:r>
    </w:p>
    <w:p w:rsidR="00E91355" w:rsidRDefault="00E91355" w:rsidP="00E91355">
      <w:pPr>
        <w:pStyle w:val="NormalWeb"/>
      </w:pPr>
      <w:r>
        <w:rPr>
          <w:rFonts w:ascii="Verdana" w:hAnsi="Verdana"/>
          <w:sz w:val="20"/>
          <w:szCs w:val="20"/>
        </w:rPr>
        <w:t>Una de las vías mediante la cual se ha ensanchado el ámbito de derechos protegibles por el amparo en El Salvador es la interpretación, por la Sala de lo Constitucional, de las disposiciones constitucionales que reconocen derechos protegibles por dicho proceso constitucional. A través de este medio, denominado también fuerza expansiva de algunos derechos fundamentales, "otros derechos ubicados "extramuros" del ámbito tutelado, pero inescindiblemente imbricados con ellos, se han considerado susceptibles de amparo constitucional".</w:t>
      </w:r>
      <w:hyperlink r:id="rId47" w:anchor="nota" w:history="1">
        <w:r>
          <w:rPr>
            <w:rStyle w:val="Hipervnculo"/>
            <w:rFonts w:ascii="Verdana" w:hAnsi="Verdana"/>
            <w:sz w:val="20"/>
            <w:szCs w:val="20"/>
            <w:vertAlign w:val="superscript"/>
          </w:rPr>
          <w:t>43</w:t>
        </w:r>
      </w:hyperlink>
    </w:p>
    <w:p w:rsidR="00E91355" w:rsidRDefault="00E91355" w:rsidP="00E91355">
      <w:pPr>
        <w:pStyle w:val="NormalWeb"/>
      </w:pPr>
      <w:r>
        <w:rPr>
          <w:rFonts w:ascii="Verdana" w:hAnsi="Verdana"/>
          <w:sz w:val="20"/>
          <w:szCs w:val="20"/>
        </w:rPr>
        <w:t>Precisamente, la disposición que reconoce el derecho de petición ha sido reiteradamente interpretada por la Sala de lo Constitucional, y a consecuencia de la misma se ha producido una ampliación o extensión del contenido de tal derecho.</w:t>
      </w:r>
    </w:p>
    <w:p w:rsidR="00E91355" w:rsidRDefault="00E91355" w:rsidP="00E91355">
      <w:pPr>
        <w:pStyle w:val="NormalWeb"/>
      </w:pPr>
      <w:r>
        <w:rPr>
          <w:rFonts w:ascii="Verdana" w:hAnsi="Verdana"/>
          <w:sz w:val="20"/>
          <w:szCs w:val="20"/>
        </w:rPr>
        <w:t>Al respecto, el artículo 18 de la Constitución establece: "Toda persona tiene derecho a dirigir sus peticiones por escrito, de manera decorosa, a las autoridades legalmente establecidas; a que se le resuelvan, y a que se le haga saber lo resuelto".</w:t>
      </w:r>
    </w:p>
    <w:p w:rsidR="00E91355" w:rsidRDefault="00E91355" w:rsidP="00E91355">
      <w:pPr>
        <w:pStyle w:val="NormalWeb"/>
      </w:pPr>
      <w:r>
        <w:rPr>
          <w:rFonts w:ascii="Verdana" w:hAnsi="Verdana"/>
          <w:sz w:val="20"/>
          <w:szCs w:val="20"/>
        </w:rPr>
        <w:t>A partir de la configuración constitucional de tal derecho, la Sala de lo Constitucional consideró incorporado dentro del mismo a otros derechos, los cuales a partir de ese momento podían ser invocables en un proceso de amparo. Así, en primer lugar, encontramos el derecho a que la respuesta sea motivada, ya que:</w:t>
      </w:r>
    </w:p>
    <w:p w:rsidR="00E91355" w:rsidRDefault="00E91355" w:rsidP="00E91355">
      <w:pPr>
        <w:pStyle w:val="NormalWeb"/>
      </w:pPr>
      <w:r>
        <w:rPr>
          <w:rFonts w:ascii="Verdana" w:hAnsi="Verdana"/>
          <w:sz w:val="20"/>
          <w:szCs w:val="20"/>
        </w:rPr>
        <w:t>[...] ésta no puede limitarse a dar constancia de haberse recibido la petición y a rechazar o aceptar lo pedido sin precederle razonamiento o motivación, sino [...] [que] debe ser racionalmente motivada, esto es, deben de exponerse en ella ampliamente las razones justificativas de la misma; razones o fundamentos legales y objetivos que legitimen la decisión.</w:t>
      </w:r>
    </w:p>
    <w:p w:rsidR="00E91355" w:rsidRDefault="00E91355" w:rsidP="00E91355">
      <w:pPr>
        <w:pStyle w:val="NormalWeb"/>
      </w:pPr>
      <w:r>
        <w:rPr>
          <w:rFonts w:ascii="Verdana" w:hAnsi="Verdana"/>
          <w:sz w:val="20"/>
          <w:szCs w:val="20"/>
        </w:rPr>
        <w:t>En segundo lugar, el derecho a que la respuesta sea congruente con la petición, "puesto que resulta igualmente violatorio del derecho constitucional de petición cuando la respuesta producida por la autoridad es incongruente respecto a lo requerido, y, en tercer lugar, el derecho a que la resolución se produzca "dentro de un plazo razonable".</w:t>
      </w:r>
      <w:hyperlink r:id="rId48" w:anchor="nota" w:history="1">
        <w:r>
          <w:rPr>
            <w:rStyle w:val="Hipervnculo"/>
            <w:rFonts w:ascii="Verdana" w:hAnsi="Verdana"/>
            <w:sz w:val="20"/>
            <w:szCs w:val="20"/>
            <w:vertAlign w:val="superscript"/>
          </w:rPr>
          <w:t>44</w:t>
        </w:r>
      </w:hyperlink>
    </w:p>
    <w:p w:rsidR="00E91355" w:rsidRDefault="00E91355" w:rsidP="00E91355">
      <w:pPr>
        <w:pStyle w:val="NormalWeb"/>
      </w:pPr>
      <w:r>
        <w:rPr>
          <w:rFonts w:ascii="Verdana" w:hAnsi="Verdana"/>
          <w:sz w:val="20"/>
          <w:szCs w:val="20"/>
        </w:rPr>
        <w:t>El derecho a la protección jurisdiccional también ha sido interpretado por la Sala de lo Constitucional, y, como resultado, el contenido de tal derecho se ha ensanchado, ya que han incorporado dentro del mismo, otros que a primera vista no serían tutelables a través del amparo.</w:t>
      </w:r>
    </w:p>
    <w:p w:rsidR="00E91355" w:rsidRDefault="00E91355" w:rsidP="00E91355">
      <w:pPr>
        <w:pStyle w:val="NormalWeb"/>
      </w:pPr>
      <w:r>
        <w:rPr>
          <w:rFonts w:ascii="Verdana" w:hAnsi="Verdana"/>
          <w:sz w:val="20"/>
          <w:szCs w:val="20"/>
        </w:rPr>
        <w:lastRenderedPageBreak/>
        <w:t>Al respecto, el artículo 2o. de la Constitución establece: "Toda persona tiene derecho a la vida, a la integridad física y moral, a la libertad, a la seguridad, al trabajo, a la propiedad y posesión, y a ser protegida en la conservación y defensa de los mismos".</w:t>
      </w:r>
    </w:p>
    <w:p w:rsidR="00E91355" w:rsidRDefault="00E91355" w:rsidP="00E91355">
      <w:pPr>
        <w:pStyle w:val="NormalWeb"/>
      </w:pPr>
      <w:r>
        <w:rPr>
          <w:rFonts w:ascii="Verdana" w:hAnsi="Verdana"/>
          <w:sz w:val="20"/>
          <w:szCs w:val="20"/>
        </w:rPr>
        <w:t>Este derecho ha sido denominado por la jurisprudencia constitucional como "derecho a la protección", la cual puede ser tanto jurisdiccional como no jurisdiccional.</w:t>
      </w:r>
      <w:hyperlink r:id="rId49" w:anchor="nota" w:history="1">
        <w:r>
          <w:rPr>
            <w:rStyle w:val="Hipervnculo"/>
            <w:rFonts w:ascii="Verdana" w:hAnsi="Verdana"/>
            <w:sz w:val="20"/>
            <w:szCs w:val="20"/>
            <w:vertAlign w:val="superscript"/>
          </w:rPr>
          <w:t>45</w:t>
        </w:r>
      </w:hyperlink>
      <w:r>
        <w:rPr>
          <w:rFonts w:ascii="Verdana" w:hAnsi="Verdana"/>
          <w:sz w:val="20"/>
          <w:szCs w:val="20"/>
        </w:rPr>
        <w:t xml:space="preserve"> En relación con la protección jurisdiccional, la Sala de lo Constitucional ha señalado que la finalidad de tal derecho es darle efectividad a todas la categoría subjetivas integrantes de la esfera jurídica del individuo, al poder válidamente reclamar frente a actos de particulares y estatales que atenten contra la conservación, mantenimiento, defensa y titularidad de tales categorías, a través el proceso jurisdiccional en todas sus instancias y en todos sus grados de conocimiento.</w:t>
      </w:r>
      <w:hyperlink r:id="rId50" w:anchor="nota" w:history="1">
        <w:r>
          <w:rPr>
            <w:rStyle w:val="Hipervnculo"/>
            <w:rFonts w:ascii="Verdana" w:hAnsi="Verdana"/>
            <w:sz w:val="20"/>
            <w:szCs w:val="20"/>
            <w:vertAlign w:val="superscript"/>
          </w:rPr>
          <w:t>46</w:t>
        </w:r>
      </w:hyperlink>
    </w:p>
    <w:p w:rsidR="00E91355" w:rsidRDefault="00E91355" w:rsidP="00E91355">
      <w:pPr>
        <w:pStyle w:val="NormalWeb"/>
      </w:pPr>
      <w:r>
        <w:rPr>
          <w:rFonts w:ascii="Verdana" w:hAnsi="Verdana"/>
          <w:sz w:val="20"/>
          <w:szCs w:val="20"/>
        </w:rPr>
        <w:t>Asimismo, la jurisprudencia constitucional ha establecido que este derecho a la protección no se satisface con la mera tramitación de un proceso, sino que el mismo debe contener una serie de garantías mínimas, entre las que cabe mencionar que la resolución tiene que ser congruente y motivada, y el derecho a hacer uso de los recursos siempre y cuando estén legalmente previstos.</w:t>
      </w:r>
      <w:hyperlink r:id="rId51" w:anchor="nota" w:history="1">
        <w:r>
          <w:rPr>
            <w:rStyle w:val="Hipervnculo"/>
            <w:rFonts w:ascii="Verdana" w:hAnsi="Verdana"/>
            <w:sz w:val="20"/>
            <w:szCs w:val="20"/>
            <w:vertAlign w:val="superscript"/>
          </w:rPr>
          <w:t>47</w:t>
        </w:r>
      </w:hyperlink>
    </w:p>
    <w:p w:rsidR="00E91355" w:rsidRDefault="00E91355" w:rsidP="00E91355">
      <w:pPr>
        <w:pStyle w:val="NormalWeb"/>
      </w:pPr>
      <w:r>
        <w:rPr>
          <w:rFonts w:ascii="Verdana" w:hAnsi="Verdana"/>
          <w:sz w:val="20"/>
          <w:szCs w:val="20"/>
        </w:rPr>
        <w:t>En este apartado nos referiremos únicamente a la congruencia y motivación de las resoluciones, no así al derecho a hacer uso de los recursos legalmente previstos, el cual será analizado en la parte relativa a los derechos de configuración legal.</w:t>
      </w:r>
    </w:p>
    <w:p w:rsidR="00E91355" w:rsidRDefault="00E91355" w:rsidP="00E91355">
      <w:pPr>
        <w:pStyle w:val="NormalWeb"/>
      </w:pPr>
      <w:r>
        <w:rPr>
          <w:rFonts w:ascii="Verdana" w:hAnsi="Verdana"/>
          <w:sz w:val="20"/>
          <w:szCs w:val="20"/>
        </w:rPr>
        <w:t>La incorporación de la congruencia y motivación de las resoluciones judiciales en el contenido del derecho a la protección jurisdiccional ha ensanchado el ámbito material de protección del amparo, ya que ha posibilitado que mediante el mismo se planteen pretensiones en las que se alegue violación a tal derecho, en razón de que una determinada resolución —pronunciada en un proceso, en cualquiera de sus instancias o grados de conocimiento—, no sea congruente o no esté motivada.</w:t>
      </w:r>
      <w:hyperlink r:id="rId52" w:anchor="nota" w:history="1">
        <w:r>
          <w:rPr>
            <w:rStyle w:val="Hipervnculo"/>
            <w:rFonts w:ascii="Verdana" w:hAnsi="Verdana"/>
            <w:sz w:val="20"/>
            <w:szCs w:val="20"/>
            <w:vertAlign w:val="superscript"/>
          </w:rPr>
          <w:t>48</w:t>
        </w:r>
      </w:hyperlink>
    </w:p>
    <w:p w:rsidR="00E91355" w:rsidRDefault="00E91355" w:rsidP="00E91355">
      <w:pPr>
        <w:pStyle w:val="NormalWeb"/>
      </w:pPr>
      <w:r>
        <w:rPr>
          <w:rFonts w:ascii="Verdana" w:hAnsi="Verdana"/>
          <w:sz w:val="20"/>
          <w:szCs w:val="20"/>
        </w:rPr>
        <w:t>Cabe señalar que el desarrollo jurisprudencial sobre este derecho es relativamente nuevo, ya que se inicia con claridad en 1999, lo cual no implica que algunas de las garantías que se consideran incorporadas dentro del mismo no hayan sido tuteladas con anterioridad mediante otro derecho.</w:t>
      </w:r>
    </w:p>
    <w:p w:rsidR="00E91355" w:rsidRDefault="00E91355" w:rsidP="00E91355">
      <w:pPr>
        <w:pStyle w:val="NormalWeb"/>
      </w:pPr>
      <w:r>
        <w:rPr>
          <w:rFonts w:ascii="Verdana" w:hAnsi="Verdana"/>
          <w:sz w:val="20"/>
          <w:szCs w:val="20"/>
        </w:rPr>
        <w:t>Justamente, en el caso concreto de la congruencia y la motivación de las resoluciones judiciales, encontramos una gran variedad de amparos en los que se alegaba la violación de éstas a través del derecho de petición, sin embargo, a consecuencia de la jurisprudencia derivada de la interpretación del artículo 2o. de la Constitución, se han diferenciado dos supuestos. En primer lugar, en el que la infracción a la congruencia y motivación es provocada por una resolución administrativa, caso en el cual, la vía continúa siendo el derecho de petición, y, en segundo lugar, aquél en el que la violación la ocasiona una resolución judicial, hipótesis en la cual la vía será el derecho a la protección jurisdiccional.</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i/>
          <w:iCs/>
          <w:sz w:val="20"/>
          <w:szCs w:val="20"/>
        </w:rPr>
        <w:t>c.</w:t>
      </w:r>
      <w:r>
        <w:rPr>
          <w:rFonts w:ascii="Verdana" w:hAnsi="Verdana"/>
          <w:sz w:val="20"/>
          <w:szCs w:val="20"/>
        </w:rPr>
        <w:t xml:space="preserve"> </w:t>
      </w:r>
      <w:r>
        <w:rPr>
          <w:rFonts w:ascii="Verdana" w:hAnsi="Verdana"/>
          <w:i/>
          <w:iCs/>
          <w:sz w:val="20"/>
          <w:szCs w:val="20"/>
        </w:rPr>
        <w:t>Derechos de naturaleza instrumental</w:t>
      </w:r>
    </w:p>
    <w:p w:rsidR="00E91355" w:rsidRDefault="00E91355" w:rsidP="00E91355">
      <w:pPr>
        <w:pStyle w:val="NormalWeb"/>
      </w:pPr>
      <w:r>
        <w:rPr>
          <w:rFonts w:ascii="Verdana" w:hAnsi="Verdana"/>
          <w:sz w:val="20"/>
          <w:szCs w:val="20"/>
        </w:rPr>
        <w:t>Los derechos de naturaleza instrumental constituyen otra de las vías para ampliar el ámbito de derechos protegibles por el amparo, ya que a partir de la relación de éstos con un derecho que no forma parte de dicho ámbito es posible la tutela de este último.</w:t>
      </w:r>
    </w:p>
    <w:p w:rsidR="00E91355" w:rsidRDefault="00E91355" w:rsidP="00E91355">
      <w:pPr>
        <w:pStyle w:val="NormalWeb"/>
      </w:pPr>
      <w:r>
        <w:rPr>
          <w:rFonts w:ascii="Verdana" w:hAnsi="Verdana"/>
          <w:sz w:val="20"/>
          <w:szCs w:val="20"/>
        </w:rPr>
        <w:lastRenderedPageBreak/>
        <w:t>El derecho de audiencia es, en la jurisprudencia constitucional salvadoreña, el derecho instrumental por excelencia, lo cual se ha puesto de manifiesto en reiteradas ocasiones por la misma, al señalar que "es una categoría estrechamente vinculada con el resto de derechos tutelables a través del amparo".</w:t>
      </w:r>
      <w:hyperlink r:id="rId53" w:anchor="nota" w:history="1">
        <w:r>
          <w:rPr>
            <w:rStyle w:val="Hipervnculo"/>
            <w:rFonts w:ascii="Verdana" w:hAnsi="Verdana"/>
            <w:sz w:val="20"/>
            <w:szCs w:val="20"/>
            <w:vertAlign w:val="superscript"/>
          </w:rPr>
          <w:t>49</w:t>
        </w:r>
      </w:hyperlink>
    </w:p>
    <w:p w:rsidR="00E91355" w:rsidRDefault="00E91355" w:rsidP="00E91355">
      <w:pPr>
        <w:pStyle w:val="NormalWeb"/>
      </w:pPr>
      <w:r>
        <w:rPr>
          <w:rFonts w:ascii="Verdana" w:hAnsi="Verdana"/>
          <w:sz w:val="20"/>
          <w:szCs w:val="20"/>
        </w:rPr>
        <w:t>Al respecto, el artículo 11, inciso 1o., de la Constitución establece: "Ninguna persona puede ser privada del derecho a la vida, a la propiedad y posesión, ni de cualquier otro de sus derechos sin ser previamente oída y vencida en juicio con arreglo a las leyes [...]".</w:t>
      </w:r>
    </w:p>
    <w:p w:rsidR="00E91355" w:rsidRDefault="00E91355" w:rsidP="00E91355">
      <w:pPr>
        <w:pStyle w:val="NormalWeb"/>
      </w:pPr>
      <w:r>
        <w:rPr>
          <w:rFonts w:ascii="Verdana" w:hAnsi="Verdana"/>
          <w:sz w:val="20"/>
          <w:szCs w:val="20"/>
        </w:rPr>
        <w:t>A la jurisprudencia constitucional, en relación con este derecho, podemos calificarla de variada, e incluso en algunos momentos contradictoria, hasta el punto de que alguien lo consideró expresamente sinónimo de debido proceso,</w:t>
      </w:r>
      <w:hyperlink r:id="rId54" w:anchor="nota" w:history="1">
        <w:r>
          <w:rPr>
            <w:rStyle w:val="Hipervnculo"/>
            <w:rFonts w:ascii="Verdana" w:hAnsi="Verdana"/>
            <w:sz w:val="20"/>
            <w:szCs w:val="20"/>
            <w:vertAlign w:val="superscript"/>
          </w:rPr>
          <w:t xml:space="preserve">50 </w:t>
        </w:r>
      </w:hyperlink>
      <w:r>
        <w:rPr>
          <w:rFonts w:ascii="Verdana" w:hAnsi="Verdana"/>
          <w:sz w:val="20"/>
          <w:szCs w:val="20"/>
        </w:rPr>
        <w:t>o en otros casos como categoría que englobaba algunos derechos como el de juez natural,</w:t>
      </w:r>
      <w:hyperlink r:id="rId55" w:anchor="nota" w:history="1">
        <w:r>
          <w:rPr>
            <w:rStyle w:val="Hipervnculo"/>
            <w:rFonts w:ascii="Verdana" w:hAnsi="Verdana"/>
            <w:sz w:val="20"/>
            <w:szCs w:val="20"/>
            <w:vertAlign w:val="superscript"/>
          </w:rPr>
          <w:t>51</w:t>
        </w:r>
      </w:hyperlink>
      <w:r>
        <w:rPr>
          <w:rFonts w:ascii="Verdana" w:hAnsi="Verdana"/>
          <w:sz w:val="20"/>
          <w:szCs w:val="20"/>
        </w:rPr>
        <w:t xml:space="preserve"> o a hacer uso de los recursos legalmente previstos.</w:t>
      </w:r>
      <w:hyperlink r:id="rId56" w:anchor="nota" w:history="1">
        <w:r>
          <w:rPr>
            <w:rStyle w:val="Hipervnculo"/>
            <w:rFonts w:ascii="Verdana" w:hAnsi="Verdana"/>
            <w:sz w:val="20"/>
            <w:szCs w:val="20"/>
            <w:vertAlign w:val="superscript"/>
          </w:rPr>
          <w:t>52</w:t>
        </w:r>
      </w:hyperlink>
    </w:p>
    <w:p w:rsidR="00E91355" w:rsidRDefault="00E91355" w:rsidP="00E91355">
      <w:pPr>
        <w:pStyle w:val="NormalWeb"/>
      </w:pPr>
      <w:r>
        <w:rPr>
          <w:rFonts w:ascii="Verdana" w:hAnsi="Verdana"/>
          <w:sz w:val="20"/>
          <w:szCs w:val="20"/>
        </w:rPr>
        <w:t>No obstante eso, en la actualidad, muchos aspectos, un tanto discutibles, han sido superados, lo cual ha generado jurisprudencia bastante estable al respecto. De la cual podemos destacar aquella que señala que el derecho de audiencia no es un derecho autónomo, ya que para los efectos de un amparo se vuelve indispensable vincularlo con otro derecho o categoría jurídica material; en ese sentido, no es posible incoar un amparo dirigido únicamente a proteger las formas procesales, a mantener el respeto del procedimiento sin alegar la afectación a otro derecho, concretamente, el derecho que el actor considera le ha sido privado a consecuencia de la falta de audiencia o de los vicios del proceso o procedimiento. Así lo ha puesto de manifiesto la jurisprudencia constitucional al señalar que "el derecho de audiencia no es un derecho autónomo, ya que el mismo puede ser alegado —para fines del proceso de amparo— presuponiendo la existencia de otro derecho de rango constitucional o categoría jurídica subjetiva protegible susceptible de ser violada".</w:t>
      </w:r>
      <w:hyperlink r:id="rId57" w:anchor="nota" w:history="1">
        <w:r>
          <w:rPr>
            <w:rStyle w:val="Hipervnculo"/>
            <w:rFonts w:ascii="Verdana" w:hAnsi="Verdana"/>
            <w:sz w:val="20"/>
            <w:szCs w:val="20"/>
            <w:vertAlign w:val="superscript"/>
          </w:rPr>
          <w:t>53</w:t>
        </w:r>
      </w:hyperlink>
    </w:p>
    <w:p w:rsidR="00E91355" w:rsidRDefault="00E91355" w:rsidP="00E91355">
      <w:pPr>
        <w:pStyle w:val="NormalWeb"/>
      </w:pPr>
      <w:r>
        <w:rPr>
          <w:rFonts w:ascii="Verdana" w:hAnsi="Verdana"/>
          <w:sz w:val="20"/>
          <w:szCs w:val="20"/>
        </w:rPr>
        <w:t>En virtud de eso, la alegación de un derecho o categoría jurídica subjetiva protegible de naturaleza material, junto con el derecho de audiencia, se vuelve un requisito indispensable para admitir la demanda de amparo, el cual puede ser suplido por el tribunal en los casos en que se deduce de la relación de los hechos.</w:t>
      </w:r>
      <w:hyperlink r:id="rId58" w:anchor="nota" w:history="1">
        <w:r>
          <w:rPr>
            <w:rStyle w:val="Hipervnculo"/>
            <w:rFonts w:ascii="Verdana" w:hAnsi="Verdana"/>
            <w:sz w:val="20"/>
            <w:szCs w:val="20"/>
            <w:vertAlign w:val="superscript"/>
          </w:rPr>
          <w:t>54</w:t>
        </w:r>
      </w:hyperlink>
    </w:p>
    <w:p w:rsidR="00E91355" w:rsidRDefault="00E91355" w:rsidP="00E91355">
      <w:pPr>
        <w:pStyle w:val="NormalWeb"/>
      </w:pPr>
      <w:r>
        <w:rPr>
          <w:rFonts w:ascii="Verdana" w:hAnsi="Verdana"/>
          <w:sz w:val="20"/>
          <w:szCs w:val="20"/>
        </w:rPr>
        <w:t>Debido a la amplitud, por un lado, de la formulación constitucional del artículo 11, inciso 1o., concretamente en lo relativo a los derechos susceptibles de vincularse con el amparo —"ni de cualquier otro de sus derechos"—, y, por otro lado, de la interpretación de la expresión "derechos" que hizo la Sala de lo Constitucional, los derechos o categorías jurídicas materiales que en las demandas de amparo son susceptibles de ser vinculados con el derecho de audiencia son de todo tipo.</w:t>
      </w:r>
    </w:p>
    <w:p w:rsidR="00E91355" w:rsidRDefault="00E91355" w:rsidP="00E91355">
      <w:pPr>
        <w:pStyle w:val="NormalWeb"/>
      </w:pPr>
      <w:r>
        <w:rPr>
          <w:rFonts w:ascii="Verdana" w:hAnsi="Verdana"/>
          <w:sz w:val="20"/>
          <w:szCs w:val="20"/>
        </w:rPr>
        <w:t>Encontramos que en algunas ocasiones se alegan derechos que expresamente se encuentran reconocidos en la Constitución, como, por ejemplo, los de propiedad, posesión y estabilidad laboral, y, en otras, derechos o categorías que si bien tienen su razón última en la Constitución, su reconocimiento y regulación la encontramos en la legislación secundaria, como son los derechos a la mera tenencia, libertad empresarial, a investigar la paternidad y a la educación policial.</w:t>
      </w:r>
    </w:p>
    <w:p w:rsidR="00E91355" w:rsidRDefault="00E91355" w:rsidP="00E91355">
      <w:pPr>
        <w:pStyle w:val="NormalWeb"/>
      </w:pPr>
      <w:r>
        <w:rPr>
          <w:rFonts w:ascii="Verdana" w:hAnsi="Verdana"/>
          <w:sz w:val="20"/>
          <w:szCs w:val="20"/>
        </w:rPr>
        <w:t xml:space="preserve">Los derechos últimamente relacionados son casos en los que el objeto protegible no se encuentra expresamente reconocido en la Constitución, pero que en virtud de que han sido alegados como vulnerados, a consecuencia de la falta de audiencia, la Sala de lo </w:t>
      </w:r>
      <w:r>
        <w:rPr>
          <w:rFonts w:ascii="Verdana" w:hAnsi="Verdana"/>
          <w:sz w:val="20"/>
          <w:szCs w:val="20"/>
        </w:rPr>
        <w:lastRenderedPageBreak/>
        <w:t>Constitucional ha admitido las demandas y se ha pronunciado sobre el objeto del proceso.</w:t>
      </w:r>
      <w:hyperlink r:id="rId59" w:anchor="nota" w:history="1">
        <w:r>
          <w:rPr>
            <w:rStyle w:val="Hipervnculo"/>
            <w:rFonts w:ascii="Verdana" w:hAnsi="Verdana"/>
            <w:sz w:val="20"/>
            <w:szCs w:val="20"/>
            <w:vertAlign w:val="superscript"/>
          </w:rPr>
          <w:t>55</w:t>
        </w:r>
      </w:hyperlink>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i/>
          <w:iCs/>
          <w:sz w:val="20"/>
          <w:szCs w:val="20"/>
        </w:rPr>
        <w:t>d.</w:t>
      </w:r>
      <w:r>
        <w:rPr>
          <w:rFonts w:ascii="Verdana" w:hAnsi="Verdana"/>
          <w:sz w:val="20"/>
          <w:szCs w:val="20"/>
        </w:rPr>
        <w:t xml:space="preserve"> </w:t>
      </w:r>
      <w:r>
        <w:rPr>
          <w:rFonts w:ascii="Verdana" w:hAnsi="Verdana"/>
          <w:i/>
          <w:iCs/>
          <w:sz w:val="20"/>
          <w:szCs w:val="20"/>
        </w:rPr>
        <w:t>Derechos de configuración legal</w:t>
      </w:r>
    </w:p>
    <w:p w:rsidR="00E91355" w:rsidRDefault="00E91355" w:rsidP="00E91355">
      <w:pPr>
        <w:pStyle w:val="NormalWeb"/>
      </w:pPr>
      <w:r>
        <w:rPr>
          <w:rFonts w:ascii="Verdana" w:hAnsi="Verdana"/>
          <w:sz w:val="20"/>
          <w:szCs w:val="20"/>
        </w:rPr>
        <w:t>El ejercicio de algunos derechos protegibles por el amparo —derecho a la protección, por ejemplo— sólo puede ejercerse mediante los causes que el legislador establece. Se trata de derechos de configuración legal, que son producto "de la colaboración entre normas constitucionales e infraconstitucionales",</w:t>
      </w:r>
      <w:hyperlink r:id="rId60" w:anchor="nota" w:history="1">
        <w:r>
          <w:rPr>
            <w:rStyle w:val="Hipervnculo"/>
            <w:rFonts w:ascii="Verdana" w:hAnsi="Verdana"/>
            <w:sz w:val="20"/>
            <w:szCs w:val="20"/>
            <w:vertAlign w:val="superscript"/>
          </w:rPr>
          <w:t>56</w:t>
        </w:r>
      </w:hyperlink>
      <w:r>
        <w:rPr>
          <w:rFonts w:ascii="Verdana" w:hAnsi="Verdana"/>
          <w:sz w:val="20"/>
          <w:szCs w:val="20"/>
        </w:rPr>
        <w:t xml:space="preserve"> son derechos que llevan una doble vida, es decir, son creados por la Constitución, pero ordenados también por la ley.</w:t>
      </w:r>
      <w:hyperlink r:id="rId61" w:anchor="nota" w:history="1">
        <w:r>
          <w:rPr>
            <w:rStyle w:val="Hipervnculo"/>
            <w:rFonts w:ascii="Verdana" w:hAnsi="Verdana"/>
            <w:sz w:val="20"/>
            <w:szCs w:val="20"/>
            <w:vertAlign w:val="superscript"/>
          </w:rPr>
          <w:t>57</w:t>
        </w:r>
      </w:hyperlink>
    </w:p>
    <w:p w:rsidR="00E91355" w:rsidRDefault="00E91355" w:rsidP="00E91355">
      <w:pPr>
        <w:pStyle w:val="NormalWeb"/>
      </w:pPr>
      <w:r>
        <w:rPr>
          <w:rFonts w:ascii="Verdana" w:hAnsi="Verdana"/>
          <w:sz w:val="20"/>
          <w:szCs w:val="20"/>
        </w:rPr>
        <w:t>En estos supuestos, es al legislador al que le corresponde dotar de contenido al derecho, en virtud de que éste no ha quedado totalmente perfilado en sede constitucional; sin embargo, no podrá establecer más límites que aquellos que, respetando el contenido esencial del derecho, estén encaminados a preservar otros derechos, bienes o fines constitucionalmente consagrados, y que guardan la adecuada proporcionalidad con la finalidad perseguida.</w:t>
      </w:r>
      <w:hyperlink r:id="rId62" w:anchor="nota" w:history="1">
        <w:r>
          <w:rPr>
            <w:rStyle w:val="Hipervnculo"/>
            <w:rFonts w:ascii="Verdana" w:hAnsi="Verdana"/>
            <w:sz w:val="20"/>
            <w:szCs w:val="20"/>
            <w:vertAlign w:val="superscript"/>
          </w:rPr>
          <w:t>58</w:t>
        </w:r>
      </w:hyperlink>
    </w:p>
    <w:p w:rsidR="00E91355" w:rsidRDefault="00E91355" w:rsidP="00E91355">
      <w:pPr>
        <w:pStyle w:val="NormalWeb"/>
      </w:pPr>
      <w:r>
        <w:rPr>
          <w:rFonts w:ascii="Verdana" w:hAnsi="Verdana"/>
          <w:sz w:val="20"/>
          <w:szCs w:val="20"/>
        </w:rPr>
        <w:t>El derecho a los medios impugnativo o derecho a recurrir es un típico ejemplo de un derecho de configuración legal, ya que si bien la jurisprudencia constitucional lo considera como parte integrante del derecho a la protección jurisdiccional, su ejercicio está sujeto a las previsiones que el legislador establezca al respecto.</w:t>
      </w:r>
    </w:p>
    <w:p w:rsidR="00E91355" w:rsidRDefault="00E91355" w:rsidP="00E91355">
      <w:pPr>
        <w:pStyle w:val="NormalWeb"/>
      </w:pPr>
      <w:r>
        <w:rPr>
          <w:rFonts w:ascii="Verdana" w:hAnsi="Verdana"/>
          <w:sz w:val="20"/>
          <w:szCs w:val="20"/>
        </w:rPr>
        <w:t>En ese sentido, una vez establecido, en la leyes procesales, un sistema de recursos, el derecho a hacer uso de los mismos, a su utilización, forma parte del contenido del derecho a la protección, pues la</w:t>
      </w:r>
    </w:p>
    <w:p w:rsidR="00E91355" w:rsidRDefault="00E91355" w:rsidP="00E91355">
      <w:pPr>
        <w:pStyle w:val="NormalWeb"/>
      </w:pPr>
      <w:r>
        <w:rPr>
          <w:rFonts w:ascii="Verdana" w:hAnsi="Verdana"/>
          <w:sz w:val="20"/>
          <w:szCs w:val="20"/>
        </w:rPr>
        <w:t>[...] negativa de acceder al mismo sin justificativo constitucional, cuando legalmente procede, deviene en una vulneración de tal. Y es que al estar legalmente consagrada la posibilidad de un segundo examen de la cuestión —otro grado de conocimiento—, negar la misma sin basamento constitucional supondría no observar derechos de rango constitucional.</w:t>
      </w:r>
      <w:hyperlink r:id="rId63" w:anchor="nota" w:history="1">
        <w:r>
          <w:rPr>
            <w:rStyle w:val="Hipervnculo"/>
            <w:rFonts w:ascii="Verdana" w:hAnsi="Verdana"/>
            <w:sz w:val="20"/>
            <w:szCs w:val="20"/>
            <w:vertAlign w:val="superscript"/>
          </w:rPr>
          <w:t>59</w:t>
        </w:r>
      </w:hyperlink>
    </w:p>
    <w:p w:rsidR="00E91355" w:rsidRDefault="00E91355" w:rsidP="00E91355">
      <w:pPr>
        <w:pStyle w:val="NormalWeb"/>
      </w:pPr>
      <w:r>
        <w:rPr>
          <w:rFonts w:ascii="Verdana" w:hAnsi="Verdana"/>
          <w:sz w:val="20"/>
          <w:szCs w:val="20"/>
        </w:rPr>
        <w:t>Por tanto, no se trata de un derecho a que los procesos o procedimientos se configuren de forma tal que dentro de los mismos exista un determinado sistema de recursos, más de una instancia, ya "que si la ley configura el proceso como de única instancia, la inexistencia legal de recurrir, en modo alguno vulneraría preceptos constitucionales".</w:t>
      </w:r>
      <w:hyperlink r:id="rId64" w:anchor="nota" w:history="1">
        <w:r>
          <w:rPr>
            <w:rStyle w:val="Hipervnculo"/>
            <w:rFonts w:ascii="Verdana" w:hAnsi="Verdana"/>
            <w:sz w:val="20"/>
            <w:szCs w:val="20"/>
            <w:vertAlign w:val="superscript"/>
          </w:rPr>
          <w:t>60</w:t>
        </w:r>
      </w:hyperlink>
    </w:p>
    <w:p w:rsidR="00E91355" w:rsidRDefault="00E91355" w:rsidP="00E91355">
      <w:pPr>
        <w:pStyle w:val="NormalWeb"/>
      </w:pPr>
      <w:r>
        <w:rPr>
          <w:rFonts w:ascii="Verdana" w:hAnsi="Verdana"/>
          <w:sz w:val="20"/>
          <w:szCs w:val="20"/>
        </w:rPr>
        <w:t>La protección de derechos de configuración legal es otro de los causes mediante los cuales la jurisprudencia de la Sala de lo Constitucional ha ampliado el ámbito material de derechos tutelables por el amparo, ya que por medio de esta vía, tal como anteriormente se expuso, se protege el ejercicio de un recurso que no está previsto en la Constitución, pero que, sin embargo, la ley que lo prevé constituye concreción de un derecho protegible por el amparo: el derecho a la protección.</w:t>
      </w:r>
    </w:p>
    <w:p w:rsidR="00E91355" w:rsidRDefault="00E91355" w:rsidP="00E91355">
      <w:pPr>
        <w:pStyle w:val="NormalWeb"/>
      </w:pPr>
      <w:r>
        <w:rPr>
          <w:rFonts w:ascii="Verdana" w:hAnsi="Verdana"/>
          <w:sz w:val="20"/>
          <w:szCs w:val="20"/>
        </w:rPr>
        <w:t>Finalmente, es de mencionar que la jurisprudencia constitucional originariamente estimaba al derecho a hacer uso de los recursos legalmente establecidos como parte del contenido del derecho de audiencia, sin embargo, últimamente lo ha considerado integrado dentro del derecho a la protección.</w:t>
      </w:r>
      <w:r>
        <w:t xml:space="preserve"> </w:t>
      </w:r>
    </w:p>
    <w:p w:rsidR="00E91355" w:rsidRDefault="00E91355" w:rsidP="00E91355">
      <w:pPr>
        <w:pStyle w:val="NormalWeb"/>
      </w:pPr>
      <w:r>
        <w:rPr>
          <w:rFonts w:ascii="Verdana" w:hAnsi="Verdana"/>
          <w:sz w:val="20"/>
          <w:szCs w:val="20"/>
        </w:rPr>
        <w:lastRenderedPageBreak/>
        <w:t> </w:t>
      </w:r>
    </w:p>
    <w:p w:rsidR="00E91355" w:rsidRDefault="00E91355" w:rsidP="00E91355">
      <w:pPr>
        <w:pStyle w:val="NormalWeb"/>
      </w:pPr>
      <w:bookmarkStart w:id="0" w:name="nota"/>
      <w:bookmarkEnd w:id="0"/>
      <w:r>
        <w:rPr>
          <w:rFonts w:ascii="Verdana" w:hAnsi="Verdana"/>
          <w:b/>
          <w:bCs/>
          <w:sz w:val="20"/>
          <w:szCs w:val="20"/>
        </w:rPr>
        <w:t>Notas</w:t>
      </w:r>
    </w:p>
    <w:p w:rsidR="00E91355" w:rsidRDefault="00E91355" w:rsidP="00E91355">
      <w:pPr>
        <w:pStyle w:val="NormalWeb"/>
      </w:pPr>
      <w:r>
        <w:rPr>
          <w:rFonts w:ascii="Verdana" w:hAnsi="Verdana"/>
          <w:sz w:val="20"/>
          <w:szCs w:val="20"/>
          <w:vertAlign w:val="superscript"/>
        </w:rPr>
        <w:t>1</w:t>
      </w:r>
      <w:r>
        <w:rPr>
          <w:rFonts w:ascii="Verdana" w:hAnsi="Verdana"/>
          <w:sz w:val="20"/>
          <w:szCs w:val="20"/>
        </w:rPr>
        <w:t xml:space="preserve"> En idéntico sentido, el considerando III de la Ley de Procedimientos Constitucionales, el cual, en relación con la finalidad del amparo, señala que "la acción de amparo constitucional, la cual tiene más de setenta años de proteger los derechos individuales en El Salvador, precisa ser mejorada [...] y pueda dar una mayor protección a los derechos que la Constitución otorga a la persona".</w:t>
      </w:r>
    </w:p>
    <w:p w:rsidR="00E91355" w:rsidRDefault="00E91355" w:rsidP="00E91355">
      <w:pPr>
        <w:pStyle w:val="NormalWeb"/>
      </w:pPr>
      <w:r>
        <w:rPr>
          <w:rFonts w:ascii="Verdana" w:hAnsi="Verdana"/>
          <w:sz w:val="20"/>
          <w:szCs w:val="20"/>
          <w:vertAlign w:val="superscript"/>
        </w:rPr>
        <w:t>2</w:t>
      </w:r>
      <w:r>
        <w:rPr>
          <w:rFonts w:ascii="Verdana" w:hAnsi="Verdana"/>
          <w:sz w:val="20"/>
          <w:szCs w:val="20"/>
        </w:rPr>
        <w:t xml:space="preserve"> Para tal efecto, véanse los artículos 37, 57, 37, 222, y 221 de las Constituciones de 1886, 1939, 1945, 1950, y 1962, respectivamente, y el artículo 2o. en las Leyes de Amparo de 1886, 1939 y 1950.</w:t>
      </w:r>
    </w:p>
    <w:p w:rsidR="00E91355" w:rsidRDefault="00E91355" w:rsidP="00E91355">
      <w:pPr>
        <w:pStyle w:val="NormalWeb"/>
      </w:pPr>
      <w:r>
        <w:rPr>
          <w:rFonts w:ascii="Verdana" w:hAnsi="Verdana"/>
          <w:sz w:val="20"/>
          <w:szCs w:val="20"/>
          <w:vertAlign w:val="superscript"/>
        </w:rPr>
        <w:t>3</w:t>
      </w:r>
      <w:r>
        <w:rPr>
          <w:rFonts w:ascii="Verdana" w:hAnsi="Verdana"/>
          <w:sz w:val="20"/>
          <w:szCs w:val="20"/>
        </w:rPr>
        <w:t xml:space="preserve"> Encontramos muchos ejemplos en la jurisprudencia de amparo de todos los tiempos, para tal efecto véanse, entre otras, las de 1908, 1941, 1947, 1952 y 1974 en CRIOLLO, JOSÉ ERNESTO y GIAMMATTEI, JORGE ANTONIO. </w:t>
      </w:r>
      <w:r>
        <w:rPr>
          <w:rFonts w:ascii="Verdana" w:hAnsi="Verdana"/>
          <w:i/>
          <w:iCs/>
          <w:sz w:val="20"/>
          <w:szCs w:val="20"/>
        </w:rPr>
        <w:t>Justicia Constitucional</w:t>
      </w:r>
      <w:r>
        <w:rPr>
          <w:rFonts w:ascii="Verdana" w:hAnsi="Verdana"/>
          <w:sz w:val="20"/>
          <w:szCs w:val="20"/>
        </w:rPr>
        <w:t>, Publicaciones Especiales de la Corte Suprema de Justicia, San Salvador, No. 15, 1993, pp. 232, 344,         [ </w:t>
      </w:r>
      <w:hyperlink r:id="rId65" w:history="1">
        <w:r>
          <w:rPr>
            <w:rStyle w:val="Hipervnculo"/>
            <w:rFonts w:ascii="Verdana" w:hAnsi="Verdana"/>
            <w:sz w:val="20"/>
            <w:szCs w:val="20"/>
          </w:rPr>
          <w:t>Links</w:t>
        </w:r>
      </w:hyperlink>
      <w:r>
        <w:rPr>
          <w:rFonts w:ascii="Verdana" w:hAnsi="Verdana"/>
          <w:sz w:val="20"/>
          <w:szCs w:val="20"/>
        </w:rPr>
        <w:t> ] 370, 416 y 607, respectivamente.</w:t>
      </w:r>
    </w:p>
    <w:p w:rsidR="00E91355" w:rsidRDefault="00E91355" w:rsidP="00E91355">
      <w:pPr>
        <w:pStyle w:val="NormalWeb"/>
      </w:pPr>
      <w:r>
        <w:rPr>
          <w:rFonts w:ascii="Verdana" w:hAnsi="Verdana"/>
          <w:sz w:val="20"/>
          <w:szCs w:val="20"/>
          <w:vertAlign w:val="superscript"/>
        </w:rPr>
        <w:t>4</w:t>
      </w:r>
      <w:r>
        <w:rPr>
          <w:rFonts w:ascii="Verdana" w:hAnsi="Verdana"/>
          <w:sz w:val="20"/>
          <w:szCs w:val="20"/>
        </w:rPr>
        <w:t xml:space="preserve"> Inadmisibilidad pronunciada en el amparo 114–2001, el 18 de abril de 2001. En igual sentido, entre otras, la improcedencia emitida en el amparo 500–98, el 23 de noviembre de 1998; la dictada en el amparo 81–99, el 1o. de febrero de 1999, y la proferida en el amparo 107–2000, el 28 de febrero de 2000.</w:t>
      </w:r>
    </w:p>
    <w:p w:rsidR="00E91355" w:rsidRDefault="00E91355" w:rsidP="00E91355">
      <w:pPr>
        <w:pStyle w:val="NormalWeb"/>
      </w:pPr>
      <w:r>
        <w:rPr>
          <w:rFonts w:ascii="Verdana" w:hAnsi="Verdana"/>
          <w:sz w:val="20"/>
          <w:szCs w:val="20"/>
          <w:vertAlign w:val="superscript"/>
        </w:rPr>
        <w:t>5</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NÚÑEZ RIVERO, CAYETANO y MONTECINO, MANUEL. "El amparo en la República de El Salvador", en </w:t>
      </w:r>
      <w:r>
        <w:rPr>
          <w:rFonts w:ascii="Verdana" w:hAnsi="Verdana"/>
          <w:i/>
          <w:iCs/>
          <w:sz w:val="20"/>
          <w:szCs w:val="20"/>
        </w:rPr>
        <w:t>Teoría y Realidad Constitucional,</w:t>
      </w:r>
      <w:r>
        <w:rPr>
          <w:rFonts w:ascii="Verdana" w:hAnsi="Verdana"/>
          <w:sz w:val="20"/>
          <w:szCs w:val="20"/>
        </w:rPr>
        <w:t xml:space="preserve"> Universidad Nacional de Educación a Distancia–Editorial Centro de Estudios Ramón Areces, Madrid, No. 7, 2001, p. 239.         [ </w:t>
      </w:r>
      <w:hyperlink r:id="rId66" w:history="1">
        <w:r>
          <w:rPr>
            <w:rStyle w:val="Hipervnculo"/>
            <w:rFonts w:ascii="Verdana" w:hAnsi="Verdana"/>
            <w:sz w:val="20"/>
            <w:szCs w:val="20"/>
          </w:rPr>
          <w:t>Links</w:t>
        </w:r>
      </w:hyperlink>
      <w:r>
        <w:rPr>
          <w:rFonts w:ascii="Verdana" w:hAnsi="Verdana"/>
          <w:sz w:val="20"/>
          <w:szCs w:val="20"/>
        </w:rPr>
        <w:t xml:space="preserve"> ] En similar sentido, BUSTOS GISBERT, RAFAEL. "¿Está agotado el modelo de recurso de amparo en la Constitución Española?, en </w:t>
      </w:r>
      <w:r>
        <w:rPr>
          <w:rFonts w:ascii="Verdana" w:hAnsi="Verdana"/>
          <w:i/>
          <w:iCs/>
          <w:sz w:val="20"/>
          <w:szCs w:val="20"/>
        </w:rPr>
        <w:t>Teoría y Realidad Constitucional,</w:t>
      </w:r>
      <w:r>
        <w:rPr>
          <w:rFonts w:ascii="Verdana" w:hAnsi="Verdana"/>
          <w:sz w:val="20"/>
          <w:szCs w:val="20"/>
        </w:rPr>
        <w:t xml:space="preserve"> Universidad Nacional de Educación a Distancia–Editorial Centro de Estudios Ramón Areces, Madrid, No. 7, 2001, p. 275;         [ </w:t>
      </w:r>
      <w:hyperlink r:id="rId67" w:history="1">
        <w:r>
          <w:rPr>
            <w:rStyle w:val="Hipervnculo"/>
            <w:rFonts w:ascii="Verdana" w:hAnsi="Verdana"/>
            <w:sz w:val="20"/>
            <w:szCs w:val="20"/>
          </w:rPr>
          <w:t>Links</w:t>
        </w:r>
      </w:hyperlink>
      <w:r>
        <w:rPr>
          <w:rFonts w:ascii="Verdana" w:hAnsi="Verdana"/>
          <w:sz w:val="20"/>
          <w:szCs w:val="20"/>
        </w:rPr>
        <w:t xml:space="preserve"> ] ESTEBAN, JORGE DE y GONZÁLEZ–TREVIJANO, PEDRO JOSÉ. </w:t>
      </w:r>
      <w:r>
        <w:rPr>
          <w:rFonts w:ascii="Verdana" w:hAnsi="Verdana"/>
          <w:i/>
          <w:iCs/>
          <w:sz w:val="20"/>
          <w:szCs w:val="20"/>
        </w:rPr>
        <w:t>Curso de derecho constitucional español</w:t>
      </w:r>
      <w:r>
        <w:rPr>
          <w:rFonts w:ascii="Verdana" w:hAnsi="Verdana"/>
          <w:sz w:val="20"/>
          <w:szCs w:val="20"/>
        </w:rPr>
        <w:t xml:space="preserve"> </w:t>
      </w:r>
      <w:r>
        <w:rPr>
          <w:rFonts w:ascii="Verdana" w:hAnsi="Verdana"/>
          <w:i/>
          <w:iCs/>
          <w:sz w:val="20"/>
          <w:szCs w:val="20"/>
        </w:rPr>
        <w:t>II</w:t>
      </w:r>
      <w:r>
        <w:rPr>
          <w:rFonts w:ascii="Verdana" w:hAnsi="Verdana"/>
          <w:sz w:val="20"/>
          <w:szCs w:val="20"/>
        </w:rPr>
        <w:t>, Servicio de Publicaciones Facultad de Derecho–Universidad Complutense de Madrid, Madrid, 1992, p. 385;         [ </w:t>
      </w:r>
      <w:hyperlink r:id="rId68" w:history="1">
        <w:r>
          <w:rPr>
            <w:rStyle w:val="Hipervnculo"/>
            <w:rFonts w:ascii="Verdana" w:hAnsi="Verdana"/>
            <w:sz w:val="20"/>
            <w:szCs w:val="20"/>
          </w:rPr>
          <w:t>Links</w:t>
        </w:r>
      </w:hyperlink>
      <w:r>
        <w:rPr>
          <w:rFonts w:ascii="Verdana" w:hAnsi="Verdana"/>
          <w:sz w:val="20"/>
          <w:szCs w:val="20"/>
        </w:rPr>
        <w:t xml:space="preserve"> ] CANO MATA, ANTONIO. </w:t>
      </w:r>
      <w:r>
        <w:rPr>
          <w:rFonts w:ascii="Verdana" w:hAnsi="Verdana"/>
          <w:i/>
          <w:iCs/>
          <w:sz w:val="20"/>
          <w:szCs w:val="20"/>
        </w:rPr>
        <w:t>Comentarios a la Ley Orgánica del Tribunal Constitucional</w:t>
      </w:r>
      <w:r>
        <w:rPr>
          <w:rFonts w:ascii="Verdana" w:hAnsi="Verdana"/>
          <w:sz w:val="20"/>
          <w:szCs w:val="20"/>
        </w:rPr>
        <w:t>, Editorial Revista de Derecho Privado–Editoriales de Derecho Reunidas, Madrid, 1986, p. 228;         [ </w:t>
      </w:r>
      <w:hyperlink r:id="rId69" w:history="1">
        <w:r>
          <w:rPr>
            <w:rStyle w:val="Hipervnculo"/>
            <w:rFonts w:ascii="Verdana" w:hAnsi="Verdana"/>
            <w:sz w:val="20"/>
            <w:szCs w:val="20"/>
          </w:rPr>
          <w:t>Links</w:t>
        </w:r>
      </w:hyperlink>
      <w:r>
        <w:rPr>
          <w:rFonts w:ascii="Verdana" w:hAnsi="Verdana"/>
          <w:sz w:val="20"/>
          <w:szCs w:val="20"/>
        </w:rPr>
        <w:t xml:space="preserve"> ] ALONSO MAS, MARÍA JOSÉ. "La extensión subjetiva de las sentencias estimatorias del recurso de amparo", en </w:t>
      </w:r>
      <w:r>
        <w:rPr>
          <w:rFonts w:ascii="Verdana" w:hAnsi="Verdana"/>
          <w:i/>
          <w:iCs/>
          <w:sz w:val="20"/>
          <w:szCs w:val="20"/>
        </w:rPr>
        <w:t>Cuadernos de Derecho Público</w:t>
      </w:r>
      <w:r>
        <w:rPr>
          <w:rFonts w:ascii="Verdana" w:hAnsi="Verdana"/>
          <w:sz w:val="20"/>
          <w:szCs w:val="20"/>
        </w:rPr>
        <w:t>, Instituto Nacional de Administración Pública–Ministerio de Administraciones Públicas, Madrid, No. 6, 1999, p. 89,         [ </w:t>
      </w:r>
      <w:hyperlink r:id="rId70" w:history="1">
        <w:r>
          <w:rPr>
            <w:rStyle w:val="Hipervnculo"/>
            <w:rFonts w:ascii="Verdana" w:hAnsi="Verdana"/>
            <w:sz w:val="20"/>
            <w:szCs w:val="20"/>
          </w:rPr>
          <w:t>Links</w:t>
        </w:r>
      </w:hyperlink>
      <w:r>
        <w:rPr>
          <w:rFonts w:ascii="Verdana" w:hAnsi="Verdana"/>
          <w:sz w:val="20"/>
          <w:szCs w:val="20"/>
        </w:rPr>
        <w:t xml:space="preserve"> ] y ALBERTÍ ROVIRA, ENOCH. "El recurso de amparo a revisión", en VARIOS AUTORES, </w:t>
      </w:r>
      <w:r>
        <w:rPr>
          <w:rFonts w:ascii="Verdana" w:hAnsi="Verdana"/>
          <w:i/>
          <w:iCs/>
          <w:sz w:val="20"/>
          <w:szCs w:val="20"/>
        </w:rPr>
        <w:t>La democracia constitucional. Estudios en homenaje al profesor Francisco Rubio Llorente</w:t>
      </w:r>
      <w:r>
        <w:rPr>
          <w:rFonts w:ascii="Verdana" w:hAnsi="Verdana"/>
          <w:sz w:val="20"/>
          <w:szCs w:val="20"/>
        </w:rPr>
        <w:t>, Congreso de los Diputados–Tribunal Constitucional–Universidad Complutense de Madrid–Fundación Ortega y Gasset–Centro de Estudios Políticos y Constitucionales, Madrid, 2002, vol. II, pp. 1811–1813.         [ </w:t>
      </w:r>
      <w:hyperlink r:id="rId71" w:history="1">
        <w:r>
          <w:rPr>
            <w:rStyle w:val="Hipervnculo"/>
            <w:rFonts w:ascii="Verdana" w:hAnsi="Verdana"/>
            <w:sz w:val="20"/>
            <w:szCs w:val="20"/>
          </w:rPr>
          <w:t>Links</w:t>
        </w:r>
      </w:hyperlink>
      <w:r>
        <w:rPr>
          <w:rFonts w:ascii="Verdana" w:hAnsi="Verdana"/>
          <w:sz w:val="20"/>
          <w:szCs w:val="20"/>
        </w:rPr>
        <w:t xml:space="preserve"> ] </w:t>
      </w:r>
    </w:p>
    <w:p w:rsidR="00E91355" w:rsidRDefault="00E91355" w:rsidP="00E91355">
      <w:pPr>
        <w:pStyle w:val="NormalWeb"/>
      </w:pPr>
      <w:r>
        <w:rPr>
          <w:rFonts w:ascii="Verdana" w:hAnsi="Verdana"/>
          <w:sz w:val="20"/>
          <w:szCs w:val="20"/>
          <w:vertAlign w:val="superscript"/>
        </w:rPr>
        <w:t>6</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DÍEZ–PICAZO, LUIS MARÍA. "Dificultades prácticas y significado constitucional del recurso de amparo", en </w:t>
      </w:r>
      <w:r>
        <w:rPr>
          <w:rFonts w:ascii="Verdana" w:hAnsi="Verdana"/>
          <w:i/>
          <w:iCs/>
          <w:sz w:val="20"/>
          <w:szCs w:val="20"/>
        </w:rPr>
        <w:t>Revista Española de Derecho Constitucional</w:t>
      </w:r>
      <w:r>
        <w:rPr>
          <w:rFonts w:ascii="Verdana" w:hAnsi="Verdana"/>
          <w:sz w:val="20"/>
          <w:szCs w:val="20"/>
        </w:rPr>
        <w:t>, Centro de Estudios Constitucionales, Madrid, No. 40, 1994, p. 30.         [ </w:t>
      </w:r>
      <w:hyperlink r:id="rId72" w:history="1">
        <w:r>
          <w:rPr>
            <w:rStyle w:val="Hipervnculo"/>
            <w:rFonts w:ascii="Verdana" w:hAnsi="Verdana"/>
            <w:sz w:val="20"/>
            <w:szCs w:val="20"/>
          </w:rPr>
          <w:t>Links</w:t>
        </w:r>
      </w:hyperlink>
      <w:r>
        <w:rPr>
          <w:rFonts w:ascii="Verdana" w:hAnsi="Verdana"/>
          <w:sz w:val="20"/>
          <w:szCs w:val="20"/>
        </w:rPr>
        <w:t xml:space="preserve"> ] En similar sentido, PÉREZ TREMPS, PABLO. "Tribunal Constitucional, juez ordinario y una deuda pendiente del legislador", en VARIOS AUTORES, </w:t>
      </w:r>
      <w:r>
        <w:rPr>
          <w:rFonts w:ascii="Verdana" w:hAnsi="Verdana"/>
          <w:i/>
          <w:iCs/>
          <w:sz w:val="20"/>
          <w:szCs w:val="20"/>
        </w:rPr>
        <w:t>La democracia constitucional. Estudios en homenaje al profesor Francisco Rubio Llorente</w:t>
      </w:r>
      <w:r>
        <w:rPr>
          <w:rFonts w:ascii="Verdana" w:hAnsi="Verdana"/>
          <w:sz w:val="20"/>
          <w:szCs w:val="20"/>
        </w:rPr>
        <w:t xml:space="preserve">, Congreso de los Diputados–Tribunal </w:t>
      </w:r>
      <w:r>
        <w:rPr>
          <w:rFonts w:ascii="Verdana" w:hAnsi="Verdana"/>
          <w:sz w:val="20"/>
          <w:szCs w:val="20"/>
        </w:rPr>
        <w:lastRenderedPageBreak/>
        <w:t>Constitucional–Universidad Complutense de Madrid–Fundación Ortega y Gasset–Centro de Estudios Políticos y Constitucionales, Madrid, 2002, vol. II, p. 1654,         [ </w:t>
      </w:r>
      <w:hyperlink r:id="rId73" w:history="1">
        <w:r>
          <w:rPr>
            <w:rStyle w:val="Hipervnculo"/>
            <w:rFonts w:ascii="Verdana" w:hAnsi="Verdana"/>
            <w:sz w:val="20"/>
            <w:szCs w:val="20"/>
          </w:rPr>
          <w:t>Links</w:t>
        </w:r>
      </w:hyperlink>
      <w:r>
        <w:rPr>
          <w:rFonts w:ascii="Verdana" w:hAnsi="Verdana"/>
          <w:sz w:val="20"/>
          <w:szCs w:val="20"/>
        </w:rPr>
        <w:t xml:space="preserve"> ] y GÓMEZ AMIGO, LUIS. </w:t>
      </w:r>
      <w:r>
        <w:rPr>
          <w:rFonts w:ascii="Verdana" w:hAnsi="Verdana"/>
          <w:i/>
          <w:iCs/>
          <w:sz w:val="20"/>
          <w:szCs w:val="20"/>
        </w:rPr>
        <w:t>La sentencia estimatoria del recurso de amparo</w:t>
      </w:r>
      <w:r>
        <w:rPr>
          <w:rFonts w:ascii="Verdana" w:hAnsi="Verdana"/>
          <w:sz w:val="20"/>
          <w:szCs w:val="20"/>
        </w:rPr>
        <w:t>, Aranzadi, Pamplona, 1998, pp. 63 y 64.         [ </w:t>
      </w:r>
      <w:hyperlink r:id="rId74"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7</w:t>
      </w:r>
      <w:r>
        <w:rPr>
          <w:rFonts w:ascii="Verdana" w:hAnsi="Verdana"/>
          <w:sz w:val="20"/>
          <w:szCs w:val="20"/>
        </w:rPr>
        <w:t xml:space="preserve"> Improcedencia pronunciada en el amparo 858–99, el 1o. de diciembre de 1999. En igual sentido, entre otras, la improcedencia proveída en el amparo 321–99, el 18 de octubre de 2000.</w:t>
      </w:r>
    </w:p>
    <w:p w:rsidR="00E91355" w:rsidRDefault="00E91355" w:rsidP="00E91355">
      <w:pPr>
        <w:pStyle w:val="NormalWeb"/>
      </w:pPr>
      <w:r>
        <w:rPr>
          <w:rFonts w:ascii="Verdana" w:hAnsi="Verdana"/>
          <w:sz w:val="20"/>
          <w:szCs w:val="20"/>
          <w:vertAlign w:val="superscript"/>
        </w:rPr>
        <w:t>8</w:t>
      </w:r>
      <w:r>
        <w:rPr>
          <w:rFonts w:ascii="Verdana" w:hAnsi="Verdana"/>
          <w:sz w:val="20"/>
          <w:szCs w:val="20"/>
        </w:rPr>
        <w:t xml:space="preserve"> Improcedencia pronunciada en el amparo 560–2000, el 20 de noviembre de 2000. En igual sentido, entre otras, la improcedencia proveída en el amparo 819–99, el 14 de febrero de 2000. En semejante dirección, PÉREZ TREMPS, PABLO. "Comentario al artículo 41 de la Ley Orgánica del Tribunal Constitucional", en </w:t>
      </w:r>
      <w:r>
        <w:rPr>
          <w:rFonts w:ascii="Verdana" w:hAnsi="Verdana"/>
          <w:i/>
          <w:iCs/>
          <w:sz w:val="20"/>
          <w:szCs w:val="20"/>
        </w:rPr>
        <w:t>Comentarios a la Ley Orgánica del Tribunal Constitucional</w:t>
      </w:r>
      <w:r>
        <w:rPr>
          <w:rFonts w:ascii="Verdana" w:hAnsi="Verdana"/>
          <w:sz w:val="20"/>
          <w:szCs w:val="20"/>
        </w:rPr>
        <w:t>, Tribunal Constitucional–Boletín Oficial del Estado, Madrid, 2001, pp. 652 y 653.         [ </w:t>
      </w:r>
      <w:hyperlink r:id="rId75"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9</w:t>
      </w:r>
      <w:r>
        <w:rPr>
          <w:rFonts w:ascii="Verdana" w:hAnsi="Verdana"/>
          <w:sz w:val="20"/>
          <w:szCs w:val="20"/>
        </w:rPr>
        <w:t xml:space="preserve"> Improcedencia pronunciada en el amparo 706–99, el 29 de octubre de 1999. En igual sentido, entre otras, la improcedencia proveída en el amparo 253–2000, el 26 de junio de 2000.</w:t>
      </w:r>
    </w:p>
    <w:p w:rsidR="00E91355" w:rsidRDefault="00E91355" w:rsidP="00E91355">
      <w:pPr>
        <w:pStyle w:val="NormalWeb"/>
      </w:pPr>
      <w:r>
        <w:rPr>
          <w:rFonts w:ascii="Verdana" w:hAnsi="Verdana"/>
          <w:sz w:val="20"/>
          <w:szCs w:val="20"/>
          <w:vertAlign w:val="superscript"/>
        </w:rPr>
        <w:t>10</w:t>
      </w:r>
      <w:r>
        <w:rPr>
          <w:rFonts w:ascii="Verdana" w:hAnsi="Verdana"/>
          <w:sz w:val="20"/>
          <w:szCs w:val="20"/>
        </w:rPr>
        <w:t xml:space="preserve"> Improcedencia pronunciada en el amparo 108–2001, el 19 de abril de 2001. En igual sentido, entre otras, la improcedencia proveída en el amparo 433–2000, el 9 de octubre de 2000.</w:t>
      </w:r>
    </w:p>
    <w:p w:rsidR="00E91355" w:rsidRDefault="00E91355" w:rsidP="00E91355">
      <w:pPr>
        <w:pStyle w:val="NormalWeb"/>
      </w:pPr>
      <w:r>
        <w:rPr>
          <w:rFonts w:ascii="Verdana" w:hAnsi="Verdana"/>
          <w:sz w:val="20"/>
          <w:szCs w:val="20"/>
          <w:vertAlign w:val="superscript"/>
        </w:rPr>
        <w:t>11</w:t>
      </w:r>
      <w:r>
        <w:rPr>
          <w:rFonts w:ascii="Verdana" w:hAnsi="Verdana"/>
          <w:sz w:val="20"/>
          <w:szCs w:val="20"/>
        </w:rPr>
        <w:t xml:space="preserve"> CRUZ VILLALÓN, PEDRO. "Sobre el amparo", en </w:t>
      </w:r>
      <w:r>
        <w:rPr>
          <w:rFonts w:ascii="Verdana" w:hAnsi="Verdana"/>
          <w:i/>
          <w:iCs/>
          <w:sz w:val="20"/>
          <w:szCs w:val="20"/>
        </w:rPr>
        <w:t>Revista Española de Derecho Constitucional</w:t>
      </w:r>
      <w:r>
        <w:rPr>
          <w:rFonts w:ascii="Verdana" w:hAnsi="Verdana"/>
          <w:sz w:val="20"/>
          <w:szCs w:val="20"/>
        </w:rPr>
        <w:t>, Centro de Estudios Constitucionales, Madrid, No. 41, 1994, p.14.         [ </w:t>
      </w:r>
      <w:hyperlink r:id="rId76"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12</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CAAMAÑO DOMÍNGUEZ, FRANCISCO. "El recurso de amparo y la reforma peyorativa de derechos fundamentales: el denominado &lt;&lt;contra amparo&gt;&gt;", en </w:t>
      </w:r>
      <w:r>
        <w:rPr>
          <w:rFonts w:ascii="Verdana" w:hAnsi="Verdana"/>
          <w:i/>
          <w:iCs/>
          <w:sz w:val="20"/>
          <w:szCs w:val="20"/>
        </w:rPr>
        <w:t>Revista Española de Derecho Constitucional</w:t>
      </w:r>
      <w:r>
        <w:rPr>
          <w:rFonts w:ascii="Verdana" w:hAnsi="Verdana"/>
          <w:sz w:val="20"/>
          <w:szCs w:val="20"/>
        </w:rPr>
        <w:t>, Centro de Estudios Constitucionales, Madrid, No. 47, 1996, pp. 130 y 131.         [ </w:t>
      </w:r>
      <w:hyperlink r:id="rId77" w:history="1">
        <w:r>
          <w:rPr>
            <w:rStyle w:val="Hipervnculo"/>
            <w:rFonts w:ascii="Verdana" w:hAnsi="Verdana"/>
            <w:sz w:val="20"/>
            <w:szCs w:val="20"/>
          </w:rPr>
          <w:t>Links</w:t>
        </w:r>
      </w:hyperlink>
      <w:r>
        <w:rPr>
          <w:rFonts w:ascii="Verdana" w:hAnsi="Verdana"/>
          <w:sz w:val="20"/>
          <w:szCs w:val="20"/>
        </w:rPr>
        <w:t xml:space="preserve"> ] Sobre la prohibición del contra–amparo o exceso de amparo, véase, también, DÍEZ–PICAZO GIMÉNEZ, IGNACIO. "Reflexiones sobre el contenido y efectos de las sentencias dictadas por el Tribunal Constitucional en el recurso de amparo", en </w:t>
      </w:r>
      <w:r>
        <w:rPr>
          <w:rFonts w:ascii="Verdana" w:hAnsi="Verdana"/>
          <w:i/>
          <w:iCs/>
          <w:sz w:val="20"/>
          <w:szCs w:val="20"/>
        </w:rPr>
        <w:t>Cuadernos y Debates 63, La sentencia de amparo constitucional (Actas de</w:t>
      </w:r>
      <w:r>
        <w:rPr>
          <w:rFonts w:ascii="Verdana" w:hAnsi="Verdana"/>
          <w:sz w:val="20"/>
          <w:szCs w:val="20"/>
        </w:rPr>
        <w:t xml:space="preserve"> </w:t>
      </w:r>
      <w:r>
        <w:rPr>
          <w:rFonts w:ascii="Verdana" w:hAnsi="Verdana"/>
          <w:i/>
          <w:iCs/>
          <w:sz w:val="20"/>
          <w:szCs w:val="20"/>
        </w:rPr>
        <w:t>las</w:t>
      </w:r>
      <w:r>
        <w:rPr>
          <w:rFonts w:ascii="Verdana" w:hAnsi="Verdana"/>
          <w:sz w:val="20"/>
          <w:szCs w:val="20"/>
        </w:rPr>
        <w:t xml:space="preserve"> </w:t>
      </w:r>
      <w:r>
        <w:rPr>
          <w:rFonts w:ascii="Verdana" w:hAnsi="Verdana"/>
          <w:i/>
          <w:iCs/>
          <w:sz w:val="20"/>
          <w:szCs w:val="20"/>
        </w:rPr>
        <w:t>I</w:t>
      </w:r>
      <w:r>
        <w:rPr>
          <w:rFonts w:ascii="Verdana" w:hAnsi="Verdana"/>
          <w:sz w:val="20"/>
          <w:szCs w:val="20"/>
        </w:rPr>
        <w:t xml:space="preserve"> </w:t>
      </w:r>
      <w:r>
        <w:rPr>
          <w:rFonts w:ascii="Verdana" w:hAnsi="Verdana"/>
          <w:i/>
          <w:iCs/>
          <w:sz w:val="20"/>
          <w:szCs w:val="20"/>
        </w:rPr>
        <w:t>Jornadas de la Asociación de Letrados del Tribunal Constitucional)</w:t>
      </w:r>
      <w:r>
        <w:rPr>
          <w:rFonts w:ascii="Verdana" w:hAnsi="Verdana"/>
          <w:sz w:val="20"/>
          <w:szCs w:val="20"/>
        </w:rPr>
        <w:t>, Centro de Estudios Constitucionales, Madrid, 1996, p. 20;         [ </w:t>
      </w:r>
      <w:hyperlink r:id="rId78" w:history="1">
        <w:r>
          <w:rPr>
            <w:rStyle w:val="Hipervnculo"/>
            <w:rFonts w:ascii="Verdana" w:hAnsi="Verdana"/>
            <w:sz w:val="20"/>
            <w:szCs w:val="20"/>
          </w:rPr>
          <w:t>Links</w:t>
        </w:r>
      </w:hyperlink>
      <w:r>
        <w:rPr>
          <w:rFonts w:ascii="Verdana" w:hAnsi="Verdana"/>
          <w:sz w:val="20"/>
          <w:szCs w:val="20"/>
        </w:rPr>
        <w:t xml:space="preserve"> ] PÉREZ TREMPS, PABLO. "La Constitución como motivo de casación y la inexistencia de casación por infracción de la Constitución", en </w:t>
      </w:r>
      <w:r>
        <w:rPr>
          <w:rFonts w:ascii="Verdana" w:hAnsi="Verdana"/>
          <w:i/>
          <w:iCs/>
          <w:sz w:val="20"/>
          <w:szCs w:val="20"/>
        </w:rPr>
        <w:t>Cuadernos de Derecho Público</w:t>
      </w:r>
      <w:r>
        <w:rPr>
          <w:rFonts w:ascii="Verdana" w:hAnsi="Verdana"/>
          <w:sz w:val="20"/>
          <w:szCs w:val="20"/>
        </w:rPr>
        <w:t>, Instituto Nacional de Administración Pública–Ministerio de Administraciones Públicas, Madrid, No. 7, 1999, p. 149,         [ </w:t>
      </w:r>
      <w:hyperlink r:id="rId79" w:history="1">
        <w:r>
          <w:rPr>
            <w:rStyle w:val="Hipervnculo"/>
            <w:rFonts w:ascii="Verdana" w:hAnsi="Verdana"/>
            <w:sz w:val="20"/>
            <w:szCs w:val="20"/>
          </w:rPr>
          <w:t>Links</w:t>
        </w:r>
      </w:hyperlink>
      <w:r>
        <w:rPr>
          <w:rFonts w:ascii="Verdana" w:hAnsi="Verdana"/>
          <w:sz w:val="20"/>
          <w:szCs w:val="20"/>
        </w:rPr>
        <w:t xml:space="preserve"> ] y PÉREZ TREMPS, PABLO. "Comentario al artículo 41 de la Ley...", </w:t>
      </w:r>
      <w:r>
        <w:rPr>
          <w:rFonts w:ascii="Verdana" w:hAnsi="Verdana"/>
          <w:i/>
          <w:iCs/>
          <w:sz w:val="20"/>
          <w:szCs w:val="20"/>
        </w:rPr>
        <w:t>cit</w:t>
      </w:r>
      <w:r>
        <w:rPr>
          <w:rFonts w:ascii="Verdana" w:hAnsi="Verdana"/>
          <w:sz w:val="20"/>
          <w:szCs w:val="20"/>
        </w:rPr>
        <w:t>., pp. 653 y 654.</w:t>
      </w:r>
    </w:p>
    <w:p w:rsidR="00E91355" w:rsidRDefault="00E91355" w:rsidP="00E91355">
      <w:pPr>
        <w:pStyle w:val="NormalWeb"/>
      </w:pPr>
      <w:r>
        <w:rPr>
          <w:rFonts w:ascii="Verdana" w:hAnsi="Verdana"/>
          <w:sz w:val="20"/>
          <w:szCs w:val="20"/>
          <w:vertAlign w:val="superscript"/>
        </w:rPr>
        <w:t>13</w:t>
      </w:r>
      <w:r>
        <w:rPr>
          <w:rFonts w:ascii="Verdana" w:hAnsi="Verdana"/>
          <w:sz w:val="20"/>
          <w:szCs w:val="20"/>
        </w:rPr>
        <w:t xml:space="preserve"> CAAMAÑO DOMÍNGUEZ, FRANCISCO. "El recurso de amparo...", </w:t>
      </w:r>
      <w:r>
        <w:rPr>
          <w:rFonts w:ascii="Verdana" w:hAnsi="Verdana"/>
          <w:i/>
          <w:iCs/>
          <w:sz w:val="20"/>
          <w:szCs w:val="20"/>
        </w:rPr>
        <w:t>cit</w:t>
      </w:r>
      <w:r>
        <w:rPr>
          <w:rFonts w:ascii="Verdana" w:hAnsi="Verdana"/>
          <w:sz w:val="20"/>
          <w:szCs w:val="20"/>
        </w:rPr>
        <w:t>., p. 147.</w:t>
      </w:r>
    </w:p>
    <w:p w:rsidR="00E91355" w:rsidRDefault="00E91355" w:rsidP="00E91355">
      <w:pPr>
        <w:pStyle w:val="NormalWeb"/>
      </w:pPr>
      <w:r>
        <w:rPr>
          <w:rFonts w:ascii="Verdana" w:hAnsi="Verdana"/>
          <w:sz w:val="20"/>
          <w:szCs w:val="20"/>
          <w:vertAlign w:val="superscript"/>
        </w:rPr>
        <w:t>14</w:t>
      </w:r>
      <w:r>
        <w:rPr>
          <w:rFonts w:ascii="Verdana" w:hAnsi="Verdana"/>
          <w:sz w:val="20"/>
          <w:szCs w:val="20"/>
        </w:rPr>
        <w:t xml:space="preserve"> </w:t>
      </w:r>
      <w:r>
        <w:rPr>
          <w:rFonts w:ascii="Verdana" w:hAnsi="Verdana"/>
          <w:i/>
          <w:iCs/>
          <w:sz w:val="20"/>
          <w:szCs w:val="20"/>
        </w:rPr>
        <w:t>Ibidem</w:t>
      </w:r>
      <w:r>
        <w:rPr>
          <w:rFonts w:ascii="Verdana" w:hAnsi="Verdana"/>
          <w:sz w:val="20"/>
          <w:szCs w:val="20"/>
        </w:rPr>
        <w:t xml:space="preserve">, p. 146. En similar sentido, PÉREZ TREMPS, PABLO. "Recurso de amparo", en AGUIAR DE LUQUE, LUIS y PÉREZ TREMPS, PABLO. </w:t>
      </w:r>
      <w:r>
        <w:rPr>
          <w:rFonts w:ascii="Verdana" w:hAnsi="Verdana"/>
          <w:i/>
          <w:iCs/>
          <w:sz w:val="20"/>
          <w:szCs w:val="20"/>
        </w:rPr>
        <w:t>Veinte años de jurisdicción constitucional en España</w:t>
      </w:r>
      <w:r>
        <w:rPr>
          <w:rFonts w:ascii="Verdana" w:hAnsi="Verdana"/>
          <w:sz w:val="20"/>
          <w:szCs w:val="20"/>
        </w:rPr>
        <w:t>, Tirant lo Blanch, Valencia, 2002, p. 59.         [ </w:t>
      </w:r>
      <w:hyperlink r:id="rId80"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15</w:t>
      </w:r>
      <w:r>
        <w:rPr>
          <w:rFonts w:ascii="Verdana" w:hAnsi="Verdana"/>
          <w:sz w:val="20"/>
          <w:szCs w:val="20"/>
        </w:rPr>
        <w:t xml:space="preserve"> CARRASCO DURÁN, MANUEL. </w:t>
      </w:r>
      <w:r>
        <w:rPr>
          <w:rFonts w:ascii="Verdana" w:hAnsi="Verdana"/>
          <w:i/>
          <w:iCs/>
          <w:sz w:val="20"/>
          <w:szCs w:val="20"/>
        </w:rPr>
        <w:t>"</w:t>
      </w:r>
      <w:r>
        <w:rPr>
          <w:rFonts w:ascii="Verdana" w:hAnsi="Verdana"/>
          <w:sz w:val="20"/>
          <w:szCs w:val="20"/>
        </w:rPr>
        <w:t xml:space="preserve">El concepto constitucional de recurso de amparo: examen de posibilidades para una reforma de la regulación y práctica del recurso de amparo", en </w:t>
      </w:r>
      <w:r>
        <w:rPr>
          <w:rFonts w:ascii="Verdana" w:hAnsi="Verdana"/>
          <w:i/>
          <w:iCs/>
          <w:sz w:val="20"/>
          <w:szCs w:val="20"/>
        </w:rPr>
        <w:t>Revista Española de Derecho Constitucional</w:t>
      </w:r>
      <w:r>
        <w:rPr>
          <w:rFonts w:ascii="Verdana" w:hAnsi="Verdana"/>
          <w:sz w:val="20"/>
          <w:szCs w:val="20"/>
        </w:rPr>
        <w:t xml:space="preserve">, Centro de Estudios Políticos y </w:t>
      </w:r>
      <w:r>
        <w:rPr>
          <w:rFonts w:ascii="Verdana" w:hAnsi="Verdana"/>
          <w:sz w:val="20"/>
          <w:szCs w:val="20"/>
        </w:rPr>
        <w:lastRenderedPageBreak/>
        <w:t>Constitucionales, Madrid, No. 63, 2001, p. 95.         [ </w:t>
      </w:r>
      <w:hyperlink r:id="rId81" w:history="1">
        <w:r>
          <w:rPr>
            <w:rStyle w:val="Hipervnculo"/>
            <w:rFonts w:ascii="Verdana" w:hAnsi="Verdana"/>
            <w:sz w:val="20"/>
            <w:szCs w:val="20"/>
          </w:rPr>
          <w:t>Links</w:t>
        </w:r>
      </w:hyperlink>
      <w:r>
        <w:rPr>
          <w:rFonts w:ascii="Verdana" w:hAnsi="Verdana"/>
          <w:sz w:val="20"/>
          <w:szCs w:val="20"/>
        </w:rPr>
        <w:t xml:space="preserve"> ] En similar sentido, GARCÍA PELAYO, MANUEL. "El status del Tribunal Constitucional", en </w:t>
      </w:r>
      <w:r>
        <w:rPr>
          <w:rFonts w:ascii="Verdana" w:hAnsi="Verdana"/>
          <w:i/>
          <w:iCs/>
          <w:sz w:val="20"/>
          <w:szCs w:val="20"/>
        </w:rPr>
        <w:t>Revista Española de Derecho Constitucional</w:t>
      </w:r>
      <w:r>
        <w:rPr>
          <w:rFonts w:ascii="Verdana" w:hAnsi="Verdana"/>
          <w:sz w:val="20"/>
          <w:szCs w:val="20"/>
        </w:rPr>
        <w:t>, Centro de Estudios Constitucionales, Madrid, No. 1, p. 33, nota 39;         [ </w:t>
      </w:r>
      <w:hyperlink r:id="rId82" w:history="1">
        <w:r>
          <w:rPr>
            <w:rStyle w:val="Hipervnculo"/>
            <w:rFonts w:ascii="Verdana" w:hAnsi="Verdana"/>
            <w:sz w:val="20"/>
            <w:szCs w:val="20"/>
          </w:rPr>
          <w:t>Links</w:t>
        </w:r>
      </w:hyperlink>
      <w:r>
        <w:rPr>
          <w:rFonts w:ascii="Verdana" w:hAnsi="Verdana"/>
          <w:sz w:val="20"/>
          <w:szCs w:val="20"/>
        </w:rPr>
        <w:t xml:space="preserve"> ] TOMÁS y VALIENTE, FRANCISCO. "Escritos sobre y desde el...", </w:t>
      </w:r>
      <w:r>
        <w:rPr>
          <w:rFonts w:ascii="Verdana" w:hAnsi="Verdana"/>
          <w:i/>
          <w:iCs/>
          <w:sz w:val="20"/>
          <w:szCs w:val="20"/>
        </w:rPr>
        <w:t>cit</w:t>
      </w:r>
      <w:r>
        <w:rPr>
          <w:rFonts w:ascii="Verdana" w:hAnsi="Verdana"/>
          <w:sz w:val="20"/>
          <w:szCs w:val="20"/>
        </w:rPr>
        <w:t xml:space="preserve">., p. 2132; PÉREZ TREMPS. "Elrecurso de amparo constitucional. II. Aspectos procesales", en </w:t>
      </w:r>
      <w:r>
        <w:rPr>
          <w:rFonts w:ascii="Verdana" w:hAnsi="Verdana"/>
          <w:i/>
          <w:iCs/>
          <w:sz w:val="20"/>
          <w:szCs w:val="20"/>
        </w:rPr>
        <w:t>Cuadernos y Debates 41, Los procesos constitucionales</w:t>
      </w:r>
      <w:r>
        <w:rPr>
          <w:rFonts w:ascii="Verdana" w:hAnsi="Verdana"/>
          <w:sz w:val="20"/>
          <w:szCs w:val="20"/>
        </w:rPr>
        <w:t xml:space="preserve">, Centro de Estudios Constitucionales, Madrid, 1992, p. 124, y ALBERTÍ ROVIRA, ENOCH. "El recurso de amparo...", en VARIOS AUTORES, </w:t>
      </w:r>
      <w:r>
        <w:rPr>
          <w:rFonts w:ascii="Verdana" w:hAnsi="Verdana"/>
          <w:i/>
          <w:iCs/>
          <w:sz w:val="20"/>
          <w:szCs w:val="20"/>
        </w:rPr>
        <w:t>cit</w:t>
      </w:r>
      <w:r>
        <w:rPr>
          <w:rFonts w:ascii="Verdana" w:hAnsi="Verdana"/>
          <w:sz w:val="20"/>
          <w:szCs w:val="20"/>
        </w:rPr>
        <w:t xml:space="preserve">., pp. 1812 y 1813. Xiol RÍOS señala que la dimensión objetiva es "una consecuencia indirecta de su alcance subjetivo". XIOL RÍOS, JUAN ANTONIO. "Algunas reflexiones al hilo de la ponencia de Ignacio Díez–Picazo &lt;&lt;Reflexiones sobre el contenido y efecto de las sentencias dictadas en procesos constitucionales de amparo&gt;&gt;", en </w:t>
      </w:r>
      <w:r>
        <w:rPr>
          <w:rFonts w:ascii="Verdana" w:hAnsi="Verdana"/>
          <w:i/>
          <w:iCs/>
          <w:sz w:val="20"/>
          <w:szCs w:val="20"/>
        </w:rPr>
        <w:t>Cuadernos y Debates 63, La sentencia de amparo constitucional (Actas de las</w:t>
      </w:r>
      <w:r>
        <w:rPr>
          <w:rFonts w:ascii="Verdana" w:hAnsi="Verdana"/>
          <w:sz w:val="20"/>
          <w:szCs w:val="20"/>
        </w:rPr>
        <w:t xml:space="preserve"> </w:t>
      </w:r>
      <w:r>
        <w:rPr>
          <w:rFonts w:ascii="Verdana" w:hAnsi="Verdana"/>
          <w:i/>
          <w:iCs/>
          <w:sz w:val="20"/>
          <w:szCs w:val="20"/>
        </w:rPr>
        <w:t>I</w:t>
      </w:r>
      <w:r>
        <w:rPr>
          <w:rFonts w:ascii="Verdana" w:hAnsi="Verdana"/>
          <w:sz w:val="20"/>
          <w:szCs w:val="20"/>
        </w:rPr>
        <w:t xml:space="preserve"> </w:t>
      </w:r>
      <w:r>
        <w:rPr>
          <w:rFonts w:ascii="Verdana" w:hAnsi="Verdana"/>
          <w:i/>
          <w:iCs/>
          <w:sz w:val="20"/>
          <w:szCs w:val="20"/>
        </w:rPr>
        <w:t>Jornadas de la Asociación de Letrados del Tribunal Constitucional)</w:t>
      </w:r>
      <w:r>
        <w:rPr>
          <w:rFonts w:ascii="Verdana" w:hAnsi="Verdana"/>
          <w:sz w:val="20"/>
          <w:szCs w:val="20"/>
        </w:rPr>
        <w:t>, Centro de Estudios Constitucionales, Madrid, 1996, p. 85.         [ </w:t>
      </w:r>
      <w:hyperlink r:id="rId83"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16</w:t>
      </w:r>
      <w:r>
        <w:rPr>
          <w:rFonts w:ascii="Verdana" w:hAnsi="Verdana"/>
          <w:sz w:val="20"/>
          <w:szCs w:val="20"/>
        </w:rPr>
        <w:t xml:space="preserve"> "Gracias a este mecanismo de recurso de amparo individual, la Corte está en capacidad de orientar la acción de los poderes Judicial, Ejecutivo y Legislativo sobre toda cuestión concerniente a los derechos fundamentales". LÓPEZ GUERRA, LUIS, citado por CASCAJO CASTRO, JOSÉ LUIS. "Los derechos invocables en el recurso de amparo", en </w:t>
      </w:r>
      <w:r>
        <w:rPr>
          <w:rFonts w:ascii="Verdana" w:hAnsi="Verdana"/>
          <w:i/>
          <w:iCs/>
          <w:sz w:val="20"/>
          <w:szCs w:val="20"/>
        </w:rPr>
        <w:t>Congreso Internacional de Derecho Público, Filosofía y Sociología Jurídicas: perspectivas para el próximo milenio</w:t>
      </w:r>
      <w:r>
        <w:rPr>
          <w:rFonts w:ascii="Verdana" w:hAnsi="Verdana"/>
          <w:sz w:val="20"/>
          <w:szCs w:val="20"/>
        </w:rPr>
        <w:t>, Universidad Externado de Colombia–Consejo Superior de la Judicatura, Bogotá, 1996, p. 299,         [ </w:t>
      </w:r>
      <w:hyperlink r:id="rId84" w:history="1">
        <w:r>
          <w:rPr>
            <w:rStyle w:val="Hipervnculo"/>
            <w:rFonts w:ascii="Verdana" w:hAnsi="Verdana"/>
            <w:sz w:val="20"/>
            <w:szCs w:val="20"/>
          </w:rPr>
          <w:t>Links</w:t>
        </w:r>
      </w:hyperlink>
      <w:r>
        <w:rPr>
          <w:rFonts w:ascii="Verdana" w:hAnsi="Verdana"/>
          <w:sz w:val="20"/>
          <w:szCs w:val="20"/>
        </w:rPr>
        <w:t xml:space="preserve"> ] o LÓPEZ GUERRA, LUIS, citado por CASCAJO CASTRO, JOSÉ LUIS. "Los derechos invocables en el recurso de amparo", en GARCÍA HERRERA, MIGUEL ÁNGEL (coord.), </w:t>
      </w:r>
      <w:r>
        <w:rPr>
          <w:rFonts w:ascii="Verdana" w:hAnsi="Verdana"/>
          <w:i/>
          <w:iCs/>
          <w:sz w:val="20"/>
          <w:szCs w:val="20"/>
        </w:rPr>
        <w:t>El constitucionalismo en la crisis del Estado social</w:t>
      </w:r>
      <w:r>
        <w:rPr>
          <w:rFonts w:ascii="Verdana" w:hAnsi="Verdana"/>
          <w:sz w:val="20"/>
          <w:szCs w:val="20"/>
        </w:rPr>
        <w:t>, Servicio Editorial Universidad del País Vasco, Bilbao, 1997, p. 54.         [ </w:t>
      </w:r>
      <w:hyperlink r:id="rId85"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17</w:t>
      </w:r>
      <w:r>
        <w:rPr>
          <w:rFonts w:ascii="Verdana" w:hAnsi="Verdana"/>
          <w:sz w:val="20"/>
          <w:szCs w:val="20"/>
        </w:rPr>
        <w:t xml:space="preserve"> LÓPEZ PIETSCH, PABLO. "Objetivar el recurso de amparo: las recomendaciones de la Comisión Benda y el debate español", en </w:t>
      </w:r>
      <w:r>
        <w:rPr>
          <w:rFonts w:ascii="Verdana" w:hAnsi="Verdana"/>
          <w:i/>
          <w:iCs/>
          <w:sz w:val="20"/>
          <w:szCs w:val="20"/>
        </w:rPr>
        <w:t>Revista Española de Derecho Constitucional</w:t>
      </w:r>
      <w:r>
        <w:rPr>
          <w:rFonts w:ascii="Verdana" w:hAnsi="Verdana"/>
          <w:sz w:val="20"/>
          <w:szCs w:val="20"/>
        </w:rPr>
        <w:t>, Centro de Estudios Políticos y Constitucionales, Madrid, No. 53, 1998, p. 142.         [ </w:t>
      </w:r>
      <w:hyperlink r:id="rId86"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rPr>
        <w:t xml:space="preserve">Señala CASCAJO que "la denominada jurisdicción constitucional de las libertades se nutre de una serie de principios y criterios que surgen más allá de los intereses singulares de los que traen causa, al ejercer con los efectos pertinentes la función de integración y aplicación de los derechos fundamentales". CASCAJO CASTRO, JOSÉ LUIS. "Los derechos invocables...", </w:t>
      </w:r>
      <w:r>
        <w:rPr>
          <w:rFonts w:ascii="Verdana" w:hAnsi="Verdana"/>
          <w:i/>
          <w:iCs/>
          <w:sz w:val="20"/>
          <w:szCs w:val="20"/>
        </w:rPr>
        <w:t>cit</w:t>
      </w:r>
      <w:r>
        <w:rPr>
          <w:rFonts w:ascii="Verdana" w:hAnsi="Verdana"/>
          <w:sz w:val="20"/>
          <w:szCs w:val="20"/>
        </w:rPr>
        <w:t xml:space="preserve">., p. 299, o CASCAJO CASTRO, JOSÉ LUIS. "Los derechos invocables...", en GARCÍA HERRERA, MIGUEL ÁNGEL (coord.), </w:t>
      </w:r>
      <w:r>
        <w:rPr>
          <w:rFonts w:ascii="Verdana" w:hAnsi="Verdana"/>
          <w:i/>
          <w:iCs/>
          <w:sz w:val="20"/>
          <w:szCs w:val="20"/>
        </w:rPr>
        <w:t>cit</w:t>
      </w:r>
      <w:r>
        <w:rPr>
          <w:rFonts w:ascii="Verdana" w:hAnsi="Verdana"/>
          <w:sz w:val="20"/>
          <w:szCs w:val="20"/>
        </w:rPr>
        <w:t>., p. 54.</w:t>
      </w:r>
    </w:p>
    <w:p w:rsidR="00E91355" w:rsidRDefault="00E91355" w:rsidP="00E91355">
      <w:pPr>
        <w:pStyle w:val="NormalWeb"/>
      </w:pPr>
      <w:r>
        <w:rPr>
          <w:rFonts w:ascii="Verdana" w:hAnsi="Verdana"/>
          <w:sz w:val="20"/>
          <w:szCs w:val="20"/>
        </w:rPr>
        <w:t xml:space="preserve">Sobre la dimensión objetiva del amparo véase NÚÑEZ RIVERO, CAYETANO y MONTECINO, MANUEL. "El amparo en la...", </w:t>
      </w:r>
      <w:r>
        <w:rPr>
          <w:rFonts w:ascii="Verdana" w:hAnsi="Verdana"/>
          <w:i/>
          <w:iCs/>
          <w:sz w:val="20"/>
          <w:szCs w:val="20"/>
        </w:rPr>
        <w:t>cit</w:t>
      </w:r>
      <w:r>
        <w:rPr>
          <w:rFonts w:ascii="Verdana" w:hAnsi="Verdana"/>
          <w:sz w:val="20"/>
          <w:szCs w:val="20"/>
        </w:rPr>
        <w:t xml:space="preserve">., p. 240; BUSTOS GISBERT, RAFAEL. "¿Está agotado el modelo de...", </w:t>
      </w:r>
      <w:r>
        <w:rPr>
          <w:rFonts w:ascii="Verdana" w:hAnsi="Verdana"/>
          <w:i/>
          <w:iCs/>
          <w:sz w:val="20"/>
          <w:szCs w:val="20"/>
        </w:rPr>
        <w:t>cit</w:t>
      </w:r>
      <w:r>
        <w:rPr>
          <w:rFonts w:ascii="Verdana" w:hAnsi="Verdana"/>
          <w:sz w:val="20"/>
          <w:szCs w:val="20"/>
        </w:rPr>
        <w:t xml:space="preserve">. p. 275; CANO MATA, ANTONIO. "Comentarios a la Ley...", </w:t>
      </w:r>
      <w:r>
        <w:rPr>
          <w:rFonts w:ascii="Verdana" w:hAnsi="Verdana"/>
          <w:i/>
          <w:iCs/>
          <w:sz w:val="20"/>
          <w:szCs w:val="20"/>
        </w:rPr>
        <w:t>cit</w:t>
      </w:r>
      <w:r>
        <w:rPr>
          <w:rFonts w:ascii="Verdana" w:hAnsi="Verdana"/>
          <w:sz w:val="20"/>
          <w:szCs w:val="20"/>
        </w:rPr>
        <w:t xml:space="preserve">., p. 228; REVENGA SÁNCHEZ, MIGUEL. "Las paradojas del recurso de amparo tras la primera década de jurisprudencias constitucional (1981–1991)", en </w:t>
      </w:r>
      <w:r>
        <w:rPr>
          <w:rFonts w:ascii="Verdana" w:hAnsi="Verdana"/>
          <w:i/>
          <w:iCs/>
          <w:sz w:val="20"/>
          <w:szCs w:val="20"/>
        </w:rPr>
        <w:t>Revista Española de Derecho Constitucional</w:t>
      </w:r>
      <w:r>
        <w:rPr>
          <w:rFonts w:ascii="Verdana" w:hAnsi="Verdana"/>
          <w:sz w:val="20"/>
          <w:szCs w:val="20"/>
        </w:rPr>
        <w:t xml:space="preserve">, Centro de Estudios Constitucionales, Madrid, No. 41, 1994, pp. 30–32, y ARAGÓN REYES, MANUEL. "Artículo 161. Competencias del Tribunal Constitucional", en ALZAGA VILLAAMIL, OSCAR (dir.), </w:t>
      </w:r>
      <w:r>
        <w:rPr>
          <w:rFonts w:ascii="Verdana" w:hAnsi="Verdana"/>
          <w:i/>
          <w:iCs/>
          <w:sz w:val="20"/>
          <w:szCs w:val="20"/>
        </w:rPr>
        <w:t>Comentarios a la Constitución española de 1978</w:t>
      </w:r>
      <w:r>
        <w:rPr>
          <w:rFonts w:ascii="Verdana" w:hAnsi="Verdana"/>
          <w:sz w:val="20"/>
          <w:szCs w:val="20"/>
        </w:rPr>
        <w:t>, Cortes Generales–Editoriales de Derecho Reunidas, Madrid, 1999, vol. XII, p. 210.</w:t>
      </w:r>
    </w:p>
    <w:p w:rsidR="00E91355" w:rsidRDefault="00E91355" w:rsidP="00E91355">
      <w:pPr>
        <w:pStyle w:val="NormalWeb"/>
      </w:pPr>
      <w:r>
        <w:rPr>
          <w:rFonts w:ascii="Verdana" w:hAnsi="Verdana"/>
          <w:sz w:val="20"/>
          <w:szCs w:val="20"/>
          <w:vertAlign w:val="superscript"/>
        </w:rPr>
        <w:lastRenderedPageBreak/>
        <w:t>18</w:t>
      </w:r>
      <w:r>
        <w:rPr>
          <w:rFonts w:ascii="Verdana" w:hAnsi="Verdana"/>
          <w:sz w:val="20"/>
          <w:szCs w:val="20"/>
        </w:rPr>
        <w:t xml:space="preserve"> Sentencia definitiva pronunciada en el amparo 22–A–94 ac. 27–M–94, el 5 de febrero de 1996.</w:t>
      </w:r>
    </w:p>
    <w:p w:rsidR="00E91355" w:rsidRDefault="00E91355" w:rsidP="00E91355">
      <w:pPr>
        <w:pStyle w:val="NormalWeb"/>
      </w:pPr>
      <w:r>
        <w:rPr>
          <w:rFonts w:ascii="Verdana" w:hAnsi="Verdana"/>
          <w:sz w:val="20"/>
          <w:szCs w:val="20"/>
          <w:vertAlign w:val="superscript"/>
        </w:rPr>
        <w:t>19</w:t>
      </w:r>
      <w:r>
        <w:rPr>
          <w:rFonts w:ascii="Verdana" w:hAnsi="Verdana"/>
          <w:sz w:val="20"/>
          <w:szCs w:val="20"/>
        </w:rPr>
        <w:t xml:space="preserve"> Sentencia definitiva pronunciada en el amparo 787–99, el 11 de julio de 2000. En igual sentido, entre otras, la sentencia definitiva proveída en el amparo 4–N–93, el 24 de noviembre de 1995. Sobre la función de intérprete supremo del tribunal a través del amparo, véase ARAGÓN REYES, MANUEL. "Algunas consideraciones sobre el recurso de amparo", en VARIOS AUTORES, </w:t>
      </w:r>
      <w:r>
        <w:rPr>
          <w:rFonts w:ascii="Verdana" w:hAnsi="Verdana"/>
          <w:i/>
          <w:iCs/>
          <w:sz w:val="20"/>
          <w:szCs w:val="20"/>
        </w:rPr>
        <w:t>La democracia constitucional. Estudios en homenaje al profesor Francisco Rubio Llorente</w:t>
      </w:r>
      <w:r>
        <w:rPr>
          <w:rFonts w:ascii="Verdana" w:hAnsi="Verdana"/>
          <w:sz w:val="20"/>
          <w:szCs w:val="20"/>
        </w:rPr>
        <w:t>, Congreso de los Diputados–Tribunal Constitucional–Universidad Complutense de Madrid–Fundación Ortega y Gasset–Centro de Estudios Políticos y Constitucionales, Madrid, 2002, vol. II, p. 1824.</w:t>
      </w:r>
    </w:p>
    <w:p w:rsidR="00E91355" w:rsidRDefault="00E91355" w:rsidP="00E91355">
      <w:pPr>
        <w:pStyle w:val="NormalWeb"/>
      </w:pPr>
      <w:r>
        <w:rPr>
          <w:rFonts w:ascii="Verdana" w:hAnsi="Verdana"/>
          <w:sz w:val="20"/>
          <w:szCs w:val="20"/>
          <w:vertAlign w:val="superscript"/>
        </w:rPr>
        <w:t>20</w:t>
      </w:r>
      <w:r>
        <w:rPr>
          <w:rFonts w:ascii="Verdana" w:hAnsi="Verdana"/>
          <w:sz w:val="20"/>
          <w:szCs w:val="20"/>
        </w:rPr>
        <w:t xml:space="preserve"> Improcedencia pronunciada en el amparo 264–2000, el 4 de julio de 2000. En igual sentido, entre otros, el sobre seimiento proveído en el amparo 451–97, el 10 de agosto de 1998. Sobre el papel de "guardián de la Constitución" de la jurisdicción constitucional, véase VEGA GARCÍA, PEDRO DE. "Jurisdicción constitucional y crisis de la Constitución", en </w:t>
      </w:r>
      <w:r>
        <w:rPr>
          <w:rFonts w:ascii="Verdana" w:hAnsi="Verdana"/>
          <w:i/>
          <w:iCs/>
          <w:sz w:val="20"/>
          <w:szCs w:val="20"/>
        </w:rPr>
        <w:t>Revista de Estudios Políticos</w:t>
      </w:r>
      <w:r>
        <w:rPr>
          <w:rFonts w:ascii="Verdana" w:hAnsi="Verdana"/>
          <w:sz w:val="20"/>
          <w:szCs w:val="20"/>
        </w:rPr>
        <w:t>, Universidad Nacional de Educación a Distancia, Madrid, No. 7, 1979, pp. 108–111.         [ </w:t>
      </w:r>
      <w:hyperlink r:id="rId87"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t>21</w:t>
      </w:r>
      <w:r>
        <w:rPr>
          <w:rFonts w:ascii="Verdana" w:hAnsi="Verdana"/>
          <w:sz w:val="20"/>
          <w:szCs w:val="20"/>
        </w:rPr>
        <w:t xml:space="preserve"> Sentencia definitiva pronunciada en el amparo 240–97, el 29 de mayo de 1998. En igual sentido, entre otros, el sobreseimiento proveído en el amparo 18–A–93, el 11 de enero de 1995.</w:t>
      </w:r>
    </w:p>
    <w:p w:rsidR="00E91355" w:rsidRDefault="00E91355" w:rsidP="00E91355">
      <w:pPr>
        <w:pStyle w:val="NormalWeb"/>
      </w:pPr>
      <w:r>
        <w:rPr>
          <w:rFonts w:ascii="Verdana" w:hAnsi="Verdana"/>
          <w:sz w:val="20"/>
          <w:szCs w:val="20"/>
          <w:vertAlign w:val="superscript"/>
        </w:rPr>
        <w:t>22</w:t>
      </w:r>
      <w:r>
        <w:rPr>
          <w:rFonts w:ascii="Verdana" w:hAnsi="Verdana"/>
          <w:sz w:val="20"/>
          <w:szCs w:val="20"/>
        </w:rPr>
        <w:t xml:space="preserve"> Sentencia definitiva pronunciada en el amparo 22–A–94 y acumulado 27–M–94, el 5 de febrero de 1996. En igual sentido, entre otras, la sentencia definitiva proveída en el amparo 4–N–93, el 24 de noviembre de 1995.</w:t>
      </w:r>
    </w:p>
    <w:p w:rsidR="00E91355" w:rsidRDefault="00E91355" w:rsidP="00E91355">
      <w:pPr>
        <w:pStyle w:val="NormalWeb"/>
      </w:pPr>
      <w:r>
        <w:rPr>
          <w:rFonts w:ascii="Verdana" w:hAnsi="Verdana"/>
          <w:sz w:val="20"/>
          <w:szCs w:val="20"/>
          <w:vertAlign w:val="superscript"/>
        </w:rPr>
        <w:t>23</w:t>
      </w:r>
      <w:r>
        <w:rPr>
          <w:rFonts w:ascii="Verdana" w:hAnsi="Verdana"/>
          <w:sz w:val="20"/>
          <w:szCs w:val="20"/>
        </w:rPr>
        <w:t xml:space="preserve"> Sentencia definitiva pronunciada en el hábeas corpus 546–97 y acum., el 9 de marzo de 1998.</w:t>
      </w:r>
    </w:p>
    <w:p w:rsidR="00E91355" w:rsidRDefault="00E91355" w:rsidP="00E91355">
      <w:pPr>
        <w:pStyle w:val="NormalWeb"/>
      </w:pPr>
      <w:r>
        <w:rPr>
          <w:rFonts w:ascii="Verdana" w:hAnsi="Verdana"/>
          <w:sz w:val="20"/>
          <w:szCs w:val="20"/>
          <w:vertAlign w:val="superscript"/>
        </w:rPr>
        <w:t>24</w:t>
      </w:r>
      <w:r>
        <w:rPr>
          <w:rFonts w:ascii="Verdana" w:hAnsi="Verdana"/>
          <w:sz w:val="20"/>
          <w:szCs w:val="20"/>
        </w:rPr>
        <w:t xml:space="preserve"> Sentencia definitiva pronunciada en el amparo 366–99, el 3 de abril de 2001. En igual sentido, entre otras, la sentencia definitiva proveída en el amparo 250–97, el 23 de julio de 1998.</w:t>
      </w:r>
    </w:p>
    <w:p w:rsidR="00E91355" w:rsidRDefault="00E91355" w:rsidP="00E91355">
      <w:pPr>
        <w:pStyle w:val="NormalWeb"/>
      </w:pPr>
      <w:r>
        <w:rPr>
          <w:rFonts w:ascii="Verdana" w:hAnsi="Verdana"/>
          <w:sz w:val="20"/>
          <w:szCs w:val="20"/>
          <w:vertAlign w:val="superscript"/>
        </w:rPr>
        <w:t>25</w:t>
      </w:r>
      <w:r>
        <w:rPr>
          <w:rFonts w:ascii="Verdana" w:hAnsi="Verdana"/>
          <w:sz w:val="20"/>
          <w:szCs w:val="20"/>
        </w:rPr>
        <w:t xml:space="preserve"> Artículo 172, inciso 3o., de la Constitución.</w:t>
      </w:r>
    </w:p>
    <w:p w:rsidR="00E91355" w:rsidRDefault="00E91355" w:rsidP="00E91355">
      <w:pPr>
        <w:pStyle w:val="NormalWeb"/>
      </w:pPr>
      <w:r>
        <w:rPr>
          <w:rFonts w:ascii="Verdana" w:hAnsi="Verdana"/>
          <w:sz w:val="20"/>
          <w:szCs w:val="20"/>
          <w:vertAlign w:val="superscript"/>
        </w:rPr>
        <w:t>26</w:t>
      </w:r>
      <w:r>
        <w:rPr>
          <w:rFonts w:ascii="Verdana" w:hAnsi="Verdana"/>
          <w:sz w:val="20"/>
          <w:szCs w:val="20"/>
        </w:rPr>
        <w:t xml:space="preserve"> Artículo 185 de la Constitución.</w:t>
      </w:r>
    </w:p>
    <w:p w:rsidR="00E91355" w:rsidRDefault="00E91355" w:rsidP="00E91355">
      <w:pPr>
        <w:pStyle w:val="NormalWeb"/>
      </w:pPr>
      <w:r>
        <w:rPr>
          <w:rFonts w:ascii="Verdana" w:hAnsi="Verdana"/>
          <w:sz w:val="20"/>
          <w:szCs w:val="20"/>
          <w:vertAlign w:val="superscript"/>
        </w:rPr>
        <w:t>27</w:t>
      </w:r>
      <w:r>
        <w:rPr>
          <w:rFonts w:ascii="Verdana" w:hAnsi="Verdana"/>
          <w:sz w:val="20"/>
          <w:szCs w:val="20"/>
        </w:rPr>
        <w:t xml:space="preserve"> "En nuestro país, dicho ente jurisdiccional encargado de pronunciar la "última palabra" [respecto de las pretensiones constitucionales deducidas ante los tribunales inferiores] es la Sala de lo Constitucional de la Corte Suprema de Justicia, y de ese modo garantiza dos principios superiores de orden constitucional, los cuales son la igualdad ante la jurisdicción y la seguridad jurídica. Sentencia definitiva pronunciada en el hábeas corpus 7–Q–96, el 20 de septiembre de 1996. CASCAJO Y GIMENO califican al Tribunal Constitucional, como "intérprete definitivo de los derechos fundamentales, porque [...] irradia además una jurisprudencia que va delimitando los perfiles concretos de los derechos fundamentales y libertades públicas". CASCAJO CASTRO, JOSÉ LUIS y GIMENO SENDRA, VICENTE. </w:t>
      </w:r>
      <w:r>
        <w:rPr>
          <w:rFonts w:ascii="Verdana" w:hAnsi="Verdana"/>
          <w:i/>
          <w:iCs/>
          <w:sz w:val="20"/>
          <w:szCs w:val="20"/>
        </w:rPr>
        <w:t>El recurso de amparo</w:t>
      </w:r>
      <w:r>
        <w:rPr>
          <w:rFonts w:ascii="Verdana" w:hAnsi="Verdana"/>
          <w:sz w:val="20"/>
          <w:szCs w:val="20"/>
        </w:rPr>
        <w:t>, Tecnos, Madrid, 1984, p. 58.</w:t>
      </w:r>
    </w:p>
    <w:p w:rsidR="00E91355" w:rsidRDefault="00E91355" w:rsidP="00E91355">
      <w:pPr>
        <w:pStyle w:val="NormalWeb"/>
      </w:pPr>
      <w:r>
        <w:rPr>
          <w:rFonts w:ascii="Verdana" w:hAnsi="Verdana"/>
          <w:sz w:val="20"/>
          <w:szCs w:val="20"/>
          <w:vertAlign w:val="superscript"/>
        </w:rPr>
        <w:lastRenderedPageBreak/>
        <w:t>28</w:t>
      </w:r>
      <w:r>
        <w:rPr>
          <w:rFonts w:ascii="Verdana" w:hAnsi="Verdana"/>
          <w:sz w:val="20"/>
          <w:szCs w:val="20"/>
        </w:rPr>
        <w:t xml:space="preserve"> CARRASCO DURÁN, MANUEL. "El concepto constitucional...", </w:t>
      </w:r>
      <w:r>
        <w:rPr>
          <w:rFonts w:ascii="Verdana" w:hAnsi="Verdana"/>
          <w:i/>
          <w:iCs/>
          <w:sz w:val="20"/>
          <w:szCs w:val="20"/>
        </w:rPr>
        <w:t>cit</w:t>
      </w:r>
      <w:r>
        <w:rPr>
          <w:rFonts w:ascii="Verdana" w:hAnsi="Verdana"/>
          <w:sz w:val="20"/>
          <w:szCs w:val="20"/>
        </w:rPr>
        <w:t xml:space="preserve">., p. 112. En igual sentido, XIOL RÍOS, JUAN ANTONIO. "Algunas reflexiones al hilo de la ponencia de...", </w:t>
      </w:r>
      <w:r>
        <w:rPr>
          <w:rFonts w:ascii="Verdana" w:hAnsi="Verdana"/>
          <w:i/>
          <w:iCs/>
          <w:sz w:val="20"/>
          <w:szCs w:val="20"/>
        </w:rPr>
        <w:t>cit</w:t>
      </w:r>
      <w:r>
        <w:rPr>
          <w:rFonts w:ascii="Verdana" w:hAnsi="Verdana"/>
          <w:sz w:val="20"/>
          <w:szCs w:val="20"/>
        </w:rPr>
        <w:t>., p. 87.</w:t>
      </w:r>
    </w:p>
    <w:p w:rsidR="00E91355" w:rsidRDefault="00E91355" w:rsidP="00E91355">
      <w:pPr>
        <w:pStyle w:val="NormalWeb"/>
      </w:pPr>
      <w:r>
        <w:rPr>
          <w:rFonts w:ascii="Verdana" w:hAnsi="Verdana"/>
          <w:sz w:val="20"/>
          <w:szCs w:val="20"/>
          <w:vertAlign w:val="superscript"/>
        </w:rPr>
        <w:t>29</w:t>
      </w:r>
      <w:r>
        <w:rPr>
          <w:rFonts w:ascii="Verdana" w:hAnsi="Verdana"/>
          <w:sz w:val="20"/>
          <w:szCs w:val="20"/>
        </w:rPr>
        <w:t xml:space="preserve"> Ejemplo de la eficacia correctora del amparo es la sentencia definitiva pronunciada en el amparo 139–2001, el 19 de abril de 2002, en la que la Sala de lo Constitucional, en la parte del efecto restitutorio de la sentencia, ordenó "invalidar la resolución dictada por la Cámara [...], debiendo entonces la Cámara mencionada emitir la resolución correspondiente, partiendo de las consideraciones realizadas en esta sentencia, para efectos de no menoscabar los derechos constitucionales de propiedad y seguridad jurídica del impetrante". Sobre el tema, véase CARRASCO DURÁN, MANUEL. "El concepto constitucional...", </w:t>
      </w:r>
      <w:r>
        <w:rPr>
          <w:rFonts w:ascii="Verdana" w:hAnsi="Verdana"/>
          <w:i/>
          <w:iCs/>
          <w:sz w:val="20"/>
          <w:szCs w:val="20"/>
        </w:rPr>
        <w:t>cit</w:t>
      </w:r>
      <w:r>
        <w:rPr>
          <w:rFonts w:ascii="Verdana" w:hAnsi="Verdana"/>
          <w:sz w:val="20"/>
          <w:szCs w:val="20"/>
        </w:rPr>
        <w:t>., p. 105.</w:t>
      </w:r>
    </w:p>
    <w:p w:rsidR="00E91355" w:rsidRDefault="00E91355" w:rsidP="00E91355">
      <w:pPr>
        <w:pStyle w:val="NormalWeb"/>
      </w:pPr>
      <w:r>
        <w:rPr>
          <w:rFonts w:ascii="Verdana" w:hAnsi="Verdana"/>
          <w:sz w:val="20"/>
          <w:szCs w:val="20"/>
          <w:vertAlign w:val="superscript"/>
        </w:rPr>
        <w:t>30</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CARRASCO DURÁN, MANUEL. "El concepto constitucional...", </w:t>
      </w:r>
      <w:r>
        <w:rPr>
          <w:rFonts w:ascii="Verdana" w:hAnsi="Verdana"/>
          <w:i/>
          <w:iCs/>
          <w:sz w:val="20"/>
          <w:szCs w:val="20"/>
        </w:rPr>
        <w:t>cit</w:t>
      </w:r>
      <w:r>
        <w:rPr>
          <w:rFonts w:ascii="Verdana" w:hAnsi="Verdana"/>
          <w:sz w:val="20"/>
          <w:szCs w:val="20"/>
        </w:rPr>
        <w:t>., p. 105.</w:t>
      </w:r>
    </w:p>
    <w:p w:rsidR="00E91355" w:rsidRDefault="00E91355" w:rsidP="00E91355">
      <w:pPr>
        <w:pStyle w:val="NormalWeb"/>
      </w:pPr>
      <w:r>
        <w:rPr>
          <w:rFonts w:ascii="Verdana" w:hAnsi="Verdana"/>
          <w:sz w:val="20"/>
          <w:szCs w:val="20"/>
          <w:vertAlign w:val="superscript"/>
        </w:rPr>
        <w:t>31</w:t>
      </w:r>
      <w:r>
        <w:rPr>
          <w:rFonts w:ascii="Verdana" w:hAnsi="Verdana"/>
          <w:sz w:val="20"/>
          <w:szCs w:val="20"/>
        </w:rPr>
        <w:t xml:space="preserve"> </w:t>
      </w:r>
      <w:r>
        <w:rPr>
          <w:rFonts w:ascii="Verdana" w:hAnsi="Verdana"/>
          <w:i/>
          <w:iCs/>
          <w:sz w:val="20"/>
          <w:szCs w:val="20"/>
        </w:rPr>
        <w:t>Ibidem</w:t>
      </w:r>
      <w:r>
        <w:rPr>
          <w:rFonts w:ascii="Verdana" w:hAnsi="Verdana"/>
          <w:sz w:val="20"/>
          <w:szCs w:val="20"/>
        </w:rPr>
        <w:t>, p. 105.</w:t>
      </w:r>
    </w:p>
    <w:p w:rsidR="00E91355" w:rsidRDefault="00E91355" w:rsidP="00E91355">
      <w:pPr>
        <w:pStyle w:val="NormalWeb"/>
      </w:pPr>
      <w:r>
        <w:rPr>
          <w:rFonts w:ascii="Verdana" w:hAnsi="Verdana"/>
          <w:sz w:val="20"/>
          <w:szCs w:val="20"/>
          <w:vertAlign w:val="superscript"/>
        </w:rPr>
        <w:t>32</w:t>
      </w:r>
      <w:r>
        <w:rPr>
          <w:rFonts w:ascii="Verdana" w:hAnsi="Verdana"/>
          <w:sz w:val="20"/>
          <w:szCs w:val="20"/>
        </w:rPr>
        <w:t xml:space="preserve"> Sentencia definitiva pronunciada en el amparo 22–A–94 y acum., el 5 de febrero de 1996. Alguna doctrina califica a la labor interpretativa de la jurisprudencia constitucional como "pedagógica"; véase, para tal efecto, REQUEJO PAGÉS, JUAN LUIS. "Tribunal Constitucional, jurisdicción ordinaria y derechos fundamentales", en </w:t>
      </w:r>
      <w:r>
        <w:rPr>
          <w:rFonts w:ascii="Verdana" w:hAnsi="Verdana"/>
          <w:i/>
          <w:iCs/>
          <w:sz w:val="20"/>
          <w:szCs w:val="20"/>
        </w:rPr>
        <w:t>Revista Española de Derecho Constitucional</w:t>
      </w:r>
      <w:r>
        <w:rPr>
          <w:rFonts w:ascii="Verdana" w:hAnsi="Verdana"/>
          <w:sz w:val="20"/>
          <w:szCs w:val="20"/>
        </w:rPr>
        <w:t>, Centro de Estudios Constitucionales, Madrid, No. 50, 1997, p. 251;         [ </w:t>
      </w:r>
      <w:hyperlink r:id="rId88" w:history="1">
        <w:r>
          <w:rPr>
            <w:rStyle w:val="Hipervnculo"/>
            <w:rFonts w:ascii="Verdana" w:hAnsi="Verdana"/>
            <w:sz w:val="20"/>
            <w:szCs w:val="20"/>
          </w:rPr>
          <w:t>Links</w:t>
        </w:r>
      </w:hyperlink>
      <w:r>
        <w:rPr>
          <w:rFonts w:ascii="Verdana" w:hAnsi="Verdana"/>
          <w:sz w:val="20"/>
          <w:szCs w:val="20"/>
        </w:rPr>
        <w:t xml:space="preserve"> ] otra, en similar sentido, la califica como "educadora" y legitimadora. </w:t>
      </w:r>
      <w:r>
        <w:rPr>
          <w:rFonts w:ascii="Verdana" w:hAnsi="Verdana"/>
          <w:i/>
          <w:iCs/>
          <w:sz w:val="20"/>
          <w:szCs w:val="20"/>
        </w:rPr>
        <w:t>Cfr</w:t>
      </w:r>
      <w:r>
        <w:rPr>
          <w:rFonts w:ascii="Verdana" w:hAnsi="Verdana"/>
          <w:sz w:val="20"/>
          <w:szCs w:val="20"/>
        </w:rPr>
        <w:t xml:space="preserve">. ARAGÓN REYES, MANUEL. "Algunas consideraciones sobre...", </w:t>
      </w:r>
      <w:r>
        <w:rPr>
          <w:rFonts w:ascii="Verdana" w:hAnsi="Verdana"/>
          <w:i/>
          <w:iCs/>
          <w:sz w:val="20"/>
          <w:szCs w:val="20"/>
        </w:rPr>
        <w:t>cit</w:t>
      </w:r>
      <w:r>
        <w:rPr>
          <w:rFonts w:ascii="Verdana" w:hAnsi="Verdana"/>
          <w:sz w:val="20"/>
          <w:szCs w:val="20"/>
        </w:rPr>
        <w:t>. p. 1824.</w:t>
      </w:r>
    </w:p>
    <w:p w:rsidR="00E91355" w:rsidRDefault="00E91355" w:rsidP="00E91355">
      <w:pPr>
        <w:pStyle w:val="NormalWeb"/>
      </w:pPr>
      <w:r>
        <w:rPr>
          <w:rFonts w:ascii="Verdana" w:hAnsi="Verdana"/>
          <w:sz w:val="20"/>
          <w:szCs w:val="20"/>
          <w:vertAlign w:val="superscript"/>
        </w:rPr>
        <w:t>33</w:t>
      </w:r>
      <w:r>
        <w:rPr>
          <w:rFonts w:ascii="Verdana" w:hAnsi="Verdana"/>
          <w:sz w:val="20"/>
          <w:szCs w:val="20"/>
        </w:rPr>
        <w:t xml:space="preserve"> Sentencia definitiva pronunciada en el hábeas corpus 7–Q–96, el 20 de septiembre de 1996. Sobre el tema, véase CARRASCO DURÁN, MANUEL. "El concepto constitucional...", </w:t>
      </w:r>
      <w:r>
        <w:rPr>
          <w:rFonts w:ascii="Verdana" w:hAnsi="Verdana"/>
          <w:i/>
          <w:iCs/>
          <w:sz w:val="20"/>
          <w:szCs w:val="20"/>
        </w:rPr>
        <w:t>cit</w:t>
      </w:r>
      <w:r>
        <w:rPr>
          <w:rFonts w:ascii="Verdana" w:hAnsi="Verdana"/>
          <w:sz w:val="20"/>
          <w:szCs w:val="20"/>
        </w:rPr>
        <w:t>., p. 105.</w:t>
      </w:r>
    </w:p>
    <w:p w:rsidR="00E91355" w:rsidRDefault="00E91355" w:rsidP="00E91355">
      <w:pPr>
        <w:pStyle w:val="NormalWeb"/>
      </w:pPr>
      <w:r>
        <w:rPr>
          <w:rFonts w:ascii="Verdana" w:hAnsi="Verdana"/>
          <w:sz w:val="20"/>
          <w:szCs w:val="20"/>
          <w:vertAlign w:val="superscript"/>
        </w:rPr>
        <w:t>34</w:t>
      </w:r>
      <w:r>
        <w:rPr>
          <w:rFonts w:ascii="Verdana" w:hAnsi="Verdana"/>
          <w:sz w:val="20"/>
          <w:szCs w:val="20"/>
        </w:rPr>
        <w:t xml:space="preserve"> PÉREZ TREMPS, PABLO. "La naturaleza del recurso de amparo y su configuración procesal", en </w:t>
      </w:r>
      <w:r>
        <w:rPr>
          <w:rFonts w:ascii="Verdana" w:hAnsi="Verdana"/>
          <w:i/>
          <w:iCs/>
          <w:sz w:val="20"/>
          <w:szCs w:val="20"/>
        </w:rPr>
        <w:t>Revista Vasca de Administraciones Públicas</w:t>
      </w:r>
      <w:r>
        <w:rPr>
          <w:rFonts w:ascii="Verdana" w:hAnsi="Verdana"/>
          <w:sz w:val="20"/>
          <w:szCs w:val="20"/>
        </w:rPr>
        <w:t xml:space="preserve">, Instituto Vasco de Estudios de Administración Pública, Oñate, No. 39, 1994, p. 94. En igual sentido, PÉREZ TREMPS, PABLO. "Comentario al artículo 41 de la Ley...", </w:t>
      </w:r>
      <w:r>
        <w:rPr>
          <w:rFonts w:ascii="Verdana" w:hAnsi="Verdana"/>
          <w:i/>
          <w:iCs/>
          <w:sz w:val="20"/>
          <w:szCs w:val="20"/>
        </w:rPr>
        <w:t>cit</w:t>
      </w:r>
      <w:r>
        <w:rPr>
          <w:rFonts w:ascii="Verdana" w:hAnsi="Verdana"/>
          <w:sz w:val="20"/>
          <w:szCs w:val="20"/>
        </w:rPr>
        <w:t xml:space="preserve">., pp. 654 y 655, y PÉREZ TREMPS, PABLO. "Tribunal Constitucional, juez ordinario y...", en VARIOS AUTORES, </w:t>
      </w:r>
      <w:r>
        <w:rPr>
          <w:rFonts w:ascii="Verdana" w:hAnsi="Verdana"/>
          <w:i/>
          <w:iCs/>
          <w:sz w:val="20"/>
          <w:szCs w:val="20"/>
        </w:rPr>
        <w:t>cit</w:t>
      </w:r>
      <w:r>
        <w:rPr>
          <w:rFonts w:ascii="Verdana" w:hAnsi="Verdana"/>
          <w:sz w:val="20"/>
          <w:szCs w:val="20"/>
        </w:rPr>
        <w:t>., p. 1654.</w:t>
      </w:r>
    </w:p>
    <w:p w:rsidR="00E91355" w:rsidRDefault="00E91355" w:rsidP="00E91355">
      <w:pPr>
        <w:pStyle w:val="NormalWeb"/>
      </w:pPr>
      <w:r>
        <w:rPr>
          <w:rFonts w:ascii="Verdana" w:hAnsi="Verdana"/>
          <w:sz w:val="20"/>
          <w:szCs w:val="20"/>
          <w:vertAlign w:val="superscript"/>
        </w:rPr>
        <w:t>35</w:t>
      </w:r>
      <w:r>
        <w:rPr>
          <w:rFonts w:ascii="Verdana" w:hAnsi="Verdana"/>
          <w:sz w:val="20"/>
          <w:szCs w:val="20"/>
        </w:rPr>
        <w:t xml:space="preserve"> PÉREZ TREMPS, PABLO. "La naturaleza del recurso de amparo y...", </w:t>
      </w:r>
      <w:r>
        <w:rPr>
          <w:rFonts w:ascii="Verdana" w:hAnsi="Verdana"/>
          <w:i/>
          <w:iCs/>
          <w:sz w:val="20"/>
          <w:szCs w:val="20"/>
        </w:rPr>
        <w:t>cit</w:t>
      </w:r>
      <w:r>
        <w:rPr>
          <w:rFonts w:ascii="Verdana" w:hAnsi="Verdana"/>
          <w:sz w:val="20"/>
          <w:szCs w:val="20"/>
        </w:rPr>
        <w:t>., p. 95.</w:t>
      </w:r>
    </w:p>
    <w:p w:rsidR="00E91355" w:rsidRDefault="00E91355" w:rsidP="00E91355">
      <w:pPr>
        <w:pStyle w:val="NormalWeb"/>
      </w:pPr>
      <w:r>
        <w:rPr>
          <w:rFonts w:ascii="Verdana" w:hAnsi="Verdana"/>
          <w:sz w:val="20"/>
          <w:szCs w:val="20"/>
          <w:vertAlign w:val="superscript"/>
        </w:rPr>
        <w:t>36</w:t>
      </w:r>
      <w:r>
        <w:rPr>
          <w:rFonts w:ascii="Verdana" w:hAnsi="Verdana"/>
          <w:sz w:val="20"/>
          <w:szCs w:val="20"/>
        </w:rPr>
        <w:t xml:space="preserve"> </w:t>
      </w:r>
      <w:r>
        <w:rPr>
          <w:rFonts w:ascii="Verdana" w:hAnsi="Verdana"/>
          <w:i/>
          <w:iCs/>
          <w:sz w:val="20"/>
          <w:szCs w:val="20"/>
        </w:rPr>
        <w:t>Ibidem</w:t>
      </w:r>
      <w:r>
        <w:rPr>
          <w:rFonts w:ascii="Verdana" w:hAnsi="Verdana"/>
          <w:sz w:val="20"/>
          <w:szCs w:val="20"/>
        </w:rPr>
        <w:t>, p. 96.</w:t>
      </w:r>
    </w:p>
    <w:p w:rsidR="00E91355" w:rsidRDefault="00E91355" w:rsidP="00E91355">
      <w:pPr>
        <w:pStyle w:val="NormalWeb"/>
      </w:pPr>
      <w:r>
        <w:rPr>
          <w:rFonts w:ascii="Verdana" w:hAnsi="Verdana"/>
          <w:sz w:val="20"/>
          <w:szCs w:val="20"/>
          <w:vertAlign w:val="superscript"/>
        </w:rPr>
        <w:t>37</w:t>
      </w:r>
      <w:r>
        <w:rPr>
          <w:rFonts w:ascii="Verdana" w:hAnsi="Verdana"/>
          <w:sz w:val="20"/>
          <w:szCs w:val="20"/>
        </w:rPr>
        <w:t xml:space="preserve"> OSUNA PATIÑO, NÉSTOR IVÁN. </w:t>
      </w:r>
      <w:r>
        <w:rPr>
          <w:rFonts w:ascii="Verdana" w:hAnsi="Verdana"/>
          <w:i/>
          <w:iCs/>
          <w:sz w:val="20"/>
          <w:szCs w:val="20"/>
        </w:rPr>
        <w:t>Tutela y amparo: derechos protegidos</w:t>
      </w:r>
      <w:r>
        <w:rPr>
          <w:rFonts w:ascii="Verdana" w:hAnsi="Verdana"/>
          <w:sz w:val="20"/>
          <w:szCs w:val="20"/>
        </w:rPr>
        <w:t>, Universidad Externado de Colombia, Colombia, 1998, p. 99.         [ </w:t>
      </w:r>
      <w:hyperlink r:id="rId89" w:history="1">
        <w:r>
          <w:rPr>
            <w:rStyle w:val="Hipervnculo"/>
            <w:rFonts w:ascii="Verdana" w:hAnsi="Verdana"/>
            <w:sz w:val="20"/>
            <w:szCs w:val="20"/>
          </w:rPr>
          <w:t>Links</w:t>
        </w:r>
      </w:hyperlink>
      <w:r>
        <w:rPr>
          <w:rFonts w:ascii="Verdana" w:hAnsi="Verdana"/>
          <w:sz w:val="20"/>
          <w:szCs w:val="20"/>
        </w:rPr>
        <w:t xml:space="preserve"> ] </w:t>
      </w:r>
    </w:p>
    <w:p w:rsidR="00E91355" w:rsidRDefault="00E91355" w:rsidP="00E91355">
      <w:pPr>
        <w:pStyle w:val="NormalWeb"/>
      </w:pPr>
      <w:r>
        <w:rPr>
          <w:rFonts w:ascii="Verdana" w:hAnsi="Verdana"/>
          <w:sz w:val="20"/>
          <w:szCs w:val="20"/>
          <w:vertAlign w:val="superscript"/>
        </w:rPr>
        <w:t>38</w:t>
      </w:r>
      <w:r>
        <w:rPr>
          <w:rFonts w:ascii="Verdana" w:hAnsi="Verdana"/>
          <w:sz w:val="20"/>
          <w:szCs w:val="20"/>
        </w:rPr>
        <w:t xml:space="preserve"> La jurisprudencia constitucional reiteradamente ha manifestado que la "Constitución [...], desde su artículo 2o. establece una serie de derechos consagrados a favor de la persona, es decir, reconoce un catálogo de derechos —abierto y no cerrado— como fundamentales para la existencia humana e integrantes de la esfera jurídica de las personas. Ahora bien [...], es también imperioso el reconocimiento a nivel supremo de un derecho que posibilite su realización efectiva y pronta. En virtud de eso, nuestro constituyente dejó plasmado en el artículo 2o., inciso primero, el derecho a la </w:t>
      </w:r>
      <w:r>
        <w:rPr>
          <w:rFonts w:ascii="Verdana" w:hAnsi="Verdana"/>
          <w:sz w:val="20"/>
          <w:szCs w:val="20"/>
        </w:rPr>
        <w:lastRenderedPageBreak/>
        <w:t>protección jurisdiccional y no jurisdiccional de las categorías jurídicas subjetivas instauradas en favor de todo ciudadano, esto es, un derecho de protección en la conservación y defensa del catálogo de derechos descrito". Sentencia definitiva pronunciada en el amparo 580–98, el 29 de marzo de 2001. En igual sentido, entre otras, la sentencia definitiva proveída en la inconstitucionalidad 24–97, el 26 de septiembre de 2000.</w:t>
      </w:r>
    </w:p>
    <w:p w:rsidR="00E91355" w:rsidRDefault="00E91355" w:rsidP="00E91355">
      <w:pPr>
        <w:pStyle w:val="NormalWeb"/>
      </w:pPr>
      <w:r>
        <w:rPr>
          <w:rFonts w:ascii="Verdana" w:hAnsi="Verdana"/>
          <w:sz w:val="20"/>
          <w:szCs w:val="20"/>
          <w:vertAlign w:val="superscript"/>
        </w:rPr>
        <w:t>39</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DÍEZ–PICAZO, LUIS MARÍA. "Dificultades prácticas...", </w:t>
      </w:r>
      <w:r>
        <w:rPr>
          <w:rFonts w:ascii="Verdana" w:hAnsi="Verdana"/>
          <w:i/>
          <w:iCs/>
          <w:sz w:val="20"/>
          <w:szCs w:val="20"/>
        </w:rPr>
        <w:t>cit</w:t>
      </w:r>
      <w:r>
        <w:rPr>
          <w:rFonts w:ascii="Verdana" w:hAnsi="Verdana"/>
          <w:sz w:val="20"/>
          <w:szCs w:val="20"/>
        </w:rPr>
        <w:t>., p. 19.</w:t>
      </w:r>
    </w:p>
    <w:p w:rsidR="00E91355" w:rsidRDefault="00E91355" w:rsidP="00E91355">
      <w:pPr>
        <w:pStyle w:val="NormalWeb"/>
      </w:pPr>
      <w:r>
        <w:rPr>
          <w:rFonts w:ascii="Verdana" w:hAnsi="Verdana"/>
          <w:sz w:val="20"/>
          <w:szCs w:val="20"/>
          <w:vertAlign w:val="superscript"/>
        </w:rPr>
        <w:t>40</w:t>
      </w:r>
      <w:r>
        <w:rPr>
          <w:rFonts w:ascii="Verdana" w:hAnsi="Verdana"/>
          <w:sz w:val="20"/>
          <w:szCs w:val="20"/>
        </w:rPr>
        <w:t xml:space="preserve"> Sentencia definitiva pronunciada en el amparo 4–N–93, el 24 de noviembre de 1995. En igual sentido, la improcedencia proveída en el amparo 32–A–95, el 29 de enero de 1996.</w:t>
      </w:r>
    </w:p>
    <w:p w:rsidR="00E91355" w:rsidRDefault="00E91355" w:rsidP="00E91355">
      <w:pPr>
        <w:pStyle w:val="NormalWeb"/>
      </w:pPr>
      <w:r>
        <w:rPr>
          <w:rFonts w:ascii="Verdana" w:hAnsi="Verdana"/>
          <w:sz w:val="20"/>
          <w:szCs w:val="20"/>
          <w:vertAlign w:val="superscript"/>
        </w:rPr>
        <w:t>41</w:t>
      </w:r>
      <w:r>
        <w:rPr>
          <w:rFonts w:ascii="Verdana" w:hAnsi="Verdana"/>
          <w:sz w:val="20"/>
          <w:szCs w:val="20"/>
        </w:rPr>
        <w:t xml:space="preserve"> Sentencia definitiva pronunciada en el amparo 22–A–94 y acumulado 27–M–94, el 5 de febrero de 1996.</w:t>
      </w:r>
    </w:p>
    <w:p w:rsidR="00E91355" w:rsidRDefault="00E91355" w:rsidP="00E91355">
      <w:pPr>
        <w:pStyle w:val="NormalWeb"/>
      </w:pPr>
      <w:r>
        <w:rPr>
          <w:rFonts w:ascii="Verdana" w:hAnsi="Verdana"/>
          <w:sz w:val="20"/>
          <w:szCs w:val="20"/>
          <w:vertAlign w:val="superscript"/>
        </w:rPr>
        <w:t>42</w:t>
      </w:r>
      <w:r>
        <w:rPr>
          <w:rFonts w:ascii="Verdana" w:hAnsi="Verdana"/>
          <w:sz w:val="20"/>
          <w:szCs w:val="20"/>
        </w:rPr>
        <w:t xml:space="preserve"> Improcedencia pronunciada en el amparo 72–2001, el 4 de mayo de 2001. En igual sentido, entre otras, la improcedencia proveída en el amparo 96–2001, el 12 de marzo de 2001.</w:t>
      </w:r>
    </w:p>
    <w:p w:rsidR="00E91355" w:rsidRDefault="00E91355" w:rsidP="00E91355">
      <w:pPr>
        <w:pStyle w:val="NormalWeb"/>
      </w:pPr>
      <w:r>
        <w:rPr>
          <w:rFonts w:ascii="Verdana" w:hAnsi="Verdana"/>
          <w:sz w:val="20"/>
          <w:szCs w:val="20"/>
          <w:vertAlign w:val="superscript"/>
        </w:rPr>
        <w:t>43</w:t>
      </w:r>
      <w:r>
        <w:rPr>
          <w:rFonts w:ascii="Verdana" w:hAnsi="Verdana"/>
          <w:sz w:val="20"/>
          <w:szCs w:val="20"/>
        </w:rPr>
        <w:t xml:space="preserve"> CASCAJO CASTRO, JOSÉ LUIS. "Los derechos invocables...", </w:t>
      </w:r>
      <w:r>
        <w:rPr>
          <w:rFonts w:ascii="Verdana" w:hAnsi="Verdana"/>
          <w:i/>
          <w:iCs/>
          <w:sz w:val="20"/>
          <w:szCs w:val="20"/>
        </w:rPr>
        <w:t>cit</w:t>
      </w:r>
      <w:r>
        <w:rPr>
          <w:rFonts w:ascii="Verdana" w:hAnsi="Verdana"/>
          <w:sz w:val="20"/>
          <w:szCs w:val="20"/>
        </w:rPr>
        <w:t xml:space="preserve">., p. 308, o, también, CASCAJO CASTRO, JOSÉ LUIS. "Los derechos invocables...", en GARCÍA HERRERA, MIGUEL ÁNGEL (coord.), </w:t>
      </w:r>
      <w:r>
        <w:rPr>
          <w:rFonts w:ascii="Verdana" w:hAnsi="Verdana"/>
          <w:i/>
          <w:iCs/>
          <w:sz w:val="20"/>
          <w:szCs w:val="20"/>
        </w:rPr>
        <w:t>cit</w:t>
      </w:r>
      <w:r>
        <w:rPr>
          <w:rFonts w:ascii="Verdana" w:hAnsi="Verdana"/>
          <w:sz w:val="20"/>
          <w:szCs w:val="20"/>
        </w:rPr>
        <w:t>., p. 60.</w:t>
      </w:r>
    </w:p>
    <w:p w:rsidR="00E91355" w:rsidRDefault="00E91355" w:rsidP="00E91355">
      <w:pPr>
        <w:pStyle w:val="NormalWeb"/>
      </w:pPr>
      <w:r>
        <w:rPr>
          <w:rFonts w:ascii="Verdana" w:hAnsi="Verdana"/>
          <w:sz w:val="20"/>
          <w:szCs w:val="20"/>
          <w:vertAlign w:val="superscript"/>
        </w:rPr>
        <w:t>44</w:t>
      </w:r>
      <w:r>
        <w:rPr>
          <w:rFonts w:ascii="Verdana" w:hAnsi="Verdana"/>
          <w:sz w:val="20"/>
          <w:szCs w:val="20"/>
        </w:rPr>
        <w:t xml:space="preserve"> Sentencia definitiva pronunciada en el amparo 98–97, el 6 de abril de 1999. En igual sentido, entre otras, la sentencia definitiva proveída en el amparo 820–99, el 9 de febrero de 2001.</w:t>
      </w:r>
    </w:p>
    <w:p w:rsidR="00E91355" w:rsidRDefault="00E91355" w:rsidP="00E91355">
      <w:pPr>
        <w:pStyle w:val="NormalWeb"/>
      </w:pPr>
      <w:r>
        <w:rPr>
          <w:rFonts w:ascii="Verdana" w:hAnsi="Verdana"/>
          <w:sz w:val="20"/>
          <w:szCs w:val="20"/>
          <w:vertAlign w:val="superscript"/>
        </w:rPr>
        <w:t>45</w:t>
      </w:r>
      <w:r>
        <w:rPr>
          <w:rFonts w:ascii="Verdana" w:hAnsi="Verdana"/>
          <w:sz w:val="20"/>
          <w:szCs w:val="20"/>
        </w:rPr>
        <w:t xml:space="preserve"> Sentencia definitiva pronunciada en el amparo 167–97, el 25 de mayo de 1999.</w:t>
      </w:r>
    </w:p>
    <w:p w:rsidR="00E91355" w:rsidRDefault="00E91355" w:rsidP="00E91355">
      <w:pPr>
        <w:pStyle w:val="NormalWeb"/>
      </w:pPr>
      <w:r>
        <w:rPr>
          <w:rFonts w:ascii="Verdana" w:hAnsi="Verdana"/>
          <w:sz w:val="20"/>
          <w:szCs w:val="20"/>
          <w:vertAlign w:val="superscript"/>
        </w:rPr>
        <w:t>46</w:t>
      </w:r>
      <w:r>
        <w:rPr>
          <w:rFonts w:ascii="Verdana" w:hAnsi="Verdana"/>
          <w:sz w:val="20"/>
          <w:szCs w:val="20"/>
        </w:rPr>
        <w:t xml:space="preserve"> </w:t>
      </w:r>
      <w:r>
        <w:rPr>
          <w:rFonts w:ascii="Verdana" w:hAnsi="Verdana"/>
          <w:i/>
          <w:iCs/>
          <w:sz w:val="20"/>
          <w:szCs w:val="20"/>
        </w:rPr>
        <w:t>Cfr</w:t>
      </w:r>
      <w:r>
        <w:rPr>
          <w:rFonts w:ascii="Verdana" w:hAnsi="Verdana"/>
          <w:sz w:val="20"/>
          <w:szCs w:val="20"/>
        </w:rPr>
        <w:t>. Sentencia definitiva pronunciada en el amparo 431–98, el 25 de febrero de 2000.</w:t>
      </w:r>
    </w:p>
    <w:p w:rsidR="00E91355" w:rsidRDefault="00E91355" w:rsidP="00E91355">
      <w:pPr>
        <w:pStyle w:val="NormalWeb"/>
      </w:pPr>
      <w:r>
        <w:rPr>
          <w:rFonts w:ascii="Verdana" w:hAnsi="Verdana"/>
          <w:sz w:val="20"/>
          <w:szCs w:val="20"/>
          <w:vertAlign w:val="superscript"/>
        </w:rPr>
        <w:t>47</w:t>
      </w:r>
      <w:r>
        <w:rPr>
          <w:rFonts w:ascii="Verdana" w:hAnsi="Verdana"/>
          <w:sz w:val="20"/>
          <w:szCs w:val="20"/>
        </w:rPr>
        <w:t xml:space="preserve"> Es interesante la postura sostenida por ALEXY, en relación con los derechos de protección, especialmente si se contrasta con la postura sostenida por la Sala de lo Constitución respecto al derecho en comento, ya que ésta no incluye dentro del contenido del derecho a la protección aspectos de tipo material, concretamente vinculados con el contenido de la decisión a adoptarse, y, el citado autor, por el contrario, sostiene que la mera tramitación del procedimiento no es suficiente para que se haya una efectiva protección jurídica, sino que es fundamental "que el resultado del procedimiento garantice los derechos materiales del respectivo titular de derechos". En ese sentido, para que se cumplan los presupuestos básicos del contenido del derecho a la protección, la decisión a tomar debe adoptarse conforme al procedimiento, pero además debe ser justa. En virtud de lo anterior, la corrección del procedimiento no siempre conlleva la del resultado, aunque "aumenta la </w:t>
      </w:r>
      <w:r>
        <w:rPr>
          <w:rFonts w:ascii="Verdana" w:hAnsi="Verdana"/>
          <w:i/>
          <w:iCs/>
          <w:sz w:val="20"/>
          <w:szCs w:val="20"/>
        </w:rPr>
        <w:t>probabilidad</w:t>
      </w:r>
      <w:r>
        <w:rPr>
          <w:rFonts w:ascii="Verdana" w:hAnsi="Verdana"/>
          <w:sz w:val="20"/>
          <w:szCs w:val="20"/>
        </w:rPr>
        <w:t xml:space="preserve"> de un resultado conforme al derecho fundamental. Pero, es claro que el simple aumento de la probabilidad de un resultado conforme al derecho fundamental no puede ser nunca una razón para renunciar al examen judicial de la conciliabilidad material de los resultados con las normas iusfundamentales". ALEXY, ROBERT. </w:t>
      </w:r>
      <w:r>
        <w:rPr>
          <w:rFonts w:ascii="Verdana" w:hAnsi="Verdana"/>
          <w:i/>
          <w:iCs/>
          <w:sz w:val="20"/>
          <w:szCs w:val="20"/>
        </w:rPr>
        <w:t>Teoría de los derechos fundamentales</w:t>
      </w:r>
      <w:r>
        <w:rPr>
          <w:rFonts w:ascii="Verdana" w:hAnsi="Verdana"/>
          <w:sz w:val="20"/>
          <w:szCs w:val="20"/>
        </w:rPr>
        <w:t>, Centro de Estudios Constitucionales, Madrid, 1993, pp. 472 y 473.         [ </w:t>
      </w:r>
      <w:hyperlink r:id="rId90"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lastRenderedPageBreak/>
        <w:t>48</w:t>
      </w:r>
      <w:r>
        <w:rPr>
          <w:rFonts w:ascii="Verdana" w:hAnsi="Verdana"/>
          <w:sz w:val="20"/>
          <w:szCs w:val="20"/>
        </w:rPr>
        <w:t xml:space="preserve"> En relación con la incorporación de la congruencia dentro del contenido al derecho a la protección, la Sala de lo Constitucional ha expresado que este derecho comprende, entre otros aspectos, el "obtener una resolución o sentencia debidamente fundamentada en Derecho que ponga fin al proceso. Si bien no implica necesariamente una contestación judicial expresa a todas y cada una de las alegaciones de las partes, sí es importante que exista ajuste entre el fallo y las peticiones de las partes, de manera que dicha decisión sea congruente". Sentencia definitiva pronunciada en el amparo 627–2000, el 7 de mayo de 2002. En relación con la motivación de las resoluciones expuso, que el "derecho a la protección jurisdiccional se manifiesta a través de la garantía de obtener una resolución judicial debidamente motivada". Sentencia definitiva proveída en el amparo 604–2001, el 12 de agosto de 2002.</w:t>
      </w:r>
    </w:p>
    <w:p w:rsidR="00E91355" w:rsidRDefault="00E91355" w:rsidP="00E91355">
      <w:pPr>
        <w:pStyle w:val="NormalWeb"/>
      </w:pPr>
      <w:r>
        <w:rPr>
          <w:rFonts w:ascii="Verdana" w:hAnsi="Verdana"/>
          <w:sz w:val="20"/>
          <w:szCs w:val="20"/>
          <w:vertAlign w:val="superscript"/>
        </w:rPr>
        <w:t>49</w:t>
      </w:r>
      <w:r>
        <w:rPr>
          <w:rFonts w:ascii="Verdana" w:hAnsi="Verdana"/>
          <w:sz w:val="20"/>
          <w:szCs w:val="20"/>
        </w:rPr>
        <w:t xml:space="preserve"> Sentencia definitiva pronunciada en el amparo 380–99, el 12 de febrero de 2001. En igual sentido, entre otras, la sentencia definitiva proveída en el amparo 211–98, el 24 de noviembre de 1999.</w:t>
      </w:r>
    </w:p>
    <w:p w:rsidR="00E91355" w:rsidRDefault="00E91355" w:rsidP="00E91355">
      <w:pPr>
        <w:pStyle w:val="NormalWeb"/>
      </w:pPr>
      <w:r>
        <w:rPr>
          <w:rFonts w:ascii="Verdana" w:hAnsi="Verdana"/>
          <w:sz w:val="20"/>
          <w:szCs w:val="20"/>
          <w:vertAlign w:val="superscript"/>
        </w:rPr>
        <w:t>50</w:t>
      </w:r>
      <w:r>
        <w:rPr>
          <w:rFonts w:ascii="Verdana" w:hAnsi="Verdana"/>
          <w:sz w:val="20"/>
          <w:szCs w:val="20"/>
        </w:rPr>
        <w:t xml:space="preserve"> En la jurisprudencia de 1992 se puede apreciar cómo la Sala de lo Constitucional equipara la garantía de audiencia con debido proceso. Para tal efecto, véase CRIOLLO, JOSÉ ERNESTO y GIAMMATTEI, JORGE ANTONIO. </w:t>
      </w:r>
      <w:r>
        <w:rPr>
          <w:rFonts w:ascii="Verdana" w:hAnsi="Verdana"/>
          <w:i/>
          <w:iCs/>
          <w:sz w:val="20"/>
          <w:szCs w:val="20"/>
        </w:rPr>
        <w:t>Justicia...</w:t>
      </w:r>
      <w:r>
        <w:rPr>
          <w:rFonts w:ascii="Verdana" w:hAnsi="Verdana"/>
          <w:sz w:val="20"/>
          <w:szCs w:val="20"/>
        </w:rPr>
        <w:t xml:space="preserve">, </w:t>
      </w:r>
      <w:r>
        <w:rPr>
          <w:rFonts w:ascii="Verdana" w:hAnsi="Verdana"/>
          <w:i/>
          <w:iCs/>
          <w:sz w:val="20"/>
          <w:szCs w:val="20"/>
        </w:rPr>
        <w:t>cit</w:t>
      </w:r>
      <w:r>
        <w:rPr>
          <w:rFonts w:ascii="Verdana" w:hAnsi="Verdana"/>
          <w:sz w:val="20"/>
          <w:szCs w:val="20"/>
        </w:rPr>
        <w:t>., p. 709.</w:t>
      </w:r>
    </w:p>
    <w:p w:rsidR="00E91355" w:rsidRDefault="00E91355" w:rsidP="00E91355">
      <w:pPr>
        <w:pStyle w:val="NormalWeb"/>
      </w:pPr>
      <w:r>
        <w:rPr>
          <w:rFonts w:ascii="Verdana" w:hAnsi="Verdana"/>
          <w:sz w:val="20"/>
          <w:szCs w:val="20"/>
          <w:vertAlign w:val="superscript"/>
        </w:rPr>
        <w:t>51</w:t>
      </w:r>
      <w:r>
        <w:rPr>
          <w:rFonts w:ascii="Verdana" w:hAnsi="Verdana"/>
          <w:sz w:val="20"/>
          <w:szCs w:val="20"/>
        </w:rPr>
        <w:t xml:space="preserve"> Sentencia definitiva pronunciada en el amparo 150–97, el 13 de octubre de 1998.</w:t>
      </w:r>
    </w:p>
    <w:p w:rsidR="00E91355" w:rsidRDefault="00E91355" w:rsidP="00E91355">
      <w:pPr>
        <w:pStyle w:val="NormalWeb"/>
      </w:pPr>
      <w:r>
        <w:rPr>
          <w:rFonts w:ascii="Verdana" w:hAnsi="Verdana"/>
          <w:sz w:val="20"/>
          <w:szCs w:val="20"/>
          <w:vertAlign w:val="superscript"/>
        </w:rPr>
        <w:t>52</w:t>
      </w:r>
      <w:r>
        <w:rPr>
          <w:rFonts w:ascii="Verdana" w:hAnsi="Verdana"/>
          <w:sz w:val="20"/>
          <w:szCs w:val="20"/>
        </w:rPr>
        <w:t xml:space="preserve"> Sentencia definitiva pronunciada en el amparo 457–97, el 9 de diciembre de 1998.</w:t>
      </w:r>
    </w:p>
    <w:p w:rsidR="00E91355" w:rsidRDefault="00E91355" w:rsidP="00E91355">
      <w:pPr>
        <w:pStyle w:val="NormalWeb"/>
      </w:pPr>
      <w:r>
        <w:rPr>
          <w:rFonts w:ascii="Verdana" w:hAnsi="Verdana"/>
          <w:sz w:val="20"/>
          <w:szCs w:val="20"/>
          <w:vertAlign w:val="superscript"/>
        </w:rPr>
        <w:t>53</w:t>
      </w:r>
      <w:r>
        <w:rPr>
          <w:rFonts w:ascii="Verdana" w:hAnsi="Verdana"/>
          <w:sz w:val="20"/>
          <w:szCs w:val="20"/>
        </w:rPr>
        <w:t xml:space="preserve"> Sobreseimiento pronunciado en el amparo 525–98, el 14 de marzo de 2000. En igual sentido, entre otras, la sentencia definitiva proveída en el amparo 249–99, el 14 de abril de 2000.</w:t>
      </w:r>
    </w:p>
    <w:p w:rsidR="00E91355" w:rsidRDefault="00E91355" w:rsidP="00E91355">
      <w:pPr>
        <w:pStyle w:val="NormalWeb"/>
      </w:pPr>
      <w:r>
        <w:rPr>
          <w:rFonts w:ascii="Verdana" w:hAnsi="Verdana"/>
          <w:sz w:val="20"/>
          <w:szCs w:val="20"/>
          <w:vertAlign w:val="superscript"/>
        </w:rPr>
        <w:t>54</w:t>
      </w:r>
      <w:r>
        <w:rPr>
          <w:rFonts w:ascii="Verdana" w:hAnsi="Verdana"/>
          <w:sz w:val="20"/>
          <w:szCs w:val="20"/>
        </w:rPr>
        <w:t xml:space="preserve"> En la sentencia definitiva pronunciada en el amparo 249–99, antes citada, la Sala de lo Constitucional hace referencia a la necesidad de cumplir este requisito, y además a la posibilidad de deducirlo de la relación de los hechos; al exponer "que el actor en su demanda no ha hecho mención específica de la categoría jurídica subjetiva que considera se le ha transgredido; sin embargo, de la relación de los hechos se concluye que se está refiriendo a lo que este Tribunal ha denominado derecho a la estabilidad laboral, pues manifiesta que se le ha privado de su empleo o cargo, sin haber sido previamente oído y vencido en juicio con arreglo a las leyes".</w:t>
      </w:r>
    </w:p>
    <w:p w:rsidR="00E91355" w:rsidRDefault="00E91355" w:rsidP="00E91355">
      <w:pPr>
        <w:pStyle w:val="NormalWeb"/>
      </w:pPr>
      <w:r>
        <w:rPr>
          <w:rFonts w:ascii="Verdana" w:hAnsi="Verdana"/>
          <w:sz w:val="20"/>
          <w:szCs w:val="20"/>
          <w:vertAlign w:val="superscript"/>
        </w:rPr>
        <w:t>55</w:t>
      </w:r>
      <w:r>
        <w:rPr>
          <w:rFonts w:ascii="Verdana" w:hAnsi="Verdana"/>
          <w:sz w:val="20"/>
          <w:szCs w:val="20"/>
        </w:rPr>
        <w:t xml:space="preserve"> Sobre la violación a la mera tenencia, véanse las sentencias definitivas pronunciadas en los amparos 5–R–95 y 9–R–96, el 20 de mayo de 1997 y el 24 de septiembre de 1997, respectivamente. Sobre la violación a la libertad empresarial, véanse las sentencias definitivas proveídas en los amparos 157–98 y 13–L–95 acumulados 29–G–95 y 4–F–95, el 1o. de septiembre de 1999 y el 31 de julio de 1998, respectivamente. En relación con el derecho a investigar la paternidad, la sentencia definitiva dictada en el amparo 801–99, el 30 de marzo de 2001. Y, finalmente, respecto al derecho a la educación policial, las sentencias definitivas proferidas en los amparos 374–2000 y 376–2000.</w:t>
      </w:r>
    </w:p>
    <w:p w:rsidR="00E91355" w:rsidRDefault="00E91355" w:rsidP="00E91355">
      <w:pPr>
        <w:pStyle w:val="NormalWeb"/>
      </w:pPr>
      <w:r>
        <w:rPr>
          <w:rFonts w:ascii="Verdana" w:hAnsi="Verdana"/>
          <w:sz w:val="20"/>
          <w:szCs w:val="20"/>
          <w:vertAlign w:val="superscript"/>
        </w:rPr>
        <w:t>56</w:t>
      </w:r>
      <w:r>
        <w:rPr>
          <w:rFonts w:ascii="Verdana" w:hAnsi="Verdana"/>
          <w:sz w:val="20"/>
          <w:szCs w:val="20"/>
        </w:rPr>
        <w:t xml:space="preserve"> BILBAO UBILLOS, JUAN MARÍA. "Algunas consideraciones sobre el significado y los límites funcionales del recurso de amparo constitucional", </w:t>
      </w:r>
      <w:r>
        <w:rPr>
          <w:rFonts w:ascii="Verdana" w:hAnsi="Verdana"/>
          <w:i/>
          <w:iCs/>
          <w:sz w:val="20"/>
          <w:szCs w:val="20"/>
        </w:rPr>
        <w:t>Escritos jurídicos en memoria de Luis Mateo Rodríguez</w:t>
      </w:r>
      <w:r>
        <w:rPr>
          <w:rFonts w:ascii="Verdana" w:hAnsi="Verdana"/>
          <w:sz w:val="20"/>
          <w:szCs w:val="20"/>
        </w:rPr>
        <w:t>, Universidad de Cantabria, Facultad de Derecho, Santander, 1993, vol. I, p. 143.         [ </w:t>
      </w:r>
      <w:hyperlink r:id="rId91" w:history="1">
        <w:r>
          <w:rPr>
            <w:rStyle w:val="Hipervnculo"/>
            <w:rFonts w:ascii="Verdana" w:hAnsi="Verdana"/>
            <w:sz w:val="20"/>
            <w:szCs w:val="20"/>
          </w:rPr>
          <w:t>Links</w:t>
        </w:r>
      </w:hyperlink>
      <w:r>
        <w:rPr>
          <w:rFonts w:ascii="Verdana" w:hAnsi="Verdana"/>
          <w:sz w:val="20"/>
          <w:szCs w:val="20"/>
        </w:rPr>
        <w:t> ]</w:t>
      </w:r>
    </w:p>
    <w:p w:rsidR="00E91355" w:rsidRDefault="00E91355" w:rsidP="00E91355">
      <w:pPr>
        <w:pStyle w:val="NormalWeb"/>
      </w:pPr>
      <w:r>
        <w:rPr>
          <w:rFonts w:ascii="Verdana" w:hAnsi="Verdana"/>
          <w:sz w:val="20"/>
          <w:szCs w:val="20"/>
          <w:vertAlign w:val="superscript"/>
        </w:rPr>
        <w:lastRenderedPageBreak/>
        <w:t>57</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JIMÉNEZ CAMPO, JAVIER. citado en </w:t>
      </w:r>
      <w:r>
        <w:rPr>
          <w:rFonts w:ascii="Verdana" w:hAnsi="Verdana"/>
          <w:i/>
          <w:iCs/>
          <w:sz w:val="20"/>
          <w:szCs w:val="20"/>
        </w:rPr>
        <w:t>ibidem</w:t>
      </w:r>
      <w:r>
        <w:rPr>
          <w:rFonts w:ascii="Verdana" w:hAnsi="Verdana"/>
          <w:sz w:val="20"/>
          <w:szCs w:val="20"/>
        </w:rPr>
        <w:t>, p. 143.</w:t>
      </w:r>
    </w:p>
    <w:p w:rsidR="00E91355" w:rsidRDefault="00E91355" w:rsidP="00E91355">
      <w:pPr>
        <w:pStyle w:val="NormalWeb"/>
      </w:pPr>
      <w:r>
        <w:rPr>
          <w:rFonts w:ascii="Verdana" w:hAnsi="Verdana"/>
          <w:sz w:val="20"/>
          <w:szCs w:val="20"/>
          <w:vertAlign w:val="superscript"/>
        </w:rPr>
        <w:t>58</w:t>
      </w:r>
      <w:r>
        <w:rPr>
          <w:rFonts w:ascii="Verdana" w:hAnsi="Verdana"/>
          <w:sz w:val="20"/>
          <w:szCs w:val="20"/>
        </w:rPr>
        <w:t xml:space="preserve"> </w:t>
      </w:r>
      <w:r>
        <w:rPr>
          <w:rFonts w:ascii="Verdana" w:hAnsi="Verdana"/>
          <w:i/>
          <w:iCs/>
          <w:sz w:val="20"/>
          <w:szCs w:val="20"/>
        </w:rPr>
        <w:t>Cfr</w:t>
      </w:r>
      <w:r>
        <w:rPr>
          <w:rFonts w:ascii="Verdana" w:hAnsi="Verdana"/>
          <w:sz w:val="20"/>
          <w:szCs w:val="20"/>
        </w:rPr>
        <w:t xml:space="preserve">. Sentencia definitiva pronunciada en el amparo 458–98, el 15 de junio de 1999. Señala DÍEZ–PICAZO que los derechos fundamentales de configuración legal son aquéllos "cuyo concreto contenido no puede ser perfectamente determinado sin hacer referencia a la correspondiente legislación de desarrollo". Agrega, además, que tales derechos "no son tales frente al legislador, que es libre de modificar el referido desarrollo legal siempre que respete los límites fijados en el artículo 53.1 CE". DÍEZ–PICAZO, LUIS MARÍA. "Dificultades prácticas...", </w:t>
      </w:r>
      <w:r>
        <w:rPr>
          <w:rFonts w:ascii="Verdana" w:hAnsi="Verdana"/>
          <w:i/>
          <w:iCs/>
          <w:sz w:val="20"/>
          <w:szCs w:val="20"/>
        </w:rPr>
        <w:t>cit</w:t>
      </w:r>
      <w:r>
        <w:rPr>
          <w:rFonts w:ascii="Verdana" w:hAnsi="Verdana"/>
          <w:sz w:val="20"/>
          <w:szCs w:val="20"/>
        </w:rPr>
        <w:t xml:space="preserve">., pp. 20 y 21. Sobre los derechos de configuración legal, véase, también, REQUEJO PAGÉS, JUAN LUIS. "Derechos de configuración legal", en ARAGÓN REYES, MANUEL </w:t>
      </w:r>
      <w:r>
        <w:rPr>
          <w:rFonts w:ascii="Verdana" w:hAnsi="Verdana"/>
          <w:i/>
          <w:iCs/>
          <w:sz w:val="20"/>
          <w:szCs w:val="20"/>
        </w:rPr>
        <w:t>ET AL</w:t>
      </w:r>
      <w:r>
        <w:rPr>
          <w:rFonts w:ascii="Verdana" w:hAnsi="Verdana"/>
          <w:sz w:val="20"/>
          <w:szCs w:val="20"/>
        </w:rPr>
        <w:t xml:space="preserve">. </w:t>
      </w:r>
      <w:r>
        <w:rPr>
          <w:rFonts w:ascii="Verdana" w:hAnsi="Verdana"/>
          <w:i/>
          <w:iCs/>
          <w:sz w:val="20"/>
          <w:szCs w:val="20"/>
        </w:rPr>
        <w:t>Temas básicos de derecho constitucional</w:t>
      </w:r>
      <w:r>
        <w:rPr>
          <w:rFonts w:ascii="Verdana" w:hAnsi="Verdana"/>
          <w:sz w:val="20"/>
          <w:szCs w:val="20"/>
        </w:rPr>
        <w:t xml:space="preserve">, Civitas, Madrid, 2001, vol. III, pp. 134–136; GÓMEZ AMIGO, LUIS. </w:t>
      </w:r>
      <w:r>
        <w:rPr>
          <w:rFonts w:ascii="Verdana" w:hAnsi="Verdana"/>
          <w:i/>
          <w:iCs/>
          <w:sz w:val="20"/>
          <w:szCs w:val="20"/>
        </w:rPr>
        <w:t>La sentencia estimatoria...</w:t>
      </w:r>
      <w:r>
        <w:rPr>
          <w:rFonts w:ascii="Verdana" w:hAnsi="Verdana"/>
          <w:sz w:val="20"/>
          <w:szCs w:val="20"/>
        </w:rPr>
        <w:t xml:space="preserve">, </w:t>
      </w:r>
      <w:r>
        <w:rPr>
          <w:rFonts w:ascii="Verdana" w:hAnsi="Verdana"/>
          <w:i/>
          <w:iCs/>
          <w:sz w:val="20"/>
          <w:szCs w:val="20"/>
        </w:rPr>
        <w:t>cit</w:t>
      </w:r>
      <w:r>
        <w:rPr>
          <w:rFonts w:ascii="Verdana" w:hAnsi="Verdana"/>
          <w:sz w:val="20"/>
          <w:szCs w:val="20"/>
        </w:rPr>
        <w:t xml:space="preserve">., pp. 40 y 41, y CASCAJO CASTRO, JOSÉ LUIS. "Los derechos invocables...", </w:t>
      </w:r>
      <w:r>
        <w:rPr>
          <w:rFonts w:ascii="Verdana" w:hAnsi="Verdana"/>
          <w:i/>
          <w:iCs/>
          <w:sz w:val="20"/>
          <w:szCs w:val="20"/>
        </w:rPr>
        <w:t>cit</w:t>
      </w:r>
      <w:r>
        <w:rPr>
          <w:rFonts w:ascii="Verdana" w:hAnsi="Verdana"/>
          <w:sz w:val="20"/>
          <w:szCs w:val="20"/>
        </w:rPr>
        <w:t xml:space="preserve">., p. 309, o, también, CASCAJO CASTRO, JOSÉ LUIS, "Los derechos invocables...", en GARCÍA HERRERA, MIGUEL ÁNGEL (coord.), </w:t>
      </w:r>
      <w:r>
        <w:rPr>
          <w:rFonts w:ascii="Verdana" w:hAnsi="Verdana"/>
          <w:i/>
          <w:iCs/>
          <w:sz w:val="20"/>
          <w:szCs w:val="20"/>
        </w:rPr>
        <w:t>cit</w:t>
      </w:r>
      <w:r>
        <w:rPr>
          <w:rFonts w:ascii="Verdana" w:hAnsi="Verdana"/>
          <w:sz w:val="20"/>
          <w:szCs w:val="20"/>
        </w:rPr>
        <w:t>., p. 61.</w:t>
      </w:r>
    </w:p>
    <w:p w:rsidR="00E91355" w:rsidRDefault="00E91355" w:rsidP="00E91355">
      <w:pPr>
        <w:pStyle w:val="NormalWeb"/>
      </w:pPr>
      <w:r>
        <w:rPr>
          <w:rFonts w:ascii="Verdana" w:hAnsi="Verdana"/>
          <w:sz w:val="20"/>
          <w:szCs w:val="20"/>
          <w:vertAlign w:val="superscript"/>
        </w:rPr>
        <w:t>59</w:t>
      </w:r>
      <w:r>
        <w:rPr>
          <w:rFonts w:ascii="Verdana" w:hAnsi="Verdana"/>
          <w:sz w:val="20"/>
          <w:szCs w:val="20"/>
        </w:rPr>
        <w:t xml:space="preserve"> Sentencia definitiva pronunciada en el amparo 194–99, el 9 de mayo de 2000. En igual sentido, entre otras, la sentencia definitiva proveída en el amparo 238–99, el 1o. de junio de 2000.</w:t>
      </w:r>
    </w:p>
    <w:p w:rsidR="00E91355" w:rsidRDefault="00E91355" w:rsidP="00E91355">
      <w:pPr>
        <w:pStyle w:val="NormalWeb"/>
      </w:pPr>
      <w:r>
        <w:rPr>
          <w:rFonts w:ascii="Verdana" w:hAnsi="Verdana"/>
          <w:sz w:val="20"/>
          <w:szCs w:val="20"/>
          <w:vertAlign w:val="superscript"/>
        </w:rPr>
        <w:t>60</w:t>
      </w:r>
      <w:r>
        <w:rPr>
          <w:rFonts w:ascii="Verdana" w:hAnsi="Verdana"/>
          <w:sz w:val="20"/>
          <w:szCs w:val="20"/>
        </w:rPr>
        <w:t xml:space="preserve"> Sentencia definitiva pronunciada en el amparo 194–99, el 9 de mayo de 2000.</w:t>
      </w:r>
    </w:p>
    <w:p w:rsidR="00E91355" w:rsidRDefault="00E91355" w:rsidP="00E91355">
      <w:pPr>
        <w:pStyle w:val="NormalWeb"/>
      </w:pPr>
      <w:r>
        <w:rPr>
          <w:rFonts w:ascii="Verdana" w:hAnsi="Verdana"/>
          <w:sz w:val="20"/>
          <w:szCs w:val="20"/>
        </w:rPr>
        <w:t> </w:t>
      </w:r>
    </w:p>
    <w:p w:rsidR="00E91355" w:rsidRDefault="00E91355" w:rsidP="00E91355">
      <w:pPr>
        <w:pStyle w:val="NormalWeb"/>
      </w:pPr>
      <w:r>
        <w:rPr>
          <w:rFonts w:ascii="Verdana" w:hAnsi="Verdana"/>
          <w:b/>
          <w:bCs/>
          <w:sz w:val="20"/>
          <w:szCs w:val="20"/>
        </w:rPr>
        <w:t>Información sobre el autor</w:t>
      </w:r>
    </w:p>
    <w:p w:rsidR="00E91355" w:rsidRDefault="00E91355" w:rsidP="00E91355">
      <w:pPr>
        <w:pStyle w:val="NormalWeb"/>
      </w:pPr>
      <w:r>
        <w:rPr>
          <w:rFonts w:ascii="Verdana" w:hAnsi="Verdana"/>
          <w:b/>
          <w:bCs/>
          <w:sz w:val="20"/>
          <w:szCs w:val="20"/>
        </w:rPr>
        <w:t>Manuel Montecino Giralt</w:t>
      </w:r>
    </w:p>
    <w:p w:rsidR="00E91355" w:rsidRDefault="00E91355" w:rsidP="00E91355">
      <w:pPr>
        <w:pStyle w:val="NormalWeb"/>
      </w:pPr>
      <w:r>
        <w:rPr>
          <w:rFonts w:ascii="Verdana" w:hAnsi="Verdana"/>
          <w:sz w:val="20"/>
          <w:szCs w:val="20"/>
        </w:rPr>
        <w:t>Especialista en ciencia jurídica y derecho constitucional por el Centro de Estudios Políticos y Constitucionales de Madrid; doctor en derecho por la UNED. Actualmente dirige el área de Asuntos Jurídicos del Ministerio de Relaciones Exteriores y coordina la maestría en derecho penal constitucional.</w:t>
      </w:r>
    </w:p>
    <w:p w:rsidR="007F7C66" w:rsidRDefault="007F7C66"/>
    <w:sectPr w:rsidR="007F7C66" w:rsidSect="007F7C6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1355"/>
    <w:rsid w:val="007F7C66"/>
    <w:rsid w:val="00E9135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C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135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E91355"/>
    <w:rPr>
      <w:color w:val="0000FF"/>
      <w:u w:val="single"/>
    </w:rPr>
  </w:style>
</w:styles>
</file>

<file path=word/webSettings.xml><?xml version="1.0" encoding="utf-8"?>
<w:webSettings xmlns:r="http://schemas.openxmlformats.org/officeDocument/2006/relationships" xmlns:w="http://schemas.openxmlformats.org/wordprocessingml/2006/main">
  <w:divs>
    <w:div w:id="1957129626">
      <w:bodyDiv w:val="1"/>
      <w:marLeft w:val="0"/>
      <w:marRight w:val="0"/>
      <w:marTop w:val="0"/>
      <w:marBottom w:val="0"/>
      <w:divBdr>
        <w:top w:val="none" w:sz="0" w:space="0" w:color="auto"/>
        <w:left w:val="none" w:sz="0" w:space="0" w:color="auto"/>
        <w:bottom w:val="none" w:sz="0" w:space="0" w:color="auto"/>
        <w:right w:val="none" w:sz="0" w:space="0" w:color="auto"/>
      </w:divBdr>
      <w:divsChild>
        <w:div w:id="1601063130">
          <w:marLeft w:val="0"/>
          <w:marRight w:val="0"/>
          <w:marTop w:val="0"/>
          <w:marBottom w:val="0"/>
          <w:divBdr>
            <w:top w:val="none" w:sz="0" w:space="0" w:color="auto"/>
            <w:left w:val="none" w:sz="0" w:space="0" w:color="auto"/>
            <w:bottom w:val="none" w:sz="0" w:space="0" w:color="auto"/>
            <w:right w:val="none" w:sz="0" w:space="0" w:color="auto"/>
          </w:divBdr>
          <w:divsChild>
            <w:div w:id="103095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62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91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75439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61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38233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mx/scielo.php?script=sci_arttext&amp;pid=S1870-21472011000100007&amp;lng=pt&amp;nrm=iso" TargetMode="External"/><Relationship Id="rId18" Type="http://schemas.openxmlformats.org/officeDocument/2006/relationships/hyperlink" Target="http://www.scielo.org.mx/scielo.php?script=sci_arttext&amp;pid=S1870-21472011000100007&amp;lng=pt&amp;nrm=iso" TargetMode="External"/><Relationship Id="rId26" Type="http://schemas.openxmlformats.org/officeDocument/2006/relationships/hyperlink" Target="http://www.scielo.org.mx/scielo.php?script=sci_arttext&amp;pid=S1870-21472011000100007&amp;lng=pt&amp;nrm=iso" TargetMode="External"/><Relationship Id="rId39" Type="http://schemas.openxmlformats.org/officeDocument/2006/relationships/hyperlink" Target="http://www.scielo.org.mx/scielo.php?script=sci_arttext&amp;pid=S1870-21472011000100007&amp;lng=pt&amp;nrm=iso" TargetMode="External"/><Relationship Id="rId21" Type="http://schemas.openxmlformats.org/officeDocument/2006/relationships/hyperlink" Target="http://www.scielo.org.mx/scielo.php?script=sci_arttext&amp;pid=S1870-21472011000100007&amp;lng=pt&amp;nrm=iso" TargetMode="External"/><Relationship Id="rId34" Type="http://schemas.openxmlformats.org/officeDocument/2006/relationships/hyperlink" Target="http://www.scielo.org.mx/scielo.php?script=sci_arttext&amp;pid=S1870-21472011000100007&amp;lng=pt&amp;nrm=iso" TargetMode="External"/><Relationship Id="rId42" Type="http://schemas.openxmlformats.org/officeDocument/2006/relationships/hyperlink" Target="http://www.scielo.org.mx/scielo.php?script=sci_arttext&amp;pid=S1870-21472011000100007&amp;lng=pt&amp;nrm=iso" TargetMode="External"/><Relationship Id="rId47" Type="http://schemas.openxmlformats.org/officeDocument/2006/relationships/hyperlink" Target="http://www.scielo.org.mx/scielo.php?script=sci_arttext&amp;pid=S1870-21472011000100007&amp;lng=pt&amp;nrm=iso" TargetMode="External"/><Relationship Id="rId50" Type="http://schemas.openxmlformats.org/officeDocument/2006/relationships/hyperlink" Target="http://www.scielo.org.mx/scielo.php?script=sci_arttext&amp;pid=S1870-21472011000100007&amp;lng=pt&amp;nrm=iso" TargetMode="External"/><Relationship Id="rId55" Type="http://schemas.openxmlformats.org/officeDocument/2006/relationships/hyperlink" Target="http://www.scielo.org.mx/scielo.php?script=sci_arttext&amp;pid=S1870-21472011000100007&amp;lng=pt&amp;nrm=iso" TargetMode="External"/><Relationship Id="rId63" Type="http://schemas.openxmlformats.org/officeDocument/2006/relationships/hyperlink" Target="http://www.scielo.org.mx/scielo.php?script=sci_arttext&amp;pid=S1870-21472011000100007&amp;lng=pt&amp;nrm=iso" TargetMode="External"/><Relationship Id="rId68" Type="http://schemas.openxmlformats.org/officeDocument/2006/relationships/hyperlink" Target="javascript:void(0);" TargetMode="External"/><Relationship Id="rId76" Type="http://schemas.openxmlformats.org/officeDocument/2006/relationships/hyperlink" Target="javascript:void(0);"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7" Type="http://schemas.openxmlformats.org/officeDocument/2006/relationships/hyperlink" Target="http://www.scielo.org.mx/scielo.php?script=sci_arttext&amp;pid=S1870-21472011000100007&amp;lng=pt&amp;nrm=iso" TargetMode="External"/><Relationship Id="rId71" Type="http://schemas.openxmlformats.org/officeDocument/2006/relationships/hyperlink" Target="javascript:void(0);"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cielo.org.mx/scielo.php?script=sci_arttext&amp;pid=S1870-21472011000100007&amp;lng=pt&amp;nrm=iso" TargetMode="External"/><Relationship Id="rId29" Type="http://schemas.openxmlformats.org/officeDocument/2006/relationships/hyperlink" Target="http://www.scielo.org.mx/scielo.php?script=sci_arttext&amp;pid=S1870-21472011000100007&amp;lng=pt&amp;nrm=iso" TargetMode="External"/><Relationship Id="rId11" Type="http://schemas.openxmlformats.org/officeDocument/2006/relationships/hyperlink" Target="http://www.scielo.org.mx/scielo.php?script=sci_arttext&amp;pid=S1870-21472011000100007&amp;lng=pt&amp;nrm=iso" TargetMode="External"/><Relationship Id="rId24" Type="http://schemas.openxmlformats.org/officeDocument/2006/relationships/hyperlink" Target="http://www.scielo.org.mx/scielo.php?script=sci_arttext&amp;pid=S1870-21472011000100007&amp;lng=pt&amp;nrm=iso" TargetMode="External"/><Relationship Id="rId32" Type="http://schemas.openxmlformats.org/officeDocument/2006/relationships/hyperlink" Target="http://www.scielo.org.mx/scielo.php?script=sci_arttext&amp;pid=S1870-21472011000100007&amp;lng=pt&amp;nrm=iso" TargetMode="External"/><Relationship Id="rId37" Type="http://schemas.openxmlformats.org/officeDocument/2006/relationships/hyperlink" Target="http://www.scielo.org.mx/scielo.php?script=sci_arttext&amp;pid=S1870-21472011000100007&amp;lng=pt&amp;nrm=iso" TargetMode="External"/><Relationship Id="rId40" Type="http://schemas.openxmlformats.org/officeDocument/2006/relationships/hyperlink" Target="http://www.scielo.org.mx/scielo.php?script=sci_arttext&amp;pid=S1870-21472011000100007&amp;lng=pt&amp;nrm=iso" TargetMode="External"/><Relationship Id="rId45" Type="http://schemas.openxmlformats.org/officeDocument/2006/relationships/hyperlink" Target="http://www.scielo.org.mx/scielo.php?script=sci_arttext&amp;pid=S1870-21472011000100007&amp;lng=pt&amp;nrm=iso" TargetMode="External"/><Relationship Id="rId53" Type="http://schemas.openxmlformats.org/officeDocument/2006/relationships/hyperlink" Target="http://www.scielo.org.mx/scielo.php?script=sci_arttext&amp;pid=S1870-21472011000100007&amp;lng=pt&amp;nrm=iso" TargetMode="External"/><Relationship Id="rId58" Type="http://schemas.openxmlformats.org/officeDocument/2006/relationships/hyperlink" Target="http://www.scielo.org.mx/scielo.php?script=sci_arttext&amp;pid=S1870-21472011000100007&amp;lng=pt&amp;nrm=iso"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87" Type="http://schemas.openxmlformats.org/officeDocument/2006/relationships/hyperlink" Target="javascript:void(0);" TargetMode="External"/><Relationship Id="rId5" Type="http://schemas.openxmlformats.org/officeDocument/2006/relationships/hyperlink" Target="http://www.scielo.org.mx/scielo.php?script=sci_arttext&amp;pid=S1870-21472011000100007&amp;lng=pt&amp;nrm=iso" TargetMode="External"/><Relationship Id="rId61" Type="http://schemas.openxmlformats.org/officeDocument/2006/relationships/hyperlink" Target="http://www.scielo.org.mx/scielo.php?script=sci_arttext&amp;pid=S1870-21472011000100007&amp;lng=pt&amp;nrm=iso" TargetMode="External"/><Relationship Id="rId82" Type="http://schemas.openxmlformats.org/officeDocument/2006/relationships/hyperlink" Target="javascript:void(0);" TargetMode="External"/><Relationship Id="rId90" Type="http://schemas.openxmlformats.org/officeDocument/2006/relationships/hyperlink" Target="javascript:void(0);" TargetMode="External"/><Relationship Id="rId19" Type="http://schemas.openxmlformats.org/officeDocument/2006/relationships/hyperlink" Target="http://www.scielo.org.mx/scielo.php?script=sci_arttext&amp;pid=S1870-21472011000100007&amp;lng=pt&amp;nrm=iso" TargetMode="External"/><Relationship Id="rId14" Type="http://schemas.openxmlformats.org/officeDocument/2006/relationships/hyperlink" Target="http://www.scielo.org.mx/scielo.php?script=sci_arttext&amp;pid=S1870-21472011000100007&amp;lng=pt&amp;nrm=iso" TargetMode="External"/><Relationship Id="rId22" Type="http://schemas.openxmlformats.org/officeDocument/2006/relationships/hyperlink" Target="http://www.scielo.org.mx/scielo.php?script=sci_arttext&amp;pid=S1870-21472011000100007&amp;lng=pt&amp;nrm=iso" TargetMode="External"/><Relationship Id="rId27" Type="http://schemas.openxmlformats.org/officeDocument/2006/relationships/hyperlink" Target="http://www.scielo.org.mx/scielo.php?script=sci_arttext&amp;pid=S1870-21472011000100007&amp;lng=pt&amp;nrm=iso" TargetMode="External"/><Relationship Id="rId30" Type="http://schemas.openxmlformats.org/officeDocument/2006/relationships/hyperlink" Target="http://www.scielo.org.mx/scielo.php?script=sci_arttext&amp;pid=S1870-21472011000100007&amp;lng=pt&amp;nrm=iso" TargetMode="External"/><Relationship Id="rId35" Type="http://schemas.openxmlformats.org/officeDocument/2006/relationships/hyperlink" Target="http://www.scielo.org.mx/scielo.php?script=sci_arttext&amp;pid=S1870-21472011000100007&amp;lng=pt&amp;nrm=iso" TargetMode="External"/><Relationship Id="rId43" Type="http://schemas.openxmlformats.org/officeDocument/2006/relationships/hyperlink" Target="http://www.scielo.org.mx/scielo.php?script=sci_arttext&amp;pid=S1870-21472011000100007&amp;lng=pt&amp;nrm=iso" TargetMode="External"/><Relationship Id="rId48" Type="http://schemas.openxmlformats.org/officeDocument/2006/relationships/hyperlink" Target="http://www.scielo.org.mx/scielo.php?script=sci_arttext&amp;pid=S1870-21472011000100007&amp;lng=pt&amp;nrm=iso" TargetMode="External"/><Relationship Id="rId56" Type="http://schemas.openxmlformats.org/officeDocument/2006/relationships/hyperlink" Target="http://www.scielo.org.mx/scielo.php?script=sci_arttext&amp;pid=S1870-21472011000100007&amp;lng=pt&amp;nrm=iso" TargetMode="External"/><Relationship Id="rId64" Type="http://schemas.openxmlformats.org/officeDocument/2006/relationships/hyperlink" Target="http://www.scielo.org.mx/scielo.php?script=sci_arttext&amp;pid=S1870-21472011000100007&amp;lng=pt&amp;nrm=iso" TargetMode="External"/><Relationship Id="rId69" Type="http://schemas.openxmlformats.org/officeDocument/2006/relationships/hyperlink" Target="javascript:void(0);" TargetMode="External"/><Relationship Id="rId77" Type="http://schemas.openxmlformats.org/officeDocument/2006/relationships/hyperlink" Target="javascript:void(0);" TargetMode="External"/><Relationship Id="rId8" Type="http://schemas.openxmlformats.org/officeDocument/2006/relationships/hyperlink" Target="http://www.scielo.org.mx/scielo.php?script=sci_arttext&amp;pid=S1870-21472011000100007&amp;lng=pt&amp;nrm=iso" TargetMode="External"/><Relationship Id="rId51" Type="http://schemas.openxmlformats.org/officeDocument/2006/relationships/hyperlink" Target="http://www.scielo.org.mx/scielo.php?script=sci_arttext&amp;pid=S1870-21472011000100007&amp;lng=pt&amp;nrm=iso" TargetMode="Externa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scielo.org.mx/scielo.php?script=sci_arttext&amp;pid=S1870-21472011000100007&amp;lng=pt&amp;nrm=iso" TargetMode="External"/><Relationship Id="rId17" Type="http://schemas.openxmlformats.org/officeDocument/2006/relationships/hyperlink" Target="http://www.scielo.org.mx/scielo.php?script=sci_arttext&amp;pid=S1870-21472011000100007&amp;lng=pt&amp;nrm=iso" TargetMode="External"/><Relationship Id="rId25" Type="http://schemas.openxmlformats.org/officeDocument/2006/relationships/hyperlink" Target="http://www.scielo.org.mx/scielo.php?script=sci_arttext&amp;pid=S1870-21472011000100007&amp;lng=pt&amp;nrm=iso" TargetMode="External"/><Relationship Id="rId33" Type="http://schemas.openxmlformats.org/officeDocument/2006/relationships/hyperlink" Target="http://www.scielo.org.mx/scielo.php?script=sci_arttext&amp;pid=S1870-21472011000100007&amp;lng=pt&amp;nrm=iso" TargetMode="External"/><Relationship Id="rId38" Type="http://schemas.openxmlformats.org/officeDocument/2006/relationships/hyperlink" Target="http://www.scielo.org.mx/scielo.php?script=sci_arttext&amp;pid=S1870-21472011000100007&amp;lng=pt&amp;nrm=iso" TargetMode="External"/><Relationship Id="rId46" Type="http://schemas.openxmlformats.org/officeDocument/2006/relationships/hyperlink" Target="http://www.scielo.org.mx/scielo.php?script=sci_arttext&amp;pid=S1870-21472011000100007&amp;lng=pt&amp;nrm=iso" TargetMode="External"/><Relationship Id="rId59" Type="http://schemas.openxmlformats.org/officeDocument/2006/relationships/hyperlink" Target="http://www.scielo.org.mx/scielo.php?script=sci_arttext&amp;pid=S1870-21472011000100007&amp;lng=pt&amp;nrm=iso" TargetMode="External"/><Relationship Id="rId67" Type="http://schemas.openxmlformats.org/officeDocument/2006/relationships/hyperlink" Target="javascript:void(0);" TargetMode="External"/><Relationship Id="rId20" Type="http://schemas.openxmlformats.org/officeDocument/2006/relationships/hyperlink" Target="http://www.scielo.org.mx/scielo.php?script=sci_arttext&amp;pid=S1870-21472011000100007&amp;lng=pt&amp;nrm=iso" TargetMode="External"/><Relationship Id="rId41" Type="http://schemas.openxmlformats.org/officeDocument/2006/relationships/hyperlink" Target="http://www.scielo.org.mx/scielo.php?script=sci_arttext&amp;pid=S1870-21472011000100007&amp;lng=pt&amp;nrm=iso" TargetMode="External"/><Relationship Id="rId54" Type="http://schemas.openxmlformats.org/officeDocument/2006/relationships/hyperlink" Target="http://www.scielo.org.mx/scielo.php?script=sci_arttext&amp;pid=S1870-21472011000100007&amp;lng=pt&amp;nrm=iso" TargetMode="External"/><Relationship Id="rId62" Type="http://schemas.openxmlformats.org/officeDocument/2006/relationships/hyperlink" Target="http://www.scielo.org.mx/scielo.php?script=sci_arttext&amp;pid=S1870-21472011000100007&amp;lng=pt&amp;nrm=iso"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9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www.scielo.org.mx/scielo.php?script=sci_arttext&amp;pid=S1870-21472011000100007&amp;lng=pt&amp;nrm=iso" TargetMode="External"/><Relationship Id="rId15" Type="http://schemas.openxmlformats.org/officeDocument/2006/relationships/hyperlink" Target="http://www.scielo.org.mx/scielo.php?script=sci_arttext&amp;pid=S1870-21472011000100007&amp;lng=pt&amp;nrm=iso" TargetMode="External"/><Relationship Id="rId23" Type="http://schemas.openxmlformats.org/officeDocument/2006/relationships/hyperlink" Target="http://www.scielo.org.mx/scielo.php?script=sci_arttext&amp;pid=S1870-21472011000100007&amp;lng=pt&amp;nrm=iso" TargetMode="External"/><Relationship Id="rId28" Type="http://schemas.openxmlformats.org/officeDocument/2006/relationships/hyperlink" Target="http://www.scielo.org.mx/scielo.php?script=sci_arttext&amp;pid=S1870-21472011000100007&amp;lng=pt&amp;nrm=iso" TargetMode="External"/><Relationship Id="rId36" Type="http://schemas.openxmlformats.org/officeDocument/2006/relationships/hyperlink" Target="http://www.scielo.org.mx/scielo.php?script=sci_arttext&amp;pid=S1870-21472011000100007&amp;lng=pt&amp;nrm=iso" TargetMode="External"/><Relationship Id="rId49" Type="http://schemas.openxmlformats.org/officeDocument/2006/relationships/hyperlink" Target="http://www.scielo.org.mx/scielo.php?script=sci_arttext&amp;pid=S1870-21472011000100007&amp;lng=pt&amp;nrm=iso" TargetMode="External"/><Relationship Id="rId57" Type="http://schemas.openxmlformats.org/officeDocument/2006/relationships/hyperlink" Target="http://www.scielo.org.mx/scielo.php?script=sci_arttext&amp;pid=S1870-21472011000100007&amp;lng=pt&amp;nrm=iso" TargetMode="External"/><Relationship Id="rId10" Type="http://schemas.openxmlformats.org/officeDocument/2006/relationships/hyperlink" Target="http://www.scielo.org.mx/scielo.php?script=sci_arttext&amp;pid=S1870-21472011000100007&amp;lng=pt&amp;nrm=iso" TargetMode="External"/><Relationship Id="rId31" Type="http://schemas.openxmlformats.org/officeDocument/2006/relationships/hyperlink" Target="http://www.scielo.org.mx/scielo.php?script=sci_arttext&amp;pid=S1870-21472011000100007&amp;lng=pt&amp;nrm=iso" TargetMode="External"/><Relationship Id="rId44" Type="http://schemas.openxmlformats.org/officeDocument/2006/relationships/hyperlink" Target="http://www.scielo.org.mx/scielo.php?script=sci_arttext&amp;pid=S1870-21472011000100007&amp;lng=pt&amp;nrm=iso" TargetMode="External"/><Relationship Id="rId52" Type="http://schemas.openxmlformats.org/officeDocument/2006/relationships/hyperlink" Target="http://www.scielo.org.mx/scielo.php?script=sci_arttext&amp;pid=S1870-21472011000100007&amp;lng=pt&amp;nrm=iso" TargetMode="External"/><Relationship Id="rId60" Type="http://schemas.openxmlformats.org/officeDocument/2006/relationships/hyperlink" Target="http://www.scielo.org.mx/scielo.php?script=sci_arttext&amp;pid=S1870-21472011000100007&amp;lng=pt&amp;nrm=iso"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4" Type="http://schemas.openxmlformats.org/officeDocument/2006/relationships/hyperlink" Target="mailto:meme_montecino@hotmail.com" TargetMode="External"/><Relationship Id="rId9" Type="http://schemas.openxmlformats.org/officeDocument/2006/relationships/hyperlink" Target="http://www.scielo.org.mx/scielo.php?script=sci_arttext&amp;pid=S1870-21472011000100007&amp;lng=pt&amp;nrm=i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10620</Words>
  <Characters>58411</Characters>
  <Application>Microsoft Office Word</Application>
  <DocSecurity>0</DocSecurity>
  <Lines>486</Lines>
  <Paragraphs>137</Paragraphs>
  <ScaleCrop>false</ScaleCrop>
  <Company/>
  <LinksUpToDate>false</LinksUpToDate>
  <CharactersWithSpaces>68894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Genesis</cp:lastModifiedBy>
  <cp:revision>1</cp:revision>
  <dcterms:created xsi:type="dcterms:W3CDTF">2011-10-26T14:04:00Z</dcterms:created>
  <dcterms:modified xsi:type="dcterms:W3CDTF">2011-10-26T14:04:00Z</dcterms:modified>
</cp:coreProperties>
</file>