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DCF" w:rsidRPr="00283DCF" w:rsidRDefault="00283DCF" w:rsidP="00283DC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83DCF">
        <w:rPr>
          <w:rFonts w:ascii="Times New Roman" w:eastAsia="Times New Roman" w:hAnsi="Times New Roman" w:cs="Times New Roman"/>
          <w:b/>
          <w:bCs/>
          <w:kern w:val="36"/>
          <w:sz w:val="48"/>
          <w:szCs w:val="48"/>
          <w:lang w:eastAsia="es-ES"/>
        </w:rPr>
        <w:t>Arrendamiento financiero</w:t>
      </w:r>
    </w:p>
    <w:p w:rsidR="00283DCF" w:rsidRPr="00283DCF" w:rsidRDefault="00283DCF" w:rsidP="00283DCF">
      <w:pPr>
        <w:spacing w:after="0"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Saltar a: </w:t>
      </w:r>
      <w:hyperlink r:id="rId6" w:anchor="mw-navigation" w:history="1">
        <w:r w:rsidRPr="00283DCF">
          <w:rPr>
            <w:rFonts w:ascii="Times New Roman" w:eastAsia="Times New Roman" w:hAnsi="Times New Roman" w:cs="Times New Roman"/>
            <w:color w:val="0000FF"/>
            <w:sz w:val="24"/>
            <w:szCs w:val="24"/>
            <w:u w:val="single"/>
            <w:lang w:eastAsia="es-ES"/>
          </w:rPr>
          <w:t>navegación</w:t>
        </w:r>
      </w:hyperlink>
      <w:r w:rsidRPr="00283DCF">
        <w:rPr>
          <w:rFonts w:ascii="Times New Roman" w:eastAsia="Times New Roman" w:hAnsi="Times New Roman" w:cs="Times New Roman"/>
          <w:sz w:val="24"/>
          <w:szCs w:val="24"/>
          <w:lang w:eastAsia="es-ES"/>
        </w:rPr>
        <w:t xml:space="preserve">, </w:t>
      </w:r>
      <w:hyperlink r:id="rId7" w:anchor="p-search" w:history="1">
        <w:r w:rsidRPr="00283DCF">
          <w:rPr>
            <w:rFonts w:ascii="Times New Roman" w:eastAsia="Times New Roman" w:hAnsi="Times New Roman" w:cs="Times New Roman"/>
            <w:color w:val="0000FF"/>
            <w:sz w:val="24"/>
            <w:szCs w:val="24"/>
            <w:u w:val="single"/>
            <w:lang w:eastAsia="es-ES"/>
          </w:rPr>
          <w:t>búsqueda</w:t>
        </w:r>
      </w:hyperlink>
      <w:r w:rsidRPr="00283DCF">
        <w:rPr>
          <w:rFonts w:ascii="Times New Roman" w:eastAsia="Times New Roman" w:hAnsi="Times New Roman" w:cs="Times New Roman"/>
          <w:sz w:val="24"/>
          <w:szCs w:val="24"/>
          <w:lang w:eastAsia="es-ES"/>
        </w:rPr>
        <w:t xml:space="preserve"> </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El </w:t>
      </w:r>
      <w:r w:rsidRPr="00283DCF">
        <w:rPr>
          <w:rFonts w:ascii="Times New Roman" w:eastAsia="Times New Roman" w:hAnsi="Times New Roman" w:cs="Times New Roman"/>
          <w:b/>
          <w:bCs/>
          <w:sz w:val="24"/>
          <w:szCs w:val="24"/>
          <w:lang w:eastAsia="es-ES"/>
        </w:rPr>
        <w:t>arrendamiento financiero</w:t>
      </w:r>
      <w:r w:rsidRPr="00283DCF">
        <w:rPr>
          <w:rFonts w:ascii="Times New Roman" w:eastAsia="Times New Roman" w:hAnsi="Times New Roman" w:cs="Times New Roman"/>
          <w:sz w:val="24"/>
          <w:szCs w:val="24"/>
          <w:lang w:eastAsia="es-ES"/>
        </w:rPr>
        <w:t xml:space="preserve"> o </w:t>
      </w:r>
      <w:r w:rsidRPr="00283DCF">
        <w:rPr>
          <w:rFonts w:ascii="Times New Roman" w:eastAsia="Times New Roman" w:hAnsi="Times New Roman" w:cs="Times New Roman"/>
          <w:b/>
          <w:bCs/>
          <w:sz w:val="24"/>
          <w:szCs w:val="24"/>
          <w:lang w:eastAsia="es-ES"/>
        </w:rPr>
        <w:t xml:space="preserve">contrato de </w:t>
      </w:r>
      <w:r w:rsidRPr="00283DCF">
        <w:rPr>
          <w:rFonts w:ascii="Times New Roman" w:eastAsia="Times New Roman" w:hAnsi="Times New Roman" w:cs="Times New Roman"/>
          <w:b/>
          <w:bCs/>
          <w:i/>
          <w:iCs/>
          <w:sz w:val="24"/>
          <w:szCs w:val="24"/>
          <w:lang w:eastAsia="es-ES"/>
        </w:rPr>
        <w:t>leasing</w:t>
      </w:r>
      <w:r w:rsidRPr="00283DCF">
        <w:rPr>
          <w:rFonts w:ascii="Times New Roman" w:eastAsia="Times New Roman" w:hAnsi="Times New Roman" w:cs="Times New Roman"/>
          <w:sz w:val="24"/>
          <w:szCs w:val="24"/>
          <w:lang w:eastAsia="es-ES"/>
        </w:rPr>
        <w:t xml:space="preserve"> (de alquiler con derecho de compra) es un </w:t>
      </w:r>
      <w:hyperlink r:id="rId8" w:tooltip="Contrato" w:history="1">
        <w:r w:rsidRPr="00283DCF">
          <w:rPr>
            <w:rFonts w:ascii="Times New Roman" w:eastAsia="Times New Roman" w:hAnsi="Times New Roman" w:cs="Times New Roman"/>
            <w:color w:val="0000FF"/>
            <w:sz w:val="24"/>
            <w:szCs w:val="24"/>
            <w:u w:val="single"/>
            <w:lang w:eastAsia="es-ES"/>
          </w:rPr>
          <w:t>contrato</w:t>
        </w:r>
      </w:hyperlink>
      <w:r w:rsidRPr="00283DCF">
        <w:rPr>
          <w:rFonts w:ascii="Times New Roman" w:eastAsia="Times New Roman" w:hAnsi="Times New Roman" w:cs="Times New Roman"/>
          <w:sz w:val="24"/>
          <w:szCs w:val="24"/>
          <w:lang w:eastAsia="es-ES"/>
        </w:rPr>
        <w:t xml:space="preserve"> mediante el cual, el arrendador traspasa el </w:t>
      </w:r>
      <w:hyperlink r:id="rId9" w:tooltip="Derecho" w:history="1">
        <w:r w:rsidRPr="00283DCF">
          <w:rPr>
            <w:rFonts w:ascii="Times New Roman" w:eastAsia="Times New Roman" w:hAnsi="Times New Roman" w:cs="Times New Roman"/>
            <w:color w:val="0000FF"/>
            <w:sz w:val="24"/>
            <w:szCs w:val="24"/>
            <w:u w:val="single"/>
            <w:lang w:eastAsia="es-ES"/>
          </w:rPr>
          <w:t>derecho</w:t>
        </w:r>
      </w:hyperlink>
      <w:r w:rsidRPr="00283DCF">
        <w:rPr>
          <w:rFonts w:ascii="Times New Roman" w:eastAsia="Times New Roman" w:hAnsi="Times New Roman" w:cs="Times New Roman"/>
          <w:sz w:val="24"/>
          <w:szCs w:val="24"/>
          <w:lang w:eastAsia="es-ES"/>
        </w:rPr>
        <w:t xml:space="preserve"> a usar un </w:t>
      </w:r>
      <w:hyperlink r:id="rId10" w:tooltip="Bien económico" w:history="1">
        <w:r w:rsidRPr="00283DCF">
          <w:rPr>
            <w:rFonts w:ascii="Times New Roman" w:eastAsia="Times New Roman" w:hAnsi="Times New Roman" w:cs="Times New Roman"/>
            <w:color w:val="0000FF"/>
            <w:sz w:val="24"/>
            <w:szCs w:val="24"/>
            <w:u w:val="single"/>
            <w:lang w:eastAsia="es-ES"/>
          </w:rPr>
          <w:t>bien</w:t>
        </w:r>
      </w:hyperlink>
      <w:r w:rsidRPr="00283DCF">
        <w:rPr>
          <w:rFonts w:ascii="Times New Roman" w:eastAsia="Times New Roman" w:hAnsi="Times New Roman" w:cs="Times New Roman"/>
          <w:sz w:val="24"/>
          <w:szCs w:val="24"/>
          <w:lang w:eastAsia="es-ES"/>
        </w:rPr>
        <w:t xml:space="preserve"> a un arrendatario, a cambio del pago de rentas de arrendamiento durante un plazo determinado, al término del cual el arrendatario tiene la opción de comprar el bien arrendado pagando un precio determinado, devolverlo o renovar el contrato.</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En efecto, vencido el término del contrato, el arrendatario tiene la facultad de adquirir el bien a un </w:t>
      </w:r>
      <w:hyperlink r:id="rId11" w:tooltip="Precio" w:history="1">
        <w:r w:rsidRPr="00283DCF">
          <w:rPr>
            <w:rFonts w:ascii="Times New Roman" w:eastAsia="Times New Roman" w:hAnsi="Times New Roman" w:cs="Times New Roman"/>
            <w:color w:val="0000FF"/>
            <w:sz w:val="24"/>
            <w:szCs w:val="24"/>
            <w:u w:val="single"/>
            <w:lang w:eastAsia="es-ES"/>
          </w:rPr>
          <w:t>precio</w:t>
        </w:r>
      </w:hyperlink>
      <w:r w:rsidRPr="00283DCF">
        <w:rPr>
          <w:rFonts w:ascii="Times New Roman" w:eastAsia="Times New Roman" w:hAnsi="Times New Roman" w:cs="Times New Roman"/>
          <w:sz w:val="24"/>
          <w:szCs w:val="24"/>
          <w:lang w:eastAsia="es-ES"/>
        </w:rPr>
        <w:t xml:space="preserve"> determinado, que se denomina «residual», pues su cálculo viene dado por la diferencia entre el precio originario pagado por el arrendador (más los intereses y gastos) y las cantidades abonadas por el arrendatario al arrendador. Si el arrendatario no ejerce la opción de adquirir el bien, deberá devolverlo al arrendador, salvo que el contrato se prorrogue.</w:t>
      </w:r>
    </w:p>
    <w:p w:rsidR="00283DCF" w:rsidRPr="00283DCF" w:rsidRDefault="00283DCF" w:rsidP="00283DC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83DCF">
        <w:rPr>
          <w:rFonts w:ascii="Times New Roman" w:eastAsia="Times New Roman" w:hAnsi="Times New Roman" w:cs="Times New Roman"/>
          <w:b/>
          <w:bCs/>
          <w:sz w:val="36"/>
          <w:szCs w:val="36"/>
          <w:lang w:eastAsia="es-ES"/>
        </w:rPr>
        <w:t>Índice</w:t>
      </w:r>
    </w:p>
    <w:p w:rsidR="00283DCF" w:rsidRPr="00283DCF" w:rsidRDefault="00283DCF" w:rsidP="00283D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Caracter.C3.ADsticas" w:history="1">
        <w:r w:rsidRPr="00283DCF">
          <w:rPr>
            <w:rFonts w:ascii="Times New Roman" w:eastAsia="Times New Roman" w:hAnsi="Times New Roman" w:cs="Times New Roman"/>
            <w:color w:val="0000FF"/>
            <w:sz w:val="24"/>
            <w:szCs w:val="24"/>
            <w:u w:val="single"/>
            <w:lang w:eastAsia="es-ES"/>
          </w:rPr>
          <w:t>1 Características</w:t>
        </w:r>
      </w:hyperlink>
    </w:p>
    <w:p w:rsidR="00283DCF" w:rsidRPr="00283DCF" w:rsidRDefault="00283DCF" w:rsidP="00283DC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3" w:anchor="Costo" w:history="1">
        <w:r w:rsidRPr="00283DCF">
          <w:rPr>
            <w:rFonts w:ascii="Times New Roman" w:eastAsia="Times New Roman" w:hAnsi="Times New Roman" w:cs="Times New Roman"/>
            <w:color w:val="0000FF"/>
            <w:sz w:val="24"/>
            <w:szCs w:val="24"/>
            <w:u w:val="single"/>
            <w:lang w:eastAsia="es-ES"/>
          </w:rPr>
          <w:t>2 Costo</w:t>
        </w:r>
      </w:hyperlink>
      <w:r w:rsidRPr="00283DCF">
        <w:rPr>
          <w:rFonts w:ascii="Times New Roman" w:eastAsia="Times New Roman" w:hAnsi="Times New Roman" w:cs="Times New Roman"/>
          <w:sz w:val="24"/>
          <w:szCs w:val="24"/>
          <w:lang w:eastAsia="es-ES"/>
        </w:rPr>
        <w:t xml:space="preserve"> </w:t>
      </w:r>
    </w:p>
    <w:p w:rsidR="00283DCF" w:rsidRPr="00283DCF" w:rsidRDefault="00283DCF" w:rsidP="00283DCF">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4" w:anchor="Utilizaci.C3.B3n" w:history="1">
        <w:r w:rsidRPr="00283DCF">
          <w:rPr>
            <w:rFonts w:ascii="Times New Roman" w:eastAsia="Times New Roman" w:hAnsi="Times New Roman" w:cs="Times New Roman"/>
            <w:color w:val="0000FF"/>
            <w:sz w:val="24"/>
            <w:szCs w:val="24"/>
            <w:u w:val="single"/>
            <w:lang w:eastAsia="es-ES"/>
          </w:rPr>
          <w:t>2.1 Utilización</w:t>
        </w:r>
      </w:hyperlink>
    </w:p>
    <w:p w:rsidR="00283DCF" w:rsidRPr="00283DCF" w:rsidRDefault="00283DCF" w:rsidP="00283DCF">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5" w:anchor="Ventajas_y_desventajas" w:history="1">
        <w:r w:rsidRPr="00283DCF">
          <w:rPr>
            <w:rFonts w:ascii="Times New Roman" w:eastAsia="Times New Roman" w:hAnsi="Times New Roman" w:cs="Times New Roman"/>
            <w:color w:val="0000FF"/>
            <w:sz w:val="24"/>
            <w:szCs w:val="24"/>
            <w:u w:val="single"/>
            <w:lang w:eastAsia="es-ES"/>
          </w:rPr>
          <w:t>2.2 Ventajas y desventajas</w:t>
        </w:r>
      </w:hyperlink>
      <w:r w:rsidRPr="00283DCF">
        <w:rPr>
          <w:rFonts w:ascii="Times New Roman" w:eastAsia="Times New Roman" w:hAnsi="Times New Roman" w:cs="Times New Roman"/>
          <w:sz w:val="24"/>
          <w:szCs w:val="24"/>
          <w:lang w:eastAsia="es-ES"/>
        </w:rPr>
        <w:t xml:space="preserve"> </w:t>
      </w:r>
    </w:p>
    <w:p w:rsidR="00283DCF" w:rsidRPr="00283DCF" w:rsidRDefault="00283DCF" w:rsidP="00283DCF">
      <w:pPr>
        <w:numPr>
          <w:ilvl w:val="2"/>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6" w:anchor="Ventajas" w:history="1">
        <w:r w:rsidRPr="00283DCF">
          <w:rPr>
            <w:rFonts w:ascii="Times New Roman" w:eastAsia="Times New Roman" w:hAnsi="Times New Roman" w:cs="Times New Roman"/>
            <w:color w:val="0000FF"/>
            <w:sz w:val="24"/>
            <w:szCs w:val="24"/>
            <w:u w:val="single"/>
            <w:lang w:eastAsia="es-ES"/>
          </w:rPr>
          <w:t>2.2.1 Ventajas</w:t>
        </w:r>
      </w:hyperlink>
    </w:p>
    <w:p w:rsidR="00283DCF" w:rsidRPr="00283DCF" w:rsidRDefault="00283DCF" w:rsidP="00283DCF">
      <w:pPr>
        <w:numPr>
          <w:ilvl w:val="2"/>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7" w:anchor="Desventajas" w:history="1">
        <w:r w:rsidRPr="00283DCF">
          <w:rPr>
            <w:rFonts w:ascii="Times New Roman" w:eastAsia="Times New Roman" w:hAnsi="Times New Roman" w:cs="Times New Roman"/>
            <w:color w:val="0000FF"/>
            <w:sz w:val="24"/>
            <w:szCs w:val="24"/>
            <w:u w:val="single"/>
            <w:lang w:eastAsia="es-ES"/>
          </w:rPr>
          <w:t>2.2.2 Desventajas</w:t>
        </w:r>
      </w:hyperlink>
    </w:p>
    <w:p w:rsidR="00283DCF" w:rsidRPr="00283DCF" w:rsidRDefault="00283DCF" w:rsidP="00283DCF">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8" w:anchor="V.C3.A9ase_tambi.C3.A9n" w:history="1">
        <w:r w:rsidRPr="00283DCF">
          <w:rPr>
            <w:rFonts w:ascii="Times New Roman" w:eastAsia="Times New Roman" w:hAnsi="Times New Roman" w:cs="Times New Roman"/>
            <w:color w:val="0000FF"/>
            <w:sz w:val="24"/>
            <w:szCs w:val="24"/>
            <w:u w:val="single"/>
            <w:lang w:eastAsia="es-ES"/>
          </w:rPr>
          <w:t>2.3 Véase también</w:t>
        </w:r>
      </w:hyperlink>
    </w:p>
    <w:p w:rsidR="00283DCF" w:rsidRPr="00283DCF" w:rsidRDefault="00283DCF" w:rsidP="00283DCF">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9" w:anchor="Referencias" w:history="1">
        <w:r w:rsidRPr="00283DCF">
          <w:rPr>
            <w:rFonts w:ascii="Times New Roman" w:eastAsia="Times New Roman" w:hAnsi="Times New Roman" w:cs="Times New Roman"/>
            <w:color w:val="0000FF"/>
            <w:sz w:val="24"/>
            <w:szCs w:val="24"/>
            <w:u w:val="single"/>
            <w:lang w:eastAsia="es-ES"/>
          </w:rPr>
          <w:t>2.4 Referencias</w:t>
        </w:r>
      </w:hyperlink>
    </w:p>
    <w:p w:rsidR="00283DCF" w:rsidRPr="00283DCF" w:rsidRDefault="00283DCF" w:rsidP="00283DCF">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0" w:anchor="Enlaces_externos" w:history="1">
        <w:r w:rsidRPr="00283DCF">
          <w:rPr>
            <w:rFonts w:ascii="Times New Roman" w:eastAsia="Times New Roman" w:hAnsi="Times New Roman" w:cs="Times New Roman"/>
            <w:color w:val="0000FF"/>
            <w:sz w:val="24"/>
            <w:szCs w:val="24"/>
            <w:u w:val="single"/>
            <w:lang w:eastAsia="es-ES"/>
          </w:rPr>
          <w:t>2.5 Enlaces externos</w:t>
        </w:r>
      </w:hyperlink>
    </w:p>
    <w:p w:rsidR="00283DCF" w:rsidRPr="00283DCF" w:rsidRDefault="00283DCF" w:rsidP="00283DC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83DCF">
        <w:rPr>
          <w:rFonts w:ascii="Times New Roman" w:eastAsia="Times New Roman" w:hAnsi="Times New Roman" w:cs="Times New Roman"/>
          <w:b/>
          <w:bCs/>
          <w:sz w:val="36"/>
          <w:szCs w:val="36"/>
          <w:lang w:eastAsia="es-ES"/>
        </w:rPr>
        <w:t>Características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
        <w:gridCol w:w="7914"/>
      </w:tblGrid>
      <w:tr w:rsidR="00283DCF" w:rsidRPr="00283DCF" w:rsidTr="00283DCF">
        <w:trPr>
          <w:tblCellSpacing w:w="15" w:type="dxa"/>
        </w:trPr>
        <w:tc>
          <w:tcPr>
            <w:tcW w:w="0" w:type="auto"/>
            <w:vAlign w:val="center"/>
            <w:hideMark/>
          </w:tcPr>
          <w:p w:rsidR="00283DCF" w:rsidRPr="00283DCF" w:rsidRDefault="00283DCF" w:rsidP="00283DCF">
            <w:pPr>
              <w:spacing w:after="0" w:line="240" w:lineRule="auto"/>
              <w:divId w:val="2029479083"/>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384175" cy="384175"/>
                  <wp:effectExtent l="0" t="0" r="0" b="0"/>
                  <wp:docPr id="2" name="Imagen 2" descr="Commons-emblem-scales.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s-emblem-scales.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a:ln>
                            <a:noFill/>
                          </a:ln>
                        </pic:spPr>
                      </pic:pic>
                    </a:graphicData>
                  </a:graphic>
                </wp:inline>
              </w:drawing>
            </w:r>
          </w:p>
        </w:tc>
        <w:tc>
          <w:tcPr>
            <w:tcW w:w="0" w:type="auto"/>
            <w:vAlign w:val="center"/>
            <w:hideMark/>
          </w:tcPr>
          <w:p w:rsidR="00283DCF" w:rsidRPr="00283DCF" w:rsidRDefault="00283DCF" w:rsidP="00283DCF">
            <w:pPr>
              <w:spacing w:after="0"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b/>
                <w:bCs/>
                <w:sz w:val="24"/>
                <w:szCs w:val="24"/>
                <w:lang w:eastAsia="es-ES"/>
              </w:rPr>
              <w:t xml:space="preserve">Existen desacuerdos sobre la </w:t>
            </w:r>
            <w:hyperlink r:id="rId23" w:tooltip="Wikipedia:Punto de vista neutral" w:history="1">
              <w:r w:rsidRPr="00283DCF">
                <w:rPr>
                  <w:rFonts w:ascii="Times New Roman" w:eastAsia="Times New Roman" w:hAnsi="Times New Roman" w:cs="Times New Roman"/>
                  <w:b/>
                  <w:bCs/>
                  <w:color w:val="0000FF"/>
                  <w:sz w:val="24"/>
                  <w:szCs w:val="24"/>
                  <w:u w:val="single"/>
                  <w:lang w:eastAsia="es-ES"/>
                </w:rPr>
                <w:t>neutralidad en el punto de vista</w:t>
              </w:r>
            </w:hyperlink>
            <w:r w:rsidRPr="00283DCF">
              <w:rPr>
                <w:rFonts w:ascii="Times New Roman" w:eastAsia="Times New Roman" w:hAnsi="Times New Roman" w:cs="Times New Roman"/>
                <w:b/>
                <w:bCs/>
                <w:sz w:val="24"/>
                <w:szCs w:val="24"/>
                <w:lang w:eastAsia="es-ES"/>
              </w:rPr>
              <w:t xml:space="preserve"> de la versión actual de este artículo o sección.</w:t>
            </w:r>
            <w:r w:rsidRPr="00283DCF">
              <w:rPr>
                <w:rFonts w:ascii="Times New Roman" w:eastAsia="Times New Roman" w:hAnsi="Times New Roman" w:cs="Times New Roman"/>
                <w:sz w:val="24"/>
                <w:szCs w:val="24"/>
                <w:lang w:eastAsia="es-ES"/>
              </w:rPr>
              <w:br/>
            </w:r>
            <w:r w:rsidRPr="00283DCF">
              <w:rPr>
                <w:rFonts w:ascii="Times New Roman" w:eastAsia="Times New Roman" w:hAnsi="Times New Roman" w:cs="Times New Roman"/>
                <w:b/>
                <w:bCs/>
                <w:sz w:val="24"/>
                <w:szCs w:val="24"/>
                <w:lang w:eastAsia="es-ES"/>
              </w:rPr>
              <w:t>Motivo:</w:t>
            </w:r>
            <w:r w:rsidRPr="00283DCF">
              <w:rPr>
                <w:rFonts w:ascii="Times New Roman" w:eastAsia="Times New Roman" w:hAnsi="Times New Roman" w:cs="Times New Roman"/>
                <w:sz w:val="24"/>
                <w:szCs w:val="24"/>
                <w:lang w:eastAsia="es-ES"/>
              </w:rPr>
              <w:t xml:space="preserve"> Basado en España, es necesario un enfoque </w:t>
            </w:r>
            <w:hyperlink r:id="rId24" w:tooltip="WP:SI" w:history="1">
              <w:r w:rsidRPr="00283DCF">
                <w:rPr>
                  <w:rFonts w:ascii="Times New Roman" w:eastAsia="Times New Roman" w:hAnsi="Times New Roman" w:cs="Times New Roman"/>
                  <w:color w:val="0000FF"/>
                  <w:sz w:val="24"/>
                  <w:szCs w:val="24"/>
                  <w:u w:val="single"/>
                  <w:lang w:eastAsia="es-ES"/>
                </w:rPr>
                <w:t>más global</w:t>
              </w:r>
            </w:hyperlink>
            <w:r w:rsidRPr="00283DCF">
              <w:rPr>
                <w:rFonts w:ascii="Times New Roman" w:eastAsia="Times New Roman" w:hAnsi="Times New Roman" w:cs="Times New Roman"/>
                <w:sz w:val="24"/>
                <w:szCs w:val="24"/>
                <w:lang w:eastAsia="es-ES"/>
              </w:rPr>
              <w:t>.</w:t>
            </w:r>
            <w:r w:rsidRPr="00283DCF">
              <w:rPr>
                <w:rFonts w:ascii="Times New Roman" w:eastAsia="Times New Roman" w:hAnsi="Times New Roman" w:cs="Times New Roman"/>
                <w:sz w:val="24"/>
                <w:szCs w:val="24"/>
                <w:lang w:eastAsia="es-ES"/>
              </w:rPr>
              <w:br/>
            </w:r>
            <w:r w:rsidRPr="00283DCF">
              <w:rPr>
                <w:rFonts w:ascii="Times New Roman" w:eastAsia="Times New Roman" w:hAnsi="Times New Roman" w:cs="Times New Roman"/>
                <w:sz w:val="20"/>
                <w:szCs w:val="20"/>
                <w:lang w:eastAsia="es-ES"/>
              </w:rPr>
              <w:t xml:space="preserve">En </w:t>
            </w:r>
            <w:hyperlink r:id="rId25" w:tooltip="Discusión:Arrendamiento financiero" w:history="1">
              <w:r w:rsidRPr="00283DCF">
                <w:rPr>
                  <w:rFonts w:ascii="Times New Roman" w:eastAsia="Times New Roman" w:hAnsi="Times New Roman" w:cs="Times New Roman"/>
                  <w:color w:val="0000FF"/>
                  <w:sz w:val="20"/>
                  <w:szCs w:val="20"/>
                  <w:u w:val="single"/>
                  <w:lang w:eastAsia="es-ES"/>
                </w:rPr>
                <w:t>la página de discusión</w:t>
              </w:r>
            </w:hyperlink>
            <w:r w:rsidRPr="00283DCF">
              <w:rPr>
                <w:rFonts w:ascii="Times New Roman" w:eastAsia="Times New Roman" w:hAnsi="Times New Roman" w:cs="Times New Roman"/>
                <w:sz w:val="20"/>
                <w:szCs w:val="20"/>
                <w:lang w:eastAsia="es-ES"/>
              </w:rPr>
              <w:t xml:space="preserve"> puedes consultar el debate al respecto.</w:t>
            </w:r>
          </w:p>
        </w:tc>
      </w:tr>
    </w:tbl>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Este contrato tiene una serie de atributos que lo distinguen:</w:t>
      </w:r>
    </w:p>
    <w:p w:rsidR="00283DCF" w:rsidRPr="00283DCF" w:rsidRDefault="00283DCF" w:rsidP="00283D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Como más arriba se ha dicho, al finalizar el contrato, el arrendador financiero está obligado a ofrecer a su cliente (arrendatario financiero) la posibilidad de adquirir el bien. Esta nota no se comparte con el contrato de </w:t>
      </w:r>
      <w:hyperlink r:id="rId26" w:tooltip="Arrendamiento" w:history="1">
        <w:r w:rsidRPr="00283DCF">
          <w:rPr>
            <w:rFonts w:ascii="Times New Roman" w:eastAsia="Times New Roman" w:hAnsi="Times New Roman" w:cs="Times New Roman"/>
            <w:color w:val="0000FF"/>
            <w:sz w:val="24"/>
            <w:szCs w:val="24"/>
            <w:u w:val="single"/>
            <w:lang w:eastAsia="es-ES"/>
          </w:rPr>
          <w:t>arrendamiento</w:t>
        </w:r>
      </w:hyperlink>
      <w:r w:rsidRPr="00283DCF">
        <w:rPr>
          <w:rFonts w:ascii="Times New Roman" w:eastAsia="Times New Roman" w:hAnsi="Times New Roman" w:cs="Times New Roman"/>
          <w:sz w:val="24"/>
          <w:szCs w:val="24"/>
          <w:lang w:eastAsia="es-ES"/>
        </w:rPr>
        <w:t xml:space="preserve">, aunque pueda tener características similares al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w:t>
      </w:r>
    </w:p>
    <w:p w:rsidR="00283DCF" w:rsidRPr="00283DCF" w:rsidRDefault="00283DCF" w:rsidP="00283D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En opinión de los doctores Uría (ya fallecido), Menéndez, Sánchez Calero y otros,</w:t>
      </w:r>
      <w:r w:rsidRPr="00283DCF">
        <w:rPr>
          <w:rFonts w:ascii="Times New Roman" w:eastAsia="Times New Roman" w:hAnsi="Times New Roman" w:cs="Times New Roman"/>
          <w:sz w:val="24"/>
          <w:szCs w:val="24"/>
          <w:vertAlign w:val="superscript"/>
          <w:lang w:eastAsia="es-ES"/>
        </w:rPr>
        <w:t>[</w:t>
      </w:r>
      <w:hyperlink r:id="rId27" w:tooltip="Wikipedia:Verificabilidad" w:history="1">
        <w:r w:rsidRPr="00283DCF">
          <w:rPr>
            <w:rFonts w:ascii="Times New Roman" w:eastAsia="Times New Roman" w:hAnsi="Times New Roman" w:cs="Times New Roman"/>
            <w:i/>
            <w:iCs/>
            <w:color w:val="0000FF"/>
            <w:sz w:val="24"/>
            <w:szCs w:val="24"/>
            <w:u w:val="single"/>
            <w:vertAlign w:val="superscript"/>
            <w:lang w:eastAsia="es-ES"/>
          </w:rPr>
          <w:t>cita requerida</w:t>
        </w:r>
      </w:hyperlink>
      <w:r w:rsidRPr="00283DCF">
        <w:rPr>
          <w:rFonts w:ascii="Times New Roman" w:eastAsia="Times New Roman" w:hAnsi="Times New Roman" w:cs="Times New Roman"/>
          <w:sz w:val="24"/>
          <w:szCs w:val="24"/>
          <w:vertAlign w:val="superscript"/>
          <w:lang w:eastAsia="es-ES"/>
        </w:rPr>
        <w:t>]</w:t>
      </w:r>
      <w:r w:rsidRPr="00283DCF">
        <w:rPr>
          <w:rFonts w:ascii="Times New Roman" w:eastAsia="Times New Roman" w:hAnsi="Times New Roman" w:cs="Times New Roman"/>
          <w:sz w:val="24"/>
          <w:szCs w:val="24"/>
          <w:lang w:eastAsia="es-ES"/>
        </w:rPr>
        <w:t xml:space="preserve"> no puede calificarse como un contrato de arrendamiento o una variedad del arrendamiento, ya que la función del contrato mercantil de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no es tanto ceder el uso de un bien (mueble o inmueble), cuanto financiar la posibilidad de explotarlo o disfrutarlo, como una alternativa al préstamo de dinero o a otros contratos de financiación.</w:t>
      </w:r>
    </w:p>
    <w:p w:rsidR="00283DCF" w:rsidRPr="00283DCF" w:rsidRDefault="00283DCF" w:rsidP="00283D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lastRenderedPageBreak/>
        <w:t xml:space="preserve">Durante toda la vida del contrato, la entidad de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(arrendador financiero) mantiene la titularidad sobre el bien objeto del contrato, aunque no responde de los vicios que pueda aquejar al bien, es el arrendatario financiero (el usuario), quien corre con los deterioros y la pérdida del susodicho bien.</w:t>
      </w:r>
    </w:p>
    <w:p w:rsidR="00283DCF" w:rsidRPr="00283DCF" w:rsidRDefault="00283DCF" w:rsidP="00283D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El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no es un préstamo de uso (contrato que se denomina </w:t>
      </w:r>
      <w:hyperlink r:id="rId28" w:tooltip="Comodato" w:history="1">
        <w:r w:rsidRPr="00283DCF">
          <w:rPr>
            <w:rFonts w:ascii="Times New Roman" w:eastAsia="Times New Roman" w:hAnsi="Times New Roman" w:cs="Times New Roman"/>
            <w:color w:val="0000FF"/>
            <w:sz w:val="24"/>
            <w:szCs w:val="24"/>
            <w:u w:val="single"/>
            <w:lang w:eastAsia="es-ES"/>
          </w:rPr>
          <w:t>comodato</w:t>
        </w:r>
      </w:hyperlink>
      <w:r w:rsidRPr="00283DCF">
        <w:rPr>
          <w:rFonts w:ascii="Times New Roman" w:eastAsia="Times New Roman" w:hAnsi="Times New Roman" w:cs="Times New Roman"/>
          <w:sz w:val="24"/>
          <w:szCs w:val="24"/>
          <w:lang w:eastAsia="es-ES"/>
        </w:rPr>
        <w:t xml:space="preserve">), aunque también se asemeje a él. En el préstamo de uso no se da la percepción de emolumento alguno, según el art. 1741 del </w:t>
      </w:r>
      <w:hyperlink r:id="rId29" w:tooltip="Código civil" w:history="1">
        <w:r w:rsidRPr="00283DCF">
          <w:rPr>
            <w:rFonts w:ascii="Times New Roman" w:eastAsia="Times New Roman" w:hAnsi="Times New Roman" w:cs="Times New Roman"/>
            <w:color w:val="0000FF"/>
            <w:sz w:val="24"/>
            <w:szCs w:val="24"/>
            <w:u w:val="single"/>
            <w:lang w:eastAsia="es-ES"/>
          </w:rPr>
          <w:t>Código civil</w:t>
        </w:r>
      </w:hyperlink>
      <w:r w:rsidRPr="00283DCF">
        <w:rPr>
          <w:rFonts w:ascii="Times New Roman" w:eastAsia="Times New Roman" w:hAnsi="Times New Roman" w:cs="Times New Roman"/>
          <w:sz w:val="24"/>
          <w:szCs w:val="24"/>
          <w:lang w:eastAsia="es-ES"/>
        </w:rPr>
        <w:t xml:space="preserve"> español.</w:t>
      </w:r>
    </w:p>
    <w:p w:rsidR="00283DCF" w:rsidRPr="00283DCF" w:rsidRDefault="00283DCF" w:rsidP="00283D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En el Derecho español, el contrato de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no es desconocido, pero no existe una regulación sustantiva sobre él y su regulación se encuentra fraccionada en varios cuerpos legales. Por ejemplo, la Disposición Adicional Séptima de la Ley de Disciplina e Intervención de la entidad de Crédito, la Disposición Adicional Primera de la Ley de Venta a Plazos de Bienes Muebles, Ley 28/1998 de 13 de julio, o el derogado art. 128 de la Ley 43/1995, de 27 de diciembre, del </w:t>
      </w:r>
      <w:hyperlink r:id="rId30" w:tooltip="Impuesto de Sociedades" w:history="1">
        <w:r w:rsidRPr="00283DCF">
          <w:rPr>
            <w:rFonts w:ascii="Times New Roman" w:eastAsia="Times New Roman" w:hAnsi="Times New Roman" w:cs="Times New Roman"/>
            <w:color w:val="0000FF"/>
            <w:sz w:val="24"/>
            <w:szCs w:val="24"/>
            <w:u w:val="single"/>
            <w:lang w:eastAsia="es-ES"/>
          </w:rPr>
          <w:t>Impuesto de Sociedades</w:t>
        </w:r>
      </w:hyperlink>
      <w:r w:rsidRPr="00283DCF">
        <w:rPr>
          <w:rFonts w:ascii="Times New Roman" w:eastAsia="Times New Roman" w:hAnsi="Times New Roman" w:cs="Times New Roman"/>
          <w:sz w:val="24"/>
          <w:szCs w:val="24"/>
          <w:lang w:eastAsia="es-ES"/>
        </w:rPr>
        <w:t xml:space="preserve"> (actualmente sustituido por el art. 115 del texto refundido vigente de la Ley del Impuesto de Sociedades -R.D. Legislativo 4/2004-)</w:t>
      </w:r>
    </w:p>
    <w:p w:rsidR="00283DCF" w:rsidRPr="00283DCF" w:rsidRDefault="00283DCF" w:rsidP="00283D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Como norma general, este contrato lleva aparejada una cláusula por la cual el cliente está obligado a soportar las inspecciones que sobre el bien desee hacer el propietario del mismo (entidad arrendadora de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e igualmente, el cliente está obligado a pagar a su costa un seguro al que le obliga la entidad de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w:t>
      </w:r>
    </w:p>
    <w:p w:rsidR="00283DCF" w:rsidRPr="00283DCF" w:rsidRDefault="00283DCF" w:rsidP="00283D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Frente al incumplimiento del cliente, la entidad de leasing podrá ejercer acciones declarativas o ejecutivas (si cuenta con un título de esta naturaleza para ejercitar su derecho). Además puede resolver el contrato e instar al juez, a través de un corto procedimiento procesal, la recuperación del bien objeto del contrato. Todo ello, sin perjuicio de que el cliente haga valer otras pretensiones relativas al contrato de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en el procedimiento declarativo que corresponda.</w:t>
      </w:r>
    </w:p>
    <w:p w:rsidR="00283DCF" w:rsidRPr="00283DCF" w:rsidRDefault="00283DCF" w:rsidP="00283D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Si el arrendatario financiero fuere declarado en concurso de acreedores, la entidad de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como propietaria del bien, puede interponer su «tercería de dominio».</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El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contiene diferentes ventajas de carácter fiscal para las empresas ya que la entidad responsable del arrendamiento es la que hace frente al pago de los impuestos indirectos (</w:t>
      </w:r>
      <w:hyperlink r:id="rId31" w:tooltip="IVA" w:history="1">
        <w:r w:rsidRPr="00283DCF">
          <w:rPr>
            <w:rFonts w:ascii="Times New Roman" w:eastAsia="Times New Roman" w:hAnsi="Times New Roman" w:cs="Times New Roman"/>
            <w:color w:val="0000FF"/>
            <w:sz w:val="24"/>
            <w:szCs w:val="24"/>
            <w:u w:val="single"/>
            <w:lang w:eastAsia="es-ES"/>
          </w:rPr>
          <w:t>IVA</w:t>
        </w:r>
      </w:hyperlink>
      <w:r w:rsidRPr="00283DCF">
        <w:rPr>
          <w:rFonts w:ascii="Times New Roman" w:eastAsia="Times New Roman" w:hAnsi="Times New Roman" w:cs="Times New Roman"/>
          <w:sz w:val="24"/>
          <w:szCs w:val="24"/>
          <w:lang w:eastAsia="es-ES"/>
        </w:rPr>
        <w:t xml:space="preserve"> e </w:t>
      </w:r>
      <w:hyperlink r:id="rId32" w:tooltip="IGIC" w:history="1">
        <w:r w:rsidRPr="00283DCF">
          <w:rPr>
            <w:rFonts w:ascii="Times New Roman" w:eastAsia="Times New Roman" w:hAnsi="Times New Roman" w:cs="Times New Roman"/>
            <w:color w:val="0000FF"/>
            <w:sz w:val="24"/>
            <w:szCs w:val="24"/>
            <w:u w:val="single"/>
            <w:lang w:eastAsia="es-ES"/>
          </w:rPr>
          <w:t>IGIC</w:t>
        </w:r>
      </w:hyperlink>
      <w:r w:rsidRPr="00283DCF">
        <w:rPr>
          <w:rFonts w:ascii="Times New Roman" w:eastAsia="Times New Roman" w:hAnsi="Times New Roman" w:cs="Times New Roman"/>
          <w:sz w:val="24"/>
          <w:szCs w:val="24"/>
          <w:lang w:eastAsia="es-ES"/>
        </w:rPr>
        <w:t>) de la adquisición del bien que no son repercutidos al arrendatario financiero para el cálculo de las cuotas, ya que el impuesto que recae sobre estas cuotas (IVA o IGIC) para el arrendatario financiero no se debe a la adquisición del bien sino al servicio de arrendamiento del mismo.</w:t>
      </w:r>
    </w:p>
    <w:p w:rsidR="00283DCF" w:rsidRPr="00283DCF" w:rsidRDefault="00283DCF" w:rsidP="00283DC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83DCF">
        <w:rPr>
          <w:rFonts w:ascii="Times New Roman" w:eastAsia="Times New Roman" w:hAnsi="Times New Roman" w:cs="Times New Roman"/>
          <w:b/>
          <w:bCs/>
          <w:kern w:val="36"/>
          <w:sz w:val="48"/>
          <w:szCs w:val="48"/>
          <w:lang w:eastAsia="es-ES"/>
        </w:rPr>
        <w:t>Costo</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Hay dos tipos de costos de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uno es el coste de depreciación que es el más caro de estos dos factores y el coste del préstamo del dinero (es el coste financiero que </w:t>
      </w:r>
      <w:proofErr w:type="spellStart"/>
      <w:r w:rsidRPr="00283DCF">
        <w:rPr>
          <w:rFonts w:ascii="Times New Roman" w:eastAsia="Times New Roman" w:hAnsi="Times New Roman" w:cs="Times New Roman"/>
          <w:sz w:val="24"/>
          <w:szCs w:val="24"/>
          <w:lang w:eastAsia="es-ES"/>
        </w:rPr>
        <w:t>varia</w:t>
      </w:r>
      <w:proofErr w:type="spellEnd"/>
      <w:r w:rsidRPr="00283DCF">
        <w:rPr>
          <w:rFonts w:ascii="Times New Roman" w:eastAsia="Times New Roman" w:hAnsi="Times New Roman" w:cs="Times New Roman"/>
          <w:sz w:val="24"/>
          <w:szCs w:val="24"/>
          <w:lang w:eastAsia="es-ES"/>
        </w:rPr>
        <w:t xml:space="preserve"> según el tipo de interés aplicable por la entidad arrendadora).</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El coste del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será un interés más el cálculo de la amortización del equipo; dicho coste resulta muy adecuado para empresas con poco capital, además de las ventajas fiscales que tiene.</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Para el cálculo del pago mensual total (incluyendo el coste de depreciación más el coste del préstamo del dinero) se utiliza la siguiente fórmula:</w:t>
      </w:r>
      <w:hyperlink r:id="rId33" w:anchor="cite_note-1" w:history="1">
        <w:r w:rsidRPr="00283DCF">
          <w:rPr>
            <w:rFonts w:ascii="Times New Roman" w:eastAsia="Times New Roman" w:hAnsi="Times New Roman" w:cs="Times New Roman"/>
            <w:color w:val="0000FF"/>
            <w:sz w:val="24"/>
            <w:szCs w:val="24"/>
            <w:u w:val="single"/>
            <w:vertAlign w:val="superscript"/>
            <w:lang w:eastAsia="es-ES"/>
          </w:rPr>
          <w:t>1</w:t>
        </w:r>
      </w:hyperlink>
    </w:p>
    <w:p w:rsidR="00283DCF" w:rsidRPr="00283DCF" w:rsidRDefault="00283DCF" w:rsidP="00283DCF">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lastRenderedPageBreak/>
        <w:drawing>
          <wp:inline distT="0" distB="0" distL="0" distR="0">
            <wp:extent cx="1905635" cy="807085"/>
            <wp:effectExtent l="0" t="0" r="0" b="0"/>
            <wp:docPr id="1" name="Imagen 1" descr="Fórmula del leasing.">
              <a:hlinkClick xmlns:a="http://schemas.openxmlformats.org/drawingml/2006/main" r:id="rId34" tooltip="&quot;Fórmula del leas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órmula del leasing.">
                      <a:hlinkClick r:id="rId34" tooltip="&quot;Fórmula del leasing.&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635" cy="807085"/>
                    </a:xfrm>
                    <a:prstGeom prst="rect">
                      <a:avLst/>
                    </a:prstGeom>
                    <a:noFill/>
                    <a:ln>
                      <a:noFill/>
                    </a:ln>
                  </pic:spPr>
                </pic:pic>
              </a:graphicData>
            </a:graphic>
          </wp:inline>
        </w:drawing>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br/>
      </w:r>
      <w:proofErr w:type="spellStart"/>
      <w:r w:rsidRPr="00283DCF">
        <w:rPr>
          <w:rFonts w:ascii="Times New Roman" w:eastAsia="Times New Roman" w:hAnsi="Times New Roman" w:cs="Times New Roman"/>
          <w:sz w:val="24"/>
          <w:szCs w:val="24"/>
          <w:lang w:eastAsia="es-ES"/>
        </w:rPr>
        <w:t>Donde</w:t>
      </w:r>
      <w:proofErr w:type="spellEnd"/>
      <w:r w:rsidRPr="00283DCF">
        <w:rPr>
          <w:rFonts w:ascii="Times New Roman" w:eastAsia="Times New Roman" w:hAnsi="Times New Roman" w:cs="Times New Roman"/>
          <w:sz w:val="24"/>
          <w:szCs w:val="24"/>
          <w:lang w:eastAsia="es-ES"/>
        </w:rPr>
        <w:t>:</w:t>
      </w:r>
    </w:p>
    <w:p w:rsidR="00283DCF" w:rsidRPr="00283DCF" w:rsidRDefault="00283DCF" w:rsidP="00283DCF">
      <w:pPr>
        <w:spacing w:after="0" w:line="240" w:lineRule="auto"/>
        <w:ind w:left="720"/>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R - Pago mensual</w:t>
      </w:r>
    </w:p>
    <w:p w:rsidR="00283DCF" w:rsidRPr="00283DCF" w:rsidRDefault="00283DCF" w:rsidP="00283DCF">
      <w:pPr>
        <w:spacing w:after="0" w:line="240" w:lineRule="auto"/>
        <w:ind w:left="720"/>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V - Valor actual del bien</w:t>
      </w:r>
    </w:p>
    <w:p w:rsidR="00283DCF" w:rsidRPr="00283DCF" w:rsidRDefault="00283DCF" w:rsidP="00283DCF">
      <w:pPr>
        <w:spacing w:after="0" w:line="240" w:lineRule="auto"/>
        <w:ind w:left="720"/>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F - Valor final del bien o valor residual (opción de compra)</w:t>
      </w:r>
    </w:p>
    <w:p w:rsidR="00283DCF" w:rsidRPr="00283DCF" w:rsidRDefault="00283DCF" w:rsidP="00283DCF">
      <w:pPr>
        <w:spacing w:after="0" w:line="240" w:lineRule="auto"/>
        <w:ind w:left="720"/>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i - Tasa de interés (expresada en términos mensuales)</w:t>
      </w:r>
    </w:p>
    <w:p w:rsidR="00283DCF" w:rsidRPr="00283DCF" w:rsidRDefault="00283DCF" w:rsidP="00283DCF">
      <w:pPr>
        <w:spacing w:after="0" w:line="240" w:lineRule="auto"/>
        <w:ind w:left="720"/>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N - Número de periodos o mensualidades</w:t>
      </w:r>
    </w:p>
    <w:p w:rsidR="00283DCF" w:rsidRPr="00283DCF" w:rsidRDefault="00283DCF" w:rsidP="00283DC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83DCF">
        <w:rPr>
          <w:rFonts w:ascii="Times New Roman" w:eastAsia="Times New Roman" w:hAnsi="Times New Roman" w:cs="Times New Roman"/>
          <w:b/>
          <w:bCs/>
          <w:sz w:val="36"/>
          <w:szCs w:val="36"/>
          <w:lang w:eastAsia="es-ES"/>
        </w:rPr>
        <w:t>Utilización</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Una persona o empresa necesita un determinado bien, pero no está en condiciones de destinar recursos para su adquisición. Entonces, se comprende con alguna compañía de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u otra institución financiera que lo ofrezca, para que ésta, de acuerdo con las especificaciones y requerimientos técnicos dados por el interesado, con requerido. Luego se lo entrega a la persona para que lo utilice durante un plazo definido, a cambio del pago de una cierta cantidad de dinero, expresada en cuotas periódicas que deben ser siempre iguales o ascendentes. La operación se formaliza a través de un contrato de arrendamiento financiero con opción de compra. Una vez que se cumple el periodo acordado, el cliente o arrendatario puede adquirir el bien, siempre que pague una cuota adicional que suele ser igual a las vencidas anteriormente y con la que se perfecciona la compraventa del bien. Se debe tener presente que el acuerdo entre ambas partes es irrevocable: el bien no puede ser devuelto a la compañía de leasing antes del plazo convenido. La duración contractual para poder acogerse a los beneficios fiscales debe tener un periodo de duración de al menos dos años, en caso de bienes muebles, y de al menos 10 años en caso de bienes inmuebles. Con este sistema es posible obtener casi cualquier equipo o maquinaria. Incluso si se comercializa en el extranjero.</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Es una figura utilizada fundamentalmente por empresas. El contrato del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suele durar tanto como la vida económica del elemento patrimonial en cuestión, que al final del periodo de alquiler puede ser comprado.</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Por lo general el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es usado para cosas que se deprecian o se tornan obsoletos en un plazo no muy largo, como los vehículos o los ordenadores.</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El importe de las cuotas de arrendamiento financiero incorpora la amortización del bien, los intereses del capital productivo (coste financiero), los gastos administrativos y a veces una </w:t>
      </w:r>
      <w:hyperlink r:id="rId36" w:tooltip="Prima de riesgo" w:history="1">
        <w:r w:rsidRPr="00283DCF">
          <w:rPr>
            <w:rFonts w:ascii="Times New Roman" w:eastAsia="Times New Roman" w:hAnsi="Times New Roman" w:cs="Times New Roman"/>
            <w:color w:val="0000FF"/>
            <w:sz w:val="24"/>
            <w:szCs w:val="24"/>
            <w:u w:val="single"/>
            <w:lang w:eastAsia="es-ES"/>
          </w:rPr>
          <w:t>prima de riesgo</w:t>
        </w:r>
      </w:hyperlink>
      <w:r w:rsidRPr="00283DCF">
        <w:rPr>
          <w:rFonts w:ascii="Times New Roman" w:eastAsia="Times New Roman" w:hAnsi="Times New Roman" w:cs="Times New Roman"/>
          <w:sz w:val="24"/>
          <w:szCs w:val="24"/>
          <w:lang w:eastAsia="es-ES"/>
        </w:rPr>
        <w:t xml:space="preserve"> por si falla la empresa arrendataria. A esta cuota se le añaden los impuestos indirectos vigentes para este tipo de operaciones (por ejemplo, el </w:t>
      </w:r>
      <w:hyperlink r:id="rId37" w:tooltip="Impuesto sobre el Valor Añadido" w:history="1">
        <w:r w:rsidRPr="00283DCF">
          <w:rPr>
            <w:rFonts w:ascii="Times New Roman" w:eastAsia="Times New Roman" w:hAnsi="Times New Roman" w:cs="Times New Roman"/>
            <w:color w:val="0000FF"/>
            <w:sz w:val="24"/>
            <w:szCs w:val="24"/>
            <w:u w:val="single"/>
            <w:lang w:eastAsia="es-ES"/>
          </w:rPr>
          <w:t>IVA</w:t>
        </w:r>
      </w:hyperlink>
      <w:r w:rsidRPr="00283DCF">
        <w:rPr>
          <w:rFonts w:ascii="Times New Roman" w:eastAsia="Times New Roman" w:hAnsi="Times New Roman" w:cs="Times New Roman"/>
          <w:sz w:val="24"/>
          <w:szCs w:val="24"/>
          <w:lang w:eastAsia="es-ES"/>
        </w:rPr>
        <w:t>).</w:t>
      </w:r>
    </w:p>
    <w:p w:rsidR="00283DCF" w:rsidRPr="00283DCF" w:rsidRDefault="00283DCF" w:rsidP="00283DCF">
      <w:p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Existe una modalidad parecida que también es muy usada por las empresas el denominado </w:t>
      </w:r>
      <w:proofErr w:type="spellStart"/>
      <w:r w:rsidRPr="00283DCF">
        <w:rPr>
          <w:rFonts w:ascii="Times New Roman" w:eastAsia="Times New Roman" w:hAnsi="Times New Roman" w:cs="Times New Roman"/>
          <w:i/>
          <w:iCs/>
          <w:sz w:val="24"/>
          <w:szCs w:val="24"/>
          <w:lang w:eastAsia="es-ES"/>
        </w:rPr>
        <w:t>renting</w:t>
      </w:r>
      <w:proofErr w:type="spellEnd"/>
      <w:r w:rsidRPr="00283DCF">
        <w:rPr>
          <w:rFonts w:ascii="Times New Roman" w:eastAsia="Times New Roman" w:hAnsi="Times New Roman" w:cs="Times New Roman"/>
          <w:sz w:val="24"/>
          <w:szCs w:val="24"/>
          <w:lang w:eastAsia="es-ES"/>
        </w:rPr>
        <w:t xml:space="preserve">. El </w:t>
      </w:r>
      <w:proofErr w:type="spellStart"/>
      <w:r w:rsidRPr="00283DCF">
        <w:rPr>
          <w:rFonts w:ascii="Times New Roman" w:eastAsia="Times New Roman" w:hAnsi="Times New Roman" w:cs="Times New Roman"/>
          <w:i/>
          <w:iCs/>
          <w:sz w:val="24"/>
          <w:szCs w:val="24"/>
          <w:lang w:eastAsia="es-ES"/>
        </w:rPr>
        <w:t>renting</w:t>
      </w:r>
      <w:proofErr w:type="spellEnd"/>
      <w:r w:rsidRPr="00283DCF">
        <w:rPr>
          <w:rFonts w:ascii="Times New Roman" w:eastAsia="Times New Roman" w:hAnsi="Times New Roman" w:cs="Times New Roman"/>
          <w:sz w:val="24"/>
          <w:szCs w:val="24"/>
          <w:lang w:eastAsia="es-ES"/>
        </w:rPr>
        <w:t xml:space="preserve"> es un arrendamiento simple que generalmente no ofrece dentro del contrato opción de compra al cliente, y por tanto no se contempla en el balance de las empresas arrendatarias.</w:t>
      </w:r>
      <w:hyperlink r:id="rId38" w:anchor="cite_note-2" w:history="1">
        <w:r w:rsidRPr="00283DCF">
          <w:rPr>
            <w:rFonts w:ascii="Times New Roman" w:eastAsia="Times New Roman" w:hAnsi="Times New Roman" w:cs="Times New Roman"/>
            <w:color w:val="0000FF"/>
            <w:sz w:val="24"/>
            <w:szCs w:val="24"/>
            <w:u w:val="single"/>
            <w:vertAlign w:val="superscript"/>
            <w:lang w:eastAsia="es-ES"/>
          </w:rPr>
          <w:t>2</w:t>
        </w:r>
      </w:hyperlink>
    </w:p>
    <w:p w:rsidR="00283DCF" w:rsidRPr="00283DCF" w:rsidRDefault="00283DCF" w:rsidP="00283DC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83DCF">
        <w:rPr>
          <w:rFonts w:ascii="Times New Roman" w:eastAsia="Times New Roman" w:hAnsi="Times New Roman" w:cs="Times New Roman"/>
          <w:b/>
          <w:bCs/>
          <w:sz w:val="36"/>
          <w:szCs w:val="36"/>
          <w:lang w:eastAsia="es-ES"/>
        </w:rPr>
        <w:lastRenderedPageBreak/>
        <w:t>Ventajas y desventajas</w:t>
      </w:r>
    </w:p>
    <w:p w:rsidR="00283DCF" w:rsidRPr="00283DCF" w:rsidRDefault="00283DCF" w:rsidP="00283DC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83DCF">
        <w:rPr>
          <w:rFonts w:ascii="Times New Roman" w:eastAsia="Times New Roman" w:hAnsi="Times New Roman" w:cs="Times New Roman"/>
          <w:b/>
          <w:bCs/>
          <w:sz w:val="27"/>
          <w:szCs w:val="27"/>
          <w:lang w:eastAsia="es-ES"/>
        </w:rPr>
        <w:t>Ventajas</w:t>
      </w:r>
    </w:p>
    <w:p w:rsidR="00283DCF" w:rsidRPr="00283DCF" w:rsidRDefault="00283DCF" w:rsidP="00283D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Se puede financiar el 100% de la inversión.</w:t>
      </w:r>
    </w:p>
    <w:p w:rsidR="00283DCF" w:rsidRPr="00283DCF" w:rsidRDefault="00283DCF" w:rsidP="00283D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Se mantiene libre la capacidad de endeudamiento del cliente.</w:t>
      </w:r>
    </w:p>
    <w:p w:rsidR="00283DCF" w:rsidRPr="00283DCF" w:rsidRDefault="00283DCF" w:rsidP="00283D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Flexible en plazos, cantidades y acceso a servicios.</w:t>
      </w:r>
    </w:p>
    <w:p w:rsidR="00283DCF" w:rsidRPr="00283DCF" w:rsidRDefault="00283DCF" w:rsidP="00283D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Permite conservar las condiciones de venta al contado.</w:t>
      </w:r>
    </w:p>
    <w:p w:rsidR="00283DCF" w:rsidRPr="00283DCF" w:rsidRDefault="00283DCF" w:rsidP="00283D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La cuota de amortización es gasto tributario, por lo cual el valor total del equipo salvo la cantidad de la opción de compra se rebaja como gasto, en un plazo que puede ser menor al de la </w:t>
      </w:r>
      <w:hyperlink r:id="rId39" w:tooltip="Depreciación" w:history="1">
        <w:r w:rsidRPr="00283DCF">
          <w:rPr>
            <w:rFonts w:ascii="Times New Roman" w:eastAsia="Times New Roman" w:hAnsi="Times New Roman" w:cs="Times New Roman"/>
            <w:color w:val="0000FF"/>
            <w:sz w:val="24"/>
            <w:szCs w:val="24"/>
            <w:u w:val="single"/>
            <w:lang w:eastAsia="es-ES"/>
          </w:rPr>
          <w:t>depreciación</w:t>
        </w:r>
      </w:hyperlink>
      <w:r w:rsidRPr="00283DCF">
        <w:rPr>
          <w:rFonts w:ascii="Times New Roman" w:eastAsia="Times New Roman" w:hAnsi="Times New Roman" w:cs="Times New Roman"/>
          <w:sz w:val="24"/>
          <w:szCs w:val="24"/>
          <w:lang w:eastAsia="es-ES"/>
        </w:rPr>
        <w:t xml:space="preserve"> acelerada. La empresa así, puede obtener importantes ahorros tributarios.</w:t>
      </w:r>
    </w:p>
    <w:p w:rsidR="00283DCF" w:rsidRPr="00283DCF" w:rsidRDefault="00283DCF" w:rsidP="00283D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Mínima conservación del capital de trabajo.</w:t>
      </w:r>
    </w:p>
    <w:p w:rsidR="00283DCF" w:rsidRPr="00283DCF" w:rsidRDefault="00283DCF" w:rsidP="00283D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Oportunidad de renovación tecnológica.</w:t>
      </w:r>
    </w:p>
    <w:p w:rsidR="00283DCF" w:rsidRPr="00283DCF" w:rsidRDefault="00283DCF" w:rsidP="00283D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Rapidez en la operación.</w:t>
      </w:r>
    </w:p>
    <w:p w:rsidR="00283DCF" w:rsidRPr="00283DCF" w:rsidRDefault="00283DCF" w:rsidP="00283DC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El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xml:space="preserve"> permite el mantenimiento de la propiedad de la empresa. En caso contrario (sin </w:t>
      </w:r>
      <w:r w:rsidRPr="00283DCF">
        <w:rPr>
          <w:rFonts w:ascii="Times New Roman" w:eastAsia="Times New Roman" w:hAnsi="Times New Roman" w:cs="Times New Roman"/>
          <w:i/>
          <w:iCs/>
          <w:sz w:val="24"/>
          <w:szCs w:val="24"/>
          <w:lang w:eastAsia="es-ES"/>
        </w:rPr>
        <w:t>leasing</w:t>
      </w:r>
      <w:r w:rsidRPr="00283DCF">
        <w:rPr>
          <w:rFonts w:ascii="Times New Roman" w:eastAsia="Times New Roman" w:hAnsi="Times New Roman" w:cs="Times New Roman"/>
          <w:sz w:val="24"/>
          <w:szCs w:val="24"/>
          <w:lang w:eastAsia="es-ES"/>
        </w:rPr>
        <w:t>), si en una actividad comercial se requiere una fuente de inversión para nuevos equipos, es frecuente que se haga la financiación del proyecto con aumentos de capital o emisión de acciones de pago, lo que implica, en muchos casos, dividir la propiedad de la empresa entre nuevos socios reduciéndose el grado de control sobre la compañía.</w:t>
      </w:r>
    </w:p>
    <w:p w:rsidR="00283DCF" w:rsidRPr="00283DCF" w:rsidRDefault="00283DCF" w:rsidP="00283DC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83DCF">
        <w:rPr>
          <w:rFonts w:ascii="Times New Roman" w:eastAsia="Times New Roman" w:hAnsi="Times New Roman" w:cs="Times New Roman"/>
          <w:b/>
          <w:bCs/>
          <w:sz w:val="27"/>
          <w:szCs w:val="27"/>
          <w:lang w:eastAsia="es-ES"/>
        </w:rPr>
        <w:t>Desventajas</w:t>
      </w:r>
    </w:p>
    <w:p w:rsidR="00283DCF" w:rsidRPr="00283DCF" w:rsidRDefault="00283DCF" w:rsidP="00283DC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 xml:space="preserve">Se accede a la propiedad del bien, a veces al final del contrato, al ejercer la </w:t>
      </w:r>
      <w:hyperlink r:id="rId40" w:tooltip="Opción de compra" w:history="1">
        <w:r w:rsidRPr="00283DCF">
          <w:rPr>
            <w:rFonts w:ascii="Times New Roman" w:eastAsia="Times New Roman" w:hAnsi="Times New Roman" w:cs="Times New Roman"/>
            <w:color w:val="0000FF"/>
            <w:sz w:val="24"/>
            <w:szCs w:val="24"/>
            <w:u w:val="single"/>
            <w:lang w:eastAsia="es-ES"/>
          </w:rPr>
          <w:t>opción de compra</w:t>
        </w:r>
      </w:hyperlink>
      <w:r w:rsidRPr="00283DCF">
        <w:rPr>
          <w:rFonts w:ascii="Times New Roman" w:eastAsia="Times New Roman" w:hAnsi="Times New Roman" w:cs="Times New Roman"/>
          <w:sz w:val="24"/>
          <w:szCs w:val="24"/>
          <w:lang w:eastAsia="es-ES"/>
        </w:rPr>
        <w:t>.</w:t>
      </w:r>
    </w:p>
    <w:p w:rsidR="00283DCF" w:rsidRPr="00283DCF" w:rsidRDefault="00283DCF" w:rsidP="00283DC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No permite entregar el bien hasta la finalización del contrato.</w:t>
      </w:r>
    </w:p>
    <w:p w:rsidR="00283DCF" w:rsidRPr="00283DCF" w:rsidRDefault="00283DCF" w:rsidP="00283DC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Existencia de cláusulas penales previstas por incumplimiento de obligaciones contractuales.</w:t>
      </w:r>
    </w:p>
    <w:p w:rsidR="00283DCF" w:rsidRPr="00283DCF" w:rsidRDefault="00283DCF" w:rsidP="00283DC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83DCF">
        <w:rPr>
          <w:rFonts w:ascii="Times New Roman" w:eastAsia="Times New Roman" w:hAnsi="Times New Roman" w:cs="Times New Roman"/>
          <w:sz w:val="24"/>
          <w:szCs w:val="24"/>
          <w:lang w:eastAsia="es-ES"/>
        </w:rPr>
        <w:t>Coste a veces mayor que el de otras formas de financiación, en particular cuando se producen descensos en los tipos de interés.</w:t>
      </w:r>
    </w:p>
    <w:p w:rsidR="00283DCF" w:rsidRPr="00283DCF" w:rsidRDefault="00283DCF" w:rsidP="00283DC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83DCF">
        <w:rPr>
          <w:rFonts w:ascii="Times New Roman" w:eastAsia="Times New Roman" w:hAnsi="Times New Roman" w:cs="Times New Roman"/>
          <w:b/>
          <w:bCs/>
          <w:sz w:val="36"/>
          <w:szCs w:val="36"/>
          <w:lang w:eastAsia="es-ES"/>
        </w:rPr>
        <w:t>Véase también</w:t>
      </w:r>
    </w:p>
    <w:p w:rsidR="00283DCF" w:rsidRPr="00283DCF" w:rsidRDefault="00283DCF" w:rsidP="00283DCF">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41" w:tooltip="Arrendamiento" w:history="1">
        <w:r w:rsidRPr="00283DCF">
          <w:rPr>
            <w:rFonts w:ascii="Times New Roman" w:eastAsia="Times New Roman" w:hAnsi="Times New Roman" w:cs="Times New Roman"/>
            <w:color w:val="0000FF"/>
            <w:sz w:val="24"/>
            <w:szCs w:val="24"/>
            <w:u w:val="single"/>
            <w:lang w:eastAsia="es-ES"/>
          </w:rPr>
          <w:t>Arrendamiento</w:t>
        </w:r>
      </w:hyperlink>
    </w:p>
    <w:p w:rsidR="00283DCF" w:rsidRPr="00283DCF" w:rsidRDefault="00283DCF" w:rsidP="00283DCF">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42" w:tooltip="Compraventa" w:history="1">
        <w:r w:rsidRPr="00283DCF">
          <w:rPr>
            <w:rFonts w:ascii="Times New Roman" w:eastAsia="Times New Roman" w:hAnsi="Times New Roman" w:cs="Times New Roman"/>
            <w:color w:val="0000FF"/>
            <w:sz w:val="24"/>
            <w:szCs w:val="24"/>
            <w:u w:val="single"/>
            <w:lang w:eastAsia="es-ES"/>
          </w:rPr>
          <w:t>Compraventa</w:t>
        </w:r>
      </w:hyperlink>
    </w:p>
    <w:p w:rsidR="00283DCF" w:rsidRPr="00283DCF" w:rsidRDefault="00283DCF" w:rsidP="00283DCF">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43" w:tooltip="Convención de UNIDROIT sobre arrendamiento financiero internacional" w:history="1">
        <w:r w:rsidRPr="00283DCF">
          <w:rPr>
            <w:rFonts w:ascii="Times New Roman" w:eastAsia="Times New Roman" w:hAnsi="Times New Roman" w:cs="Times New Roman"/>
            <w:color w:val="0000FF"/>
            <w:sz w:val="24"/>
            <w:szCs w:val="24"/>
            <w:u w:val="single"/>
            <w:lang w:eastAsia="es-ES"/>
          </w:rPr>
          <w:t>Convención de UNIDROIT sobre arrendamiento financiero internacional</w:t>
        </w:r>
      </w:hyperlink>
    </w:p>
    <w:p w:rsidR="002E4365" w:rsidRDefault="002E4365">
      <w:bookmarkStart w:id="0" w:name="_GoBack"/>
      <w:bookmarkEnd w:id="0"/>
    </w:p>
    <w:sectPr w:rsidR="002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29FA"/>
    <w:multiLevelType w:val="multilevel"/>
    <w:tmpl w:val="1D5A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5011D"/>
    <w:multiLevelType w:val="multilevel"/>
    <w:tmpl w:val="E7DC9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A415AD"/>
    <w:multiLevelType w:val="multilevel"/>
    <w:tmpl w:val="80A2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E75DD0"/>
    <w:multiLevelType w:val="multilevel"/>
    <w:tmpl w:val="8FF4E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8E48CF"/>
    <w:multiLevelType w:val="multilevel"/>
    <w:tmpl w:val="F89C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CF"/>
    <w:rsid w:val="00283DCF"/>
    <w:rsid w:val="002E4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83D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83DC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83DC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3DC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83DCF"/>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83DCF"/>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283DCF"/>
    <w:rPr>
      <w:color w:val="0000FF"/>
      <w:u w:val="single"/>
    </w:rPr>
  </w:style>
  <w:style w:type="paragraph" w:styleId="NormalWeb">
    <w:name w:val="Normal (Web)"/>
    <w:basedOn w:val="Normal"/>
    <w:uiPriority w:val="99"/>
    <w:semiHidden/>
    <w:unhideWhenUsed/>
    <w:rsid w:val="00283D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number">
    <w:name w:val="tocnumber"/>
    <w:basedOn w:val="Fuentedeprrafopredeter"/>
    <w:rsid w:val="00283DCF"/>
  </w:style>
  <w:style w:type="character" w:customStyle="1" w:styleId="toctext">
    <w:name w:val="toctext"/>
    <w:basedOn w:val="Fuentedeprrafopredeter"/>
    <w:rsid w:val="00283DCF"/>
  </w:style>
  <w:style w:type="character" w:customStyle="1" w:styleId="mw-headline">
    <w:name w:val="mw-headline"/>
    <w:basedOn w:val="Fuentedeprrafopredeter"/>
    <w:rsid w:val="00283DCF"/>
  </w:style>
  <w:style w:type="paragraph" w:styleId="Textodeglobo">
    <w:name w:val="Balloon Text"/>
    <w:basedOn w:val="Normal"/>
    <w:link w:val="TextodegloboCar"/>
    <w:uiPriority w:val="99"/>
    <w:semiHidden/>
    <w:unhideWhenUsed/>
    <w:rsid w:val="00283D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3D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83D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83DC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83DC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3DC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83DCF"/>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83DCF"/>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283DCF"/>
    <w:rPr>
      <w:color w:val="0000FF"/>
      <w:u w:val="single"/>
    </w:rPr>
  </w:style>
  <w:style w:type="paragraph" w:styleId="NormalWeb">
    <w:name w:val="Normal (Web)"/>
    <w:basedOn w:val="Normal"/>
    <w:uiPriority w:val="99"/>
    <w:semiHidden/>
    <w:unhideWhenUsed/>
    <w:rsid w:val="00283D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number">
    <w:name w:val="tocnumber"/>
    <w:basedOn w:val="Fuentedeprrafopredeter"/>
    <w:rsid w:val="00283DCF"/>
  </w:style>
  <w:style w:type="character" w:customStyle="1" w:styleId="toctext">
    <w:name w:val="toctext"/>
    <w:basedOn w:val="Fuentedeprrafopredeter"/>
    <w:rsid w:val="00283DCF"/>
  </w:style>
  <w:style w:type="character" w:customStyle="1" w:styleId="mw-headline">
    <w:name w:val="mw-headline"/>
    <w:basedOn w:val="Fuentedeprrafopredeter"/>
    <w:rsid w:val="00283DCF"/>
  </w:style>
  <w:style w:type="paragraph" w:styleId="Textodeglobo">
    <w:name w:val="Balloon Text"/>
    <w:basedOn w:val="Normal"/>
    <w:link w:val="TextodegloboCar"/>
    <w:uiPriority w:val="99"/>
    <w:semiHidden/>
    <w:unhideWhenUsed/>
    <w:rsid w:val="00283D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3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33225">
      <w:bodyDiv w:val="1"/>
      <w:marLeft w:val="0"/>
      <w:marRight w:val="0"/>
      <w:marTop w:val="0"/>
      <w:marBottom w:val="0"/>
      <w:divBdr>
        <w:top w:val="none" w:sz="0" w:space="0" w:color="auto"/>
        <w:left w:val="none" w:sz="0" w:space="0" w:color="auto"/>
        <w:bottom w:val="none" w:sz="0" w:space="0" w:color="auto"/>
        <w:right w:val="none" w:sz="0" w:space="0" w:color="auto"/>
      </w:divBdr>
      <w:divsChild>
        <w:div w:id="1588029177">
          <w:marLeft w:val="0"/>
          <w:marRight w:val="0"/>
          <w:marTop w:val="0"/>
          <w:marBottom w:val="0"/>
          <w:divBdr>
            <w:top w:val="none" w:sz="0" w:space="0" w:color="auto"/>
            <w:left w:val="none" w:sz="0" w:space="0" w:color="auto"/>
            <w:bottom w:val="none" w:sz="0" w:space="0" w:color="auto"/>
            <w:right w:val="none" w:sz="0" w:space="0" w:color="auto"/>
          </w:divBdr>
          <w:divsChild>
            <w:div w:id="1076829210">
              <w:marLeft w:val="0"/>
              <w:marRight w:val="0"/>
              <w:marTop w:val="0"/>
              <w:marBottom w:val="0"/>
              <w:divBdr>
                <w:top w:val="none" w:sz="0" w:space="0" w:color="auto"/>
                <w:left w:val="none" w:sz="0" w:space="0" w:color="auto"/>
                <w:bottom w:val="none" w:sz="0" w:space="0" w:color="auto"/>
                <w:right w:val="none" w:sz="0" w:space="0" w:color="auto"/>
              </w:divBdr>
            </w:div>
            <w:div w:id="1142501201">
              <w:marLeft w:val="0"/>
              <w:marRight w:val="0"/>
              <w:marTop w:val="0"/>
              <w:marBottom w:val="0"/>
              <w:divBdr>
                <w:top w:val="none" w:sz="0" w:space="0" w:color="auto"/>
                <w:left w:val="none" w:sz="0" w:space="0" w:color="auto"/>
                <w:bottom w:val="none" w:sz="0" w:space="0" w:color="auto"/>
                <w:right w:val="none" w:sz="0" w:space="0" w:color="auto"/>
              </w:divBdr>
              <w:divsChild>
                <w:div w:id="4788702">
                  <w:marLeft w:val="0"/>
                  <w:marRight w:val="0"/>
                  <w:marTop w:val="0"/>
                  <w:marBottom w:val="0"/>
                  <w:divBdr>
                    <w:top w:val="none" w:sz="0" w:space="0" w:color="auto"/>
                    <w:left w:val="none" w:sz="0" w:space="0" w:color="auto"/>
                    <w:bottom w:val="none" w:sz="0" w:space="0" w:color="auto"/>
                    <w:right w:val="none" w:sz="0" w:space="0" w:color="auto"/>
                  </w:divBdr>
                  <w:divsChild>
                    <w:div w:id="391775832">
                      <w:marLeft w:val="0"/>
                      <w:marRight w:val="0"/>
                      <w:marTop w:val="0"/>
                      <w:marBottom w:val="0"/>
                      <w:divBdr>
                        <w:top w:val="none" w:sz="0" w:space="0" w:color="auto"/>
                        <w:left w:val="none" w:sz="0" w:space="0" w:color="auto"/>
                        <w:bottom w:val="none" w:sz="0" w:space="0" w:color="auto"/>
                        <w:right w:val="none" w:sz="0" w:space="0" w:color="auto"/>
                      </w:divBdr>
                    </w:div>
                  </w:divsChild>
                </w:div>
                <w:div w:id="2029479083">
                  <w:marLeft w:val="0"/>
                  <w:marRight w:val="0"/>
                  <w:marTop w:val="0"/>
                  <w:marBottom w:val="0"/>
                  <w:divBdr>
                    <w:top w:val="none" w:sz="0" w:space="0" w:color="auto"/>
                    <w:left w:val="none" w:sz="0" w:space="0" w:color="auto"/>
                    <w:bottom w:val="none" w:sz="0" w:space="0" w:color="auto"/>
                    <w:right w:val="none" w:sz="0" w:space="0" w:color="auto"/>
                  </w:divBdr>
                </w:div>
                <w:div w:id="1002122547">
                  <w:marLeft w:val="0"/>
                  <w:marRight w:val="0"/>
                  <w:marTop w:val="0"/>
                  <w:marBottom w:val="0"/>
                  <w:divBdr>
                    <w:top w:val="none" w:sz="0" w:space="0" w:color="auto"/>
                    <w:left w:val="none" w:sz="0" w:space="0" w:color="auto"/>
                    <w:bottom w:val="none" w:sz="0" w:space="0" w:color="auto"/>
                    <w:right w:val="none" w:sz="0" w:space="0" w:color="auto"/>
                  </w:divBdr>
                  <w:divsChild>
                    <w:div w:id="1110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ontrato" TargetMode="External"/><Relationship Id="rId13" Type="http://schemas.openxmlformats.org/officeDocument/2006/relationships/hyperlink" Target="http://es.wikipedia.org/wiki/Arrendamiento_financiero" TargetMode="External"/><Relationship Id="rId18" Type="http://schemas.openxmlformats.org/officeDocument/2006/relationships/hyperlink" Target="http://es.wikipedia.org/wiki/Arrendamiento_financiero" TargetMode="External"/><Relationship Id="rId26" Type="http://schemas.openxmlformats.org/officeDocument/2006/relationships/hyperlink" Target="http://es.wikipedia.org/wiki/Arrendamiento" TargetMode="External"/><Relationship Id="rId39" Type="http://schemas.openxmlformats.org/officeDocument/2006/relationships/hyperlink" Target="http://es.wikipedia.org/wiki/Depreciaci%C3%B3n" TargetMode="External"/><Relationship Id="rId3" Type="http://schemas.microsoft.com/office/2007/relationships/stylesWithEffects" Target="stylesWithEffects.xml"/><Relationship Id="rId21" Type="http://schemas.openxmlformats.org/officeDocument/2006/relationships/hyperlink" Target="http://commons.wikimedia.org/wiki/File:Commons-emblem-scales.svg" TargetMode="External"/><Relationship Id="rId34" Type="http://schemas.openxmlformats.org/officeDocument/2006/relationships/hyperlink" Target="http://commons.wikimedia.org/wiki/File:Lease_Formula.png" TargetMode="External"/><Relationship Id="rId42" Type="http://schemas.openxmlformats.org/officeDocument/2006/relationships/hyperlink" Target="http://es.wikipedia.org/wiki/Compraventa" TargetMode="External"/><Relationship Id="rId7" Type="http://schemas.openxmlformats.org/officeDocument/2006/relationships/hyperlink" Target="http://es.wikipedia.org/wiki/Arrendamiento_financiero" TargetMode="External"/><Relationship Id="rId12" Type="http://schemas.openxmlformats.org/officeDocument/2006/relationships/hyperlink" Target="http://es.wikipedia.org/wiki/Arrendamiento_financiero" TargetMode="External"/><Relationship Id="rId17" Type="http://schemas.openxmlformats.org/officeDocument/2006/relationships/hyperlink" Target="http://es.wikipedia.org/wiki/Arrendamiento_financiero" TargetMode="External"/><Relationship Id="rId25" Type="http://schemas.openxmlformats.org/officeDocument/2006/relationships/hyperlink" Target="http://es.wikipedia.org/wiki/Discusi%C3%B3n:Arrendamiento_financiero" TargetMode="External"/><Relationship Id="rId33" Type="http://schemas.openxmlformats.org/officeDocument/2006/relationships/hyperlink" Target="http://es.wikipedia.org/wiki/Arrendamiento_financiero" TargetMode="External"/><Relationship Id="rId38" Type="http://schemas.openxmlformats.org/officeDocument/2006/relationships/hyperlink" Target="http://es.wikipedia.org/wiki/Arrendamiento_financiero" TargetMode="External"/><Relationship Id="rId2" Type="http://schemas.openxmlformats.org/officeDocument/2006/relationships/styles" Target="styles.xml"/><Relationship Id="rId16" Type="http://schemas.openxmlformats.org/officeDocument/2006/relationships/hyperlink" Target="http://es.wikipedia.org/wiki/Arrendamiento_financiero" TargetMode="External"/><Relationship Id="rId20" Type="http://schemas.openxmlformats.org/officeDocument/2006/relationships/hyperlink" Target="http://es.wikipedia.org/wiki/Arrendamiento_financiero" TargetMode="External"/><Relationship Id="rId29" Type="http://schemas.openxmlformats.org/officeDocument/2006/relationships/hyperlink" Target="http://es.wikipedia.org/wiki/C%C3%B3digo_civil" TargetMode="External"/><Relationship Id="rId41" Type="http://schemas.openxmlformats.org/officeDocument/2006/relationships/hyperlink" Target="http://es.wikipedia.org/wiki/Arrendamiento" TargetMode="External"/><Relationship Id="rId1" Type="http://schemas.openxmlformats.org/officeDocument/2006/relationships/numbering" Target="numbering.xml"/><Relationship Id="rId6" Type="http://schemas.openxmlformats.org/officeDocument/2006/relationships/hyperlink" Target="http://es.wikipedia.org/wiki/Arrendamiento_financiero" TargetMode="External"/><Relationship Id="rId11" Type="http://schemas.openxmlformats.org/officeDocument/2006/relationships/hyperlink" Target="http://es.wikipedia.org/wiki/Precio" TargetMode="External"/><Relationship Id="rId24" Type="http://schemas.openxmlformats.org/officeDocument/2006/relationships/hyperlink" Target="http://es.wikipedia.org/wiki/WP:SI" TargetMode="External"/><Relationship Id="rId32" Type="http://schemas.openxmlformats.org/officeDocument/2006/relationships/hyperlink" Target="http://es.wikipedia.org/wiki/IGIC" TargetMode="External"/><Relationship Id="rId37" Type="http://schemas.openxmlformats.org/officeDocument/2006/relationships/hyperlink" Target="http://es.wikipedia.org/wiki/Impuesto_sobre_el_Valor_A%C3%B1adido" TargetMode="External"/><Relationship Id="rId40" Type="http://schemas.openxmlformats.org/officeDocument/2006/relationships/hyperlink" Target="http://es.wikipedia.org/wiki/Opci%C3%B3n_de_compr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wikipedia.org/wiki/Arrendamiento_financiero" TargetMode="External"/><Relationship Id="rId23" Type="http://schemas.openxmlformats.org/officeDocument/2006/relationships/hyperlink" Target="http://es.wikipedia.org/wiki/Wikipedia:Punto_de_vista_neutral" TargetMode="External"/><Relationship Id="rId28" Type="http://schemas.openxmlformats.org/officeDocument/2006/relationships/hyperlink" Target="http://es.wikipedia.org/wiki/Comodato" TargetMode="External"/><Relationship Id="rId36" Type="http://schemas.openxmlformats.org/officeDocument/2006/relationships/hyperlink" Target="http://es.wikipedia.org/wiki/Prima_de_riesgo" TargetMode="External"/><Relationship Id="rId10" Type="http://schemas.openxmlformats.org/officeDocument/2006/relationships/hyperlink" Target="http://es.wikipedia.org/wiki/Bien_econ%C3%B3mico" TargetMode="External"/><Relationship Id="rId19" Type="http://schemas.openxmlformats.org/officeDocument/2006/relationships/hyperlink" Target="http://es.wikipedia.org/wiki/Arrendamiento_financiero" TargetMode="External"/><Relationship Id="rId31" Type="http://schemas.openxmlformats.org/officeDocument/2006/relationships/hyperlink" Target="http://es.wikipedia.org/wiki/IV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wikipedia.org/wiki/Derecho" TargetMode="External"/><Relationship Id="rId14" Type="http://schemas.openxmlformats.org/officeDocument/2006/relationships/hyperlink" Target="http://es.wikipedia.org/wiki/Arrendamiento_financiero" TargetMode="External"/><Relationship Id="rId22" Type="http://schemas.openxmlformats.org/officeDocument/2006/relationships/image" Target="media/image1.png"/><Relationship Id="rId27" Type="http://schemas.openxmlformats.org/officeDocument/2006/relationships/hyperlink" Target="http://es.wikipedia.org/wiki/Wikipedia:Verificabilidad" TargetMode="External"/><Relationship Id="rId30" Type="http://schemas.openxmlformats.org/officeDocument/2006/relationships/hyperlink" Target="http://es.wikipedia.org/wiki/Impuesto_de_Sociedades" TargetMode="External"/><Relationship Id="rId35" Type="http://schemas.openxmlformats.org/officeDocument/2006/relationships/image" Target="media/image2.png"/><Relationship Id="rId43" Type="http://schemas.openxmlformats.org/officeDocument/2006/relationships/hyperlink" Target="http://es.wikipedia.org/wiki/Convenci%C3%B3n_de_UNIDROIT_sobre_arrendamiento_financiero_inter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1920</Words>
  <Characters>10564</Characters>
  <Application>Microsoft Office Word</Application>
  <DocSecurity>0</DocSecurity>
  <Lines>88</Lines>
  <Paragraphs>24</Paragraphs>
  <ScaleCrop>false</ScaleCrop>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Calix</dc:creator>
  <cp:lastModifiedBy>Roberto Calix</cp:lastModifiedBy>
  <cp:revision>1</cp:revision>
  <dcterms:created xsi:type="dcterms:W3CDTF">2013-12-18T04:58:00Z</dcterms:created>
  <dcterms:modified xsi:type="dcterms:W3CDTF">2013-12-18T04:59:00Z</dcterms:modified>
</cp:coreProperties>
</file>