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F7" w:rsidRPr="000A0EE7" w:rsidRDefault="00F265F7" w:rsidP="00F265F7">
      <w:pPr>
        <w:pStyle w:val="NormalWeb"/>
        <w:shd w:val="clear" w:color="auto" w:fill="EAC450"/>
        <w:jc w:val="both"/>
        <w:rPr>
          <w:rFonts w:ascii="Verdana" w:hAnsi="Verdana"/>
          <w:color w:val="000000"/>
          <w:sz w:val="17"/>
          <w:szCs w:val="17"/>
          <w:lang w:val="es-ES"/>
        </w:rPr>
      </w:pPr>
      <w:r w:rsidRPr="000A0EE7">
        <w:rPr>
          <w:rFonts w:ascii="Verdana" w:hAnsi="Verdana"/>
          <w:color w:val="000000"/>
          <w:sz w:val="17"/>
          <w:szCs w:val="17"/>
          <w:lang w:val="es-ES"/>
        </w:rPr>
        <w:t>La</w:t>
      </w:r>
      <w:r w:rsidRPr="000A0EE7">
        <w:rPr>
          <w:rStyle w:val="apple-converted-space"/>
          <w:rFonts w:ascii="Verdana" w:hAnsi="Verdana"/>
          <w:b/>
          <w:bCs/>
          <w:color w:val="000000"/>
          <w:sz w:val="17"/>
          <w:szCs w:val="17"/>
          <w:lang w:val="es-ES"/>
        </w:rPr>
        <w:t> </w:t>
      </w:r>
      <w:r w:rsidRPr="000A0EE7">
        <w:rPr>
          <w:rStyle w:val="Textoennegrita"/>
          <w:rFonts w:ascii="Verdana" w:hAnsi="Verdana"/>
          <w:color w:val="000000"/>
          <w:sz w:val="17"/>
          <w:szCs w:val="17"/>
          <w:lang w:val="es-ES"/>
        </w:rPr>
        <w:t>Bolsa</w:t>
      </w:r>
      <w:r w:rsidRPr="000A0EE7">
        <w:rPr>
          <w:rStyle w:val="apple-converted-space"/>
          <w:rFonts w:ascii="Verdana" w:hAnsi="Verdana"/>
          <w:b/>
          <w:bCs/>
          <w:color w:val="000000"/>
          <w:sz w:val="17"/>
          <w:szCs w:val="17"/>
          <w:lang w:val="es-ES"/>
        </w:rPr>
        <w:t> </w:t>
      </w:r>
      <w:r w:rsidRPr="000A0EE7">
        <w:rPr>
          <w:rStyle w:val="Textoennegrita"/>
          <w:rFonts w:ascii="Verdana" w:hAnsi="Verdana"/>
          <w:color w:val="000000"/>
          <w:sz w:val="17"/>
          <w:szCs w:val="17"/>
          <w:lang w:val="es-ES"/>
        </w:rPr>
        <w:t>de Valores de El Salvador (BVES)</w:t>
      </w:r>
      <w:r w:rsidRPr="000A0EE7">
        <w:rPr>
          <w:rStyle w:val="apple-converted-space"/>
          <w:rFonts w:ascii="Verdana" w:hAnsi="Verdana"/>
          <w:color w:val="000000"/>
          <w:sz w:val="17"/>
          <w:szCs w:val="17"/>
          <w:lang w:val="es-ES"/>
        </w:rPr>
        <w:t> </w:t>
      </w:r>
      <w:r w:rsidRPr="000A0EE7">
        <w:rPr>
          <w:rFonts w:ascii="Verdana" w:hAnsi="Verdana"/>
          <w:color w:val="000000"/>
          <w:sz w:val="17"/>
          <w:szCs w:val="17"/>
          <w:lang w:val="es-ES"/>
        </w:rPr>
        <w:t>y la</w:t>
      </w:r>
      <w:r w:rsidRPr="000A0EE7">
        <w:rPr>
          <w:rStyle w:val="apple-converted-space"/>
          <w:rFonts w:ascii="Verdana" w:hAnsi="Verdana"/>
          <w:color w:val="000000"/>
          <w:sz w:val="17"/>
          <w:szCs w:val="17"/>
          <w:lang w:val="es-ES"/>
        </w:rPr>
        <w:t> </w:t>
      </w:r>
      <w:r w:rsidRPr="000A0EE7">
        <w:rPr>
          <w:rStyle w:val="Textoennegrita"/>
          <w:rFonts w:ascii="Verdana" w:hAnsi="Verdana"/>
          <w:color w:val="000000"/>
          <w:sz w:val="17"/>
          <w:szCs w:val="17"/>
          <w:lang w:val="es-ES"/>
        </w:rPr>
        <w:t>Central</w:t>
      </w:r>
      <w:r w:rsidRPr="000A0EE7">
        <w:rPr>
          <w:rStyle w:val="apple-converted-space"/>
          <w:rFonts w:ascii="Verdana" w:hAnsi="Verdana"/>
          <w:b/>
          <w:bCs/>
          <w:color w:val="000000"/>
          <w:sz w:val="17"/>
          <w:szCs w:val="17"/>
          <w:lang w:val="es-ES"/>
        </w:rPr>
        <w:t> </w:t>
      </w:r>
      <w:r w:rsidRPr="000A0EE7">
        <w:rPr>
          <w:rStyle w:val="Textoennegrita"/>
          <w:rFonts w:ascii="Verdana" w:hAnsi="Verdana"/>
          <w:color w:val="000000"/>
          <w:sz w:val="17"/>
          <w:szCs w:val="17"/>
          <w:lang w:val="es-ES"/>
        </w:rPr>
        <w:t>de Depósito de Valores (CEDEVAL)</w:t>
      </w:r>
      <w:r w:rsidRPr="000A0EE7">
        <w:rPr>
          <w:rStyle w:val="apple-converted-space"/>
          <w:rFonts w:ascii="Verdana" w:hAnsi="Verdana"/>
          <w:color w:val="000000"/>
          <w:sz w:val="17"/>
          <w:szCs w:val="17"/>
          <w:lang w:val="es-ES"/>
        </w:rPr>
        <w:t> </w:t>
      </w:r>
      <w:r w:rsidRPr="000A0EE7">
        <w:rPr>
          <w:rFonts w:ascii="Verdana" w:hAnsi="Verdana"/>
          <w:color w:val="000000"/>
          <w:sz w:val="17"/>
          <w:szCs w:val="17"/>
          <w:lang w:val="es-ES"/>
        </w:rPr>
        <w:t>forman parte de un Mercado de Valores ordenado y organizado, el cual es vigilado por la</w:t>
      </w:r>
      <w:r w:rsidRPr="000A0EE7">
        <w:rPr>
          <w:rStyle w:val="apple-converted-space"/>
          <w:rFonts w:ascii="Verdana" w:hAnsi="Verdana"/>
          <w:color w:val="000000"/>
          <w:sz w:val="17"/>
          <w:szCs w:val="17"/>
          <w:lang w:val="es-ES"/>
        </w:rPr>
        <w:t> </w:t>
      </w:r>
      <w:hyperlink r:id="rId5" w:history="1">
        <w:r w:rsidRPr="000A0EE7">
          <w:rPr>
            <w:rStyle w:val="Hipervnculo"/>
            <w:rFonts w:ascii="Verdana" w:hAnsi="Verdana"/>
            <w:b/>
            <w:bCs/>
            <w:color w:val="0000CC"/>
            <w:sz w:val="17"/>
            <w:szCs w:val="17"/>
            <w:lang w:val="es-ES"/>
          </w:rPr>
          <w:t>Superintendencia</w:t>
        </w:r>
      </w:hyperlink>
      <w:hyperlink r:id="rId6" w:history="1">
        <w:r w:rsidRPr="000A0EE7">
          <w:rPr>
            <w:rStyle w:val="apple-converted-space"/>
            <w:rFonts w:ascii="Verdana" w:hAnsi="Verdana"/>
            <w:b/>
            <w:bCs/>
            <w:color w:val="0000CC"/>
            <w:sz w:val="17"/>
            <w:szCs w:val="17"/>
            <w:u w:val="single"/>
            <w:lang w:val="es-ES"/>
          </w:rPr>
          <w:t> </w:t>
        </w:r>
        <w:r w:rsidRPr="000A0EE7">
          <w:rPr>
            <w:rStyle w:val="Textoennegrita"/>
            <w:rFonts w:ascii="Verdana" w:hAnsi="Verdana"/>
            <w:color w:val="0000CC"/>
            <w:sz w:val="17"/>
            <w:szCs w:val="17"/>
            <w:u w:val="single"/>
            <w:lang w:val="es-ES"/>
          </w:rPr>
          <w:t>de Valores</w:t>
        </w:r>
      </w:hyperlink>
      <w:r w:rsidRPr="000A0EE7">
        <w:rPr>
          <w:rStyle w:val="apple-converted-space"/>
          <w:rFonts w:ascii="Verdana" w:hAnsi="Verdana"/>
          <w:b/>
          <w:bCs/>
          <w:color w:val="000000"/>
          <w:sz w:val="17"/>
          <w:szCs w:val="17"/>
          <w:lang w:val="es-ES"/>
        </w:rPr>
        <w:t> </w:t>
      </w:r>
      <w:r w:rsidRPr="000A0EE7">
        <w:rPr>
          <w:rFonts w:ascii="Verdana" w:hAnsi="Verdana"/>
          <w:color w:val="000000"/>
          <w:sz w:val="17"/>
          <w:szCs w:val="17"/>
          <w:lang w:val="es-ES"/>
        </w:rPr>
        <w:t>y que se rige por la</w:t>
      </w:r>
      <w:r w:rsidRPr="000A0EE7">
        <w:rPr>
          <w:rStyle w:val="apple-converted-space"/>
          <w:rFonts w:ascii="Verdana" w:hAnsi="Verdana"/>
          <w:color w:val="000000"/>
          <w:sz w:val="17"/>
          <w:szCs w:val="17"/>
          <w:lang w:val="es-ES"/>
        </w:rPr>
        <w:t> </w:t>
      </w:r>
      <w:r w:rsidRPr="000A0EE7">
        <w:rPr>
          <w:rStyle w:val="Textoennegrita"/>
          <w:rFonts w:ascii="Verdana" w:hAnsi="Verdana"/>
          <w:color w:val="000000"/>
          <w:sz w:val="17"/>
          <w:szCs w:val="17"/>
          <w:lang w:val="es-ES"/>
        </w:rPr>
        <w:t>Ley</w:t>
      </w:r>
      <w:r w:rsidRPr="000A0EE7">
        <w:rPr>
          <w:rStyle w:val="apple-converted-space"/>
          <w:rFonts w:ascii="Verdana" w:hAnsi="Verdana"/>
          <w:b/>
          <w:bCs/>
          <w:color w:val="000000"/>
          <w:sz w:val="17"/>
          <w:szCs w:val="17"/>
          <w:lang w:val="es-ES"/>
        </w:rPr>
        <w:t> </w:t>
      </w:r>
      <w:r w:rsidRPr="000A0EE7">
        <w:rPr>
          <w:rStyle w:val="Textoennegrita"/>
          <w:rFonts w:ascii="Verdana" w:hAnsi="Verdana"/>
          <w:color w:val="000000"/>
          <w:sz w:val="17"/>
          <w:szCs w:val="17"/>
          <w:lang w:val="es-ES"/>
        </w:rPr>
        <w:t>del Mercado de Valores</w:t>
      </w:r>
      <w:r w:rsidRPr="000A0EE7">
        <w:rPr>
          <w:rFonts w:ascii="Verdana" w:hAnsi="Verdana"/>
          <w:color w:val="000000"/>
          <w:sz w:val="17"/>
          <w:szCs w:val="17"/>
          <w:lang w:val="es-ES"/>
        </w:rPr>
        <w:t>, sus</w:t>
      </w:r>
      <w:r w:rsidRPr="000A0EE7">
        <w:rPr>
          <w:rStyle w:val="apple-converted-space"/>
          <w:rFonts w:ascii="Verdana" w:hAnsi="Verdana"/>
          <w:color w:val="000000"/>
          <w:sz w:val="17"/>
          <w:szCs w:val="17"/>
          <w:lang w:val="es-ES"/>
        </w:rPr>
        <w:t> </w:t>
      </w:r>
      <w:r w:rsidRPr="000A0EE7">
        <w:rPr>
          <w:rStyle w:val="Textoennegrita"/>
          <w:rFonts w:ascii="Verdana" w:hAnsi="Verdana"/>
          <w:color w:val="000000"/>
          <w:sz w:val="17"/>
          <w:szCs w:val="17"/>
          <w:lang w:val="es-ES"/>
        </w:rPr>
        <w:t>Instructivos</w:t>
      </w:r>
      <w:r w:rsidRPr="000A0EE7">
        <w:rPr>
          <w:rStyle w:val="apple-converted-space"/>
          <w:rFonts w:ascii="Verdana" w:hAnsi="Verdana"/>
          <w:color w:val="000000"/>
          <w:sz w:val="17"/>
          <w:szCs w:val="17"/>
          <w:lang w:val="es-ES"/>
        </w:rPr>
        <w:t> </w:t>
      </w:r>
      <w:r w:rsidRPr="000A0EE7">
        <w:rPr>
          <w:rFonts w:ascii="Verdana" w:hAnsi="Verdana"/>
          <w:color w:val="000000"/>
          <w:sz w:val="17"/>
          <w:szCs w:val="17"/>
          <w:lang w:val="es-ES"/>
        </w:rPr>
        <w:t>y</w:t>
      </w:r>
      <w:r w:rsidRPr="000A0EE7">
        <w:rPr>
          <w:rStyle w:val="apple-converted-space"/>
          <w:rFonts w:ascii="Verdana" w:hAnsi="Verdana"/>
          <w:color w:val="000000"/>
          <w:sz w:val="17"/>
          <w:szCs w:val="17"/>
          <w:lang w:val="es-ES"/>
        </w:rPr>
        <w:t> </w:t>
      </w:r>
      <w:r w:rsidRPr="000A0EE7">
        <w:rPr>
          <w:rStyle w:val="Textoennegrita"/>
          <w:rFonts w:ascii="Verdana" w:hAnsi="Verdana"/>
          <w:color w:val="000000"/>
          <w:sz w:val="17"/>
          <w:szCs w:val="17"/>
          <w:lang w:val="es-ES"/>
        </w:rPr>
        <w:t>Reglamentos</w:t>
      </w:r>
      <w:r w:rsidRPr="000A0EE7">
        <w:rPr>
          <w:rFonts w:ascii="Verdana" w:hAnsi="Verdana"/>
          <w:color w:val="000000"/>
          <w:sz w:val="17"/>
          <w:szCs w:val="17"/>
          <w:lang w:val="es-ES"/>
        </w:rPr>
        <w:t>.</w:t>
      </w:r>
    </w:p>
    <w:p w:rsidR="00F265F7" w:rsidRPr="000A0EE7" w:rsidRDefault="00F265F7" w:rsidP="00F265F7">
      <w:pPr>
        <w:pStyle w:val="NormalWeb"/>
        <w:shd w:val="clear" w:color="auto" w:fill="EAC450"/>
        <w:jc w:val="both"/>
        <w:rPr>
          <w:rFonts w:ascii="Verdana" w:hAnsi="Verdana"/>
          <w:color w:val="000000"/>
          <w:sz w:val="17"/>
          <w:szCs w:val="17"/>
          <w:lang w:val="es-ES"/>
        </w:rPr>
      </w:pPr>
      <w:r w:rsidRPr="000A0EE7">
        <w:rPr>
          <w:rFonts w:ascii="Verdana" w:hAnsi="Verdana"/>
          <w:color w:val="000000"/>
          <w:sz w:val="17"/>
          <w:szCs w:val="17"/>
          <w:lang w:val="es-ES"/>
        </w:rPr>
        <w:t>De igual forma, el Mercado de Valores cuenta en adición a la Ley del Mercado de Valores, que regula la oferta pública de valores, sus transacciones, sus respectivos mercados e intermediarios y a los emisores, con la finalidad de promover el desarrollo eficiente de dichos mercados y velar por los intereses del público inversionista, con otras leyes y decretos que buscan darle transparencia y agilidad, entre las cuales podemos mencionar la</w:t>
      </w:r>
      <w:r w:rsidRPr="000A0EE7">
        <w:rPr>
          <w:rStyle w:val="apple-converted-space"/>
          <w:rFonts w:ascii="Verdana" w:hAnsi="Verdana"/>
          <w:color w:val="000000"/>
          <w:sz w:val="17"/>
          <w:szCs w:val="17"/>
          <w:lang w:val="es-ES"/>
        </w:rPr>
        <w:t> </w:t>
      </w:r>
      <w:r w:rsidRPr="000A0EE7">
        <w:rPr>
          <w:rStyle w:val="Textoennegrita"/>
          <w:rFonts w:ascii="Verdana" w:hAnsi="Verdana"/>
          <w:color w:val="000000"/>
          <w:sz w:val="17"/>
          <w:szCs w:val="17"/>
          <w:lang w:val="es-ES"/>
        </w:rPr>
        <w:t>Ley</w:t>
      </w:r>
      <w:r w:rsidRPr="000A0EE7">
        <w:rPr>
          <w:rStyle w:val="apple-converted-space"/>
          <w:rFonts w:ascii="Verdana" w:hAnsi="Verdana"/>
          <w:b/>
          <w:bCs/>
          <w:color w:val="000000"/>
          <w:sz w:val="17"/>
          <w:szCs w:val="17"/>
          <w:lang w:val="es-ES"/>
        </w:rPr>
        <w:t> </w:t>
      </w:r>
      <w:r w:rsidRPr="000A0EE7">
        <w:rPr>
          <w:rStyle w:val="Textoennegrita"/>
          <w:rFonts w:ascii="Verdana" w:hAnsi="Verdana"/>
          <w:color w:val="000000"/>
          <w:sz w:val="17"/>
          <w:szCs w:val="17"/>
          <w:lang w:val="es-ES"/>
        </w:rPr>
        <w:t>de Anotaciones Electrónicas de Valores en Cuenta</w:t>
      </w:r>
      <w:r w:rsidRPr="000A0EE7">
        <w:rPr>
          <w:rFonts w:ascii="Verdana" w:hAnsi="Verdana"/>
          <w:color w:val="000000"/>
          <w:sz w:val="17"/>
          <w:szCs w:val="17"/>
          <w:lang w:val="es-ES"/>
        </w:rPr>
        <w:t>.</w:t>
      </w:r>
    </w:p>
    <w:tbl>
      <w:tblPr>
        <w:tblW w:w="4183" w:type="pct"/>
        <w:jc w:val="center"/>
        <w:tblCellSpacing w:w="0" w:type="dxa"/>
        <w:shd w:val="clear" w:color="auto" w:fill="EAC450"/>
        <w:tblCellMar>
          <w:left w:w="0" w:type="dxa"/>
          <w:right w:w="0" w:type="dxa"/>
        </w:tblCellMar>
        <w:tblLook w:val="04A0"/>
      </w:tblPr>
      <w:tblGrid>
        <w:gridCol w:w="7831"/>
      </w:tblGrid>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b/>
                <w:bCs/>
                <w:color w:val="006600"/>
                <w:sz w:val="27"/>
                <w:szCs w:val="27"/>
              </w:rPr>
            </w:pPr>
            <w:r w:rsidRPr="00F265F7">
              <w:rPr>
                <w:rFonts w:ascii="Verdana" w:eastAsia="Times New Roman" w:hAnsi="Verdana" w:cs="Times New Roman"/>
                <w:b/>
                <w:bCs/>
                <w:color w:val="006600"/>
                <w:sz w:val="27"/>
                <w:szCs w:val="27"/>
              </w:rPr>
              <w:t>Leyes y Decretos</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rsidTr="00F265F7">
        <w:trPr>
          <w:tblCellSpacing w:w="0" w:type="dxa"/>
          <w:jc w:val="center"/>
        </w:trPr>
        <w:tc>
          <w:tcPr>
            <w:tcW w:w="0" w:type="auto"/>
            <w:shd w:val="clear" w:color="auto" w:fill="EAC450"/>
            <w:vAlign w:val="center"/>
            <w:hideMark/>
          </w:tcPr>
          <w:tbl>
            <w:tblPr>
              <w:tblW w:w="4000" w:type="pct"/>
              <w:tblCellSpacing w:w="0" w:type="dxa"/>
              <w:tblCellMar>
                <w:left w:w="0" w:type="dxa"/>
                <w:right w:w="0" w:type="dxa"/>
              </w:tblCellMar>
              <w:tblLook w:val="04A0"/>
            </w:tblPr>
            <w:tblGrid>
              <w:gridCol w:w="390"/>
              <w:gridCol w:w="5455"/>
              <w:gridCol w:w="420"/>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76225"/>
                        <wp:effectExtent l="19050" t="0" r="9525" b="0"/>
                        <wp:docPr id="1" name="Imagen 1" descr="https://www.bves.com.sv/images/rollover/esq_bols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ves.com.sv/images/rollover/esq_bolsa1.gif"/>
                                <pic:cNvPicPr>
                                  <a:picLocks noChangeAspect="1" noChangeArrowheads="1"/>
                                </pic:cNvPicPr>
                              </pic:nvPicPr>
                              <pic:blipFill>
                                <a:blip r:embed="rId7"/>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47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1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76225"/>
                        <wp:effectExtent l="19050" t="0" r="0" b="0"/>
                        <wp:docPr id="2" name="Imagen 2" descr="https://www.bves.com.sv/images/rollover/esq_bols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ves.com.sv/images/rollover/esq_bolsa2.gif"/>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tbl>
                  <w:tblPr>
                    <w:tblW w:w="5000" w:type="pct"/>
                    <w:jc w:val="center"/>
                    <w:tblCellSpacing w:w="37" w:type="dxa"/>
                    <w:shd w:val="clear" w:color="auto" w:fill="FCE49D"/>
                    <w:tblCellMar>
                      <w:top w:w="30" w:type="dxa"/>
                      <w:left w:w="30" w:type="dxa"/>
                      <w:bottom w:w="30" w:type="dxa"/>
                      <w:right w:w="30" w:type="dxa"/>
                    </w:tblCellMar>
                    <w:tblLook w:val="04A0"/>
                  </w:tblPr>
                  <w:tblGrid>
                    <w:gridCol w:w="5455"/>
                  </w:tblGrid>
                  <w:tr w:rsidR="00F265F7" w:rsidRPr="00F265F7">
                    <w:trPr>
                      <w:trHeight w:val="240"/>
                      <w:tblCellSpacing w:w="37" w:type="dxa"/>
                      <w:jc w:val="center"/>
                    </w:trPr>
                    <w:tc>
                      <w:tcPr>
                        <w:tcW w:w="8115" w:type="dxa"/>
                        <w:shd w:val="clear" w:color="auto" w:fill="F8EFD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3" name="Imagen 3"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Bolsa de Valores de El Salvador</w:t>
                        </w:r>
                      </w:p>
                    </w:tc>
                  </w:tr>
                  <w:tr w:rsidR="00F265F7" w:rsidRPr="00F265F7">
                    <w:trPr>
                      <w:tblCellSpacing w:w="37" w:type="dxa"/>
                      <w:jc w:val="center"/>
                    </w:trPr>
                    <w:tc>
                      <w:tcPr>
                        <w:tcW w:w="0" w:type="auto"/>
                        <w:shd w:val="clear" w:color="auto" w:fill="FCE49D"/>
                        <w:vAlign w:val="center"/>
                        <w:hideMark/>
                      </w:tcPr>
                      <w:p w:rsidR="00F265F7" w:rsidRPr="00F265F7" w:rsidRDefault="00F265F7" w:rsidP="00F265F7">
                        <w:pPr>
                          <w:spacing w:after="0" w:line="240" w:lineRule="auto"/>
                          <w:rPr>
                            <w:rFonts w:ascii="Times New Roman" w:eastAsia="Times New Roman" w:hAnsi="Times New Roman" w:cs="Times New Roman"/>
                            <w:sz w:val="24"/>
                            <w:szCs w:val="24"/>
                            <w:lang w:val="es-ES"/>
                          </w:rPr>
                        </w:pPr>
                      </w:p>
                    </w:tc>
                  </w:tr>
                  <w:tr w:rsidR="00F265F7" w:rsidRPr="00F265F7">
                    <w:trPr>
                      <w:tblCellSpacing w:w="37" w:type="dxa"/>
                      <w:jc w:val="center"/>
                    </w:trPr>
                    <w:tc>
                      <w:tcPr>
                        <w:tcW w:w="0" w:type="auto"/>
                        <w:shd w:val="clear" w:color="auto" w:fill="F8EFD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hyperlink r:id="rId10" w:tgtFrame="_blank" w:history="1">
                          <w:r w:rsidRPr="000A0EE7">
                            <w:rPr>
                              <w:rFonts w:ascii="Verdana" w:eastAsia="Times New Roman" w:hAnsi="Verdana" w:cs="Times New Roman"/>
                              <w:color w:val="0000CC"/>
                              <w:sz w:val="17"/>
                              <w:u w:val="single"/>
                              <w:lang w:val="es-ES"/>
                            </w:rPr>
                            <w:t>Reglamento de la ley del Mercado de Valores</w:t>
                          </w:r>
                        </w:hyperlink>
                      </w:p>
                    </w:tc>
                  </w:tr>
                  <w:tr w:rsidR="00F265F7" w:rsidRPr="00F265F7">
                    <w:trPr>
                      <w:tblCellSpacing w:w="37"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hyperlink r:id="rId11" w:tgtFrame="_blank" w:history="1">
                          <w:r w:rsidRPr="000A0EE7">
                            <w:rPr>
                              <w:rFonts w:ascii="Verdana" w:eastAsia="Times New Roman" w:hAnsi="Verdana" w:cs="Times New Roman"/>
                              <w:color w:val="0000CC"/>
                              <w:sz w:val="17"/>
                              <w:u w:val="single"/>
                              <w:lang w:val="es-ES"/>
                            </w:rPr>
                            <w:t>Ley del Mercado de Valores</w:t>
                          </w:r>
                        </w:hyperlink>
                      </w:p>
                    </w:tc>
                  </w:tr>
                </w:tbl>
                <w:p w:rsidR="00F265F7" w:rsidRPr="00F265F7" w:rsidRDefault="00F265F7" w:rsidP="00F265F7">
                  <w:pPr>
                    <w:spacing w:after="0" w:line="240" w:lineRule="auto"/>
                    <w:rPr>
                      <w:rFonts w:ascii="Verdana" w:eastAsia="Times New Roman" w:hAnsi="Verdana" w:cs="Times New Roman"/>
                      <w:sz w:val="17"/>
                      <w:szCs w:val="17"/>
                      <w:lang w:val="es-ES"/>
                    </w:rPr>
                  </w:pP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28600"/>
                        <wp:effectExtent l="19050" t="0" r="9525" b="0"/>
                        <wp:docPr id="4" name="Imagen 4" descr="https://www.bves.com.sv/images/rollover/esq_bols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ves.com.sv/images/rollover/esq_bolsa3.gif"/>
                                <pic:cNvPicPr>
                                  <a:picLocks noChangeAspect="1" noChangeArrowheads="1"/>
                                </pic:cNvPicPr>
                              </pic:nvPicPr>
                              <pic:blipFill>
                                <a:blip r:embed="rId12"/>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28600"/>
                        <wp:effectExtent l="19050" t="0" r="0" b="0"/>
                        <wp:docPr id="5" name="Imagen 5" descr="https://www.bves.com.sv/images/rollover/esq_bols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ves.com.sv/images/rollover/esq_bolsa4.gif"/>
                                <pic:cNvPicPr>
                                  <a:picLocks noChangeAspect="1" noChangeArrowheads="1"/>
                                </pic:cNvPicPr>
                              </pic:nvPicPr>
                              <pic:blipFill>
                                <a:blip r:embed="rId13"/>
                                <a:srcRect/>
                                <a:stretch>
                                  <a:fillRect/>
                                </a:stretch>
                              </pic:blipFill>
                              <pic:spPr bwMode="auto">
                                <a:xfrm>
                                  <a:off x="0" y="0"/>
                                  <a:ext cx="247650" cy="228600"/>
                                </a:xfrm>
                                <a:prstGeom prst="rect">
                                  <a:avLst/>
                                </a:prstGeom>
                                <a:noFill/>
                                <a:ln w="9525">
                                  <a:noFill/>
                                  <a:miter lim="800000"/>
                                  <a:headEnd/>
                                  <a:tailEnd/>
                                </a:ln>
                              </pic:spPr>
                            </pic:pic>
                          </a:graphicData>
                        </a:graphic>
                      </wp:inline>
                    </w:drawing>
                  </w:r>
                </w:p>
              </w:tc>
            </w:tr>
          </w:tbl>
          <w:p w:rsidR="00F265F7" w:rsidRPr="00F265F7" w:rsidRDefault="00F265F7" w:rsidP="00F265F7">
            <w:pPr>
              <w:spacing w:after="240" w:line="240" w:lineRule="auto"/>
              <w:rPr>
                <w:rFonts w:ascii="Verdana" w:eastAsia="Times New Roman" w:hAnsi="Verdana" w:cs="Times New Roman"/>
                <w:sz w:val="17"/>
                <w:szCs w:val="17"/>
              </w:rPr>
            </w:pPr>
          </w:p>
          <w:tbl>
            <w:tblPr>
              <w:tblW w:w="4000" w:type="pct"/>
              <w:tblCellSpacing w:w="0" w:type="dxa"/>
              <w:tblCellMar>
                <w:left w:w="0" w:type="dxa"/>
                <w:right w:w="0" w:type="dxa"/>
              </w:tblCellMar>
              <w:tblLook w:val="04A0"/>
            </w:tblPr>
            <w:tblGrid>
              <w:gridCol w:w="390"/>
              <w:gridCol w:w="5455"/>
              <w:gridCol w:w="420"/>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76225"/>
                        <wp:effectExtent l="19050" t="0" r="9525" b="0"/>
                        <wp:docPr id="6" name="Imagen 6" descr="https://www.bves.com.sv/images/rollover/esq_bols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ves.com.sv/images/rollover/esq_bolsa1.gif"/>
                                <pic:cNvPicPr>
                                  <a:picLocks noChangeAspect="1" noChangeArrowheads="1"/>
                                </pic:cNvPicPr>
                              </pic:nvPicPr>
                              <pic:blipFill>
                                <a:blip r:embed="rId7"/>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47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1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76225"/>
                        <wp:effectExtent l="19050" t="0" r="0" b="0"/>
                        <wp:docPr id="7" name="Imagen 7" descr="https://www.bves.com.sv/images/rollover/esq_bols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ves.com.sv/images/rollover/esq_bolsa2.gif"/>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tbl>
                  <w:tblPr>
                    <w:tblW w:w="5000" w:type="pct"/>
                    <w:jc w:val="center"/>
                    <w:tblCellSpacing w:w="37" w:type="dxa"/>
                    <w:shd w:val="clear" w:color="auto" w:fill="FCE49D"/>
                    <w:tblCellMar>
                      <w:top w:w="30" w:type="dxa"/>
                      <w:left w:w="30" w:type="dxa"/>
                      <w:bottom w:w="30" w:type="dxa"/>
                      <w:right w:w="30" w:type="dxa"/>
                    </w:tblCellMar>
                    <w:tblLook w:val="04A0"/>
                  </w:tblPr>
                  <w:tblGrid>
                    <w:gridCol w:w="5455"/>
                  </w:tblGrid>
                  <w:tr w:rsidR="00F265F7" w:rsidRPr="00F265F7">
                    <w:trPr>
                      <w:trHeight w:val="240"/>
                      <w:tblCellSpacing w:w="37" w:type="dxa"/>
                      <w:jc w:val="center"/>
                    </w:trPr>
                    <w:tc>
                      <w:tcPr>
                        <w:tcW w:w="8115" w:type="dxa"/>
                        <w:shd w:val="clear" w:color="auto" w:fill="F8EFD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8" name="Imagen 8"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Central de Depósito de Valores (CEDEVAL)</w:t>
                        </w:r>
                      </w:p>
                    </w:tc>
                  </w:tr>
                  <w:tr w:rsidR="00F265F7" w:rsidRPr="00F265F7">
                    <w:trPr>
                      <w:tblCellSpacing w:w="37"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hyperlink r:id="rId14" w:tgtFrame="_blank" w:history="1">
                          <w:r w:rsidRPr="000A0EE7">
                            <w:rPr>
                              <w:rFonts w:ascii="Verdana" w:eastAsia="Times New Roman" w:hAnsi="Verdana" w:cs="Times New Roman"/>
                              <w:color w:val="0000CC"/>
                              <w:sz w:val="17"/>
                              <w:u w:val="single"/>
                              <w:lang w:val="es-ES"/>
                            </w:rPr>
                            <w:t>Ley de Anotaciones Electrónicas de Valores en Cuenta</w:t>
                          </w:r>
                        </w:hyperlink>
                      </w:p>
                    </w:tc>
                  </w:tr>
                </w:tbl>
                <w:p w:rsidR="00F265F7" w:rsidRPr="00F265F7" w:rsidRDefault="00F265F7" w:rsidP="00F265F7">
                  <w:pPr>
                    <w:spacing w:after="0" w:line="240" w:lineRule="auto"/>
                    <w:rPr>
                      <w:rFonts w:ascii="Verdana" w:eastAsia="Times New Roman" w:hAnsi="Verdana" w:cs="Times New Roman"/>
                      <w:sz w:val="17"/>
                      <w:szCs w:val="17"/>
                      <w:lang w:val="es-ES"/>
                    </w:rPr>
                  </w:pP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28600"/>
                        <wp:effectExtent l="19050" t="0" r="9525" b="0"/>
                        <wp:docPr id="9" name="Imagen 9" descr="https://www.bves.com.sv/images/rollover/esq_bols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ves.com.sv/images/rollover/esq_bolsa3.gif"/>
                                <pic:cNvPicPr>
                                  <a:picLocks noChangeAspect="1" noChangeArrowheads="1"/>
                                </pic:cNvPicPr>
                              </pic:nvPicPr>
                              <pic:blipFill>
                                <a:blip r:embed="rId12"/>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28600"/>
                        <wp:effectExtent l="19050" t="0" r="0" b="0"/>
                        <wp:docPr id="10" name="Imagen 10" descr="https://www.bves.com.sv/images/rollover/esq_bols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ves.com.sv/images/rollover/esq_bolsa4.gif"/>
                                <pic:cNvPicPr>
                                  <a:picLocks noChangeAspect="1" noChangeArrowheads="1"/>
                                </pic:cNvPicPr>
                              </pic:nvPicPr>
                              <pic:blipFill>
                                <a:blip r:embed="rId13"/>
                                <a:srcRect/>
                                <a:stretch>
                                  <a:fillRect/>
                                </a:stretch>
                              </pic:blipFill>
                              <pic:spPr bwMode="auto">
                                <a:xfrm>
                                  <a:off x="0" y="0"/>
                                  <a:ext cx="247650" cy="228600"/>
                                </a:xfrm>
                                <a:prstGeom prst="rect">
                                  <a:avLst/>
                                </a:prstGeom>
                                <a:noFill/>
                                <a:ln w="9525">
                                  <a:noFill/>
                                  <a:miter lim="800000"/>
                                  <a:headEnd/>
                                  <a:tailEnd/>
                                </a:ln>
                              </pic:spPr>
                            </pic:pic>
                          </a:graphicData>
                        </a:graphic>
                      </wp:inline>
                    </w:drawing>
                  </w:r>
                </w:p>
              </w:tc>
            </w:tr>
          </w:tbl>
          <w:p w:rsidR="00F265F7" w:rsidRPr="00F265F7" w:rsidRDefault="00F265F7" w:rsidP="00F265F7">
            <w:pPr>
              <w:spacing w:after="0" w:line="240" w:lineRule="auto"/>
              <w:rPr>
                <w:rFonts w:ascii="Verdana" w:eastAsia="Times New Roman" w:hAnsi="Verdana" w:cs="Times New Roman"/>
                <w:sz w:val="17"/>
                <w:szCs w:val="17"/>
              </w:rPr>
            </w:pP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b/>
                <w:bCs/>
                <w:color w:val="006600"/>
                <w:sz w:val="27"/>
                <w:szCs w:val="27"/>
              </w:rPr>
            </w:pPr>
            <w:r w:rsidRPr="00F265F7">
              <w:rPr>
                <w:rFonts w:ascii="Verdana" w:eastAsia="Times New Roman" w:hAnsi="Verdana" w:cs="Times New Roman"/>
                <w:b/>
                <w:bCs/>
                <w:color w:val="006600"/>
                <w:sz w:val="27"/>
                <w:szCs w:val="27"/>
              </w:rPr>
              <w:t>Reglamentos</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rsidTr="00F265F7">
        <w:trPr>
          <w:tblCellSpacing w:w="0" w:type="dxa"/>
          <w:jc w:val="center"/>
        </w:trPr>
        <w:tc>
          <w:tcPr>
            <w:tcW w:w="0" w:type="auto"/>
            <w:shd w:val="clear" w:color="auto" w:fill="EAC450"/>
            <w:vAlign w:val="center"/>
            <w:hideMark/>
          </w:tcPr>
          <w:tbl>
            <w:tblPr>
              <w:tblW w:w="4000" w:type="pct"/>
              <w:tblCellSpacing w:w="0" w:type="dxa"/>
              <w:tblCellMar>
                <w:left w:w="0" w:type="dxa"/>
                <w:right w:w="0" w:type="dxa"/>
              </w:tblCellMar>
              <w:tblLook w:val="04A0"/>
            </w:tblPr>
            <w:tblGrid>
              <w:gridCol w:w="390"/>
              <w:gridCol w:w="5455"/>
              <w:gridCol w:w="420"/>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76225"/>
                        <wp:effectExtent l="19050" t="0" r="9525" b="0"/>
                        <wp:docPr id="21" name="Imagen 21" descr="https://www.bves.com.sv/images/rollover/esq_bols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ves.com.sv/images/rollover/esq_bolsa1.gif"/>
                                <pic:cNvPicPr>
                                  <a:picLocks noChangeAspect="1" noChangeArrowheads="1"/>
                                </pic:cNvPicPr>
                              </pic:nvPicPr>
                              <pic:blipFill>
                                <a:blip r:embed="rId7"/>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47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1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76225"/>
                        <wp:effectExtent l="19050" t="0" r="0" b="0"/>
                        <wp:docPr id="22" name="Imagen 22" descr="https://www.bves.com.sv/images/rollover/esq_bols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bves.com.sv/images/rollover/esq_bolsa2.gif"/>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tbl>
                  <w:tblPr>
                    <w:tblW w:w="5000" w:type="pct"/>
                    <w:jc w:val="center"/>
                    <w:tblCellSpacing w:w="37" w:type="dxa"/>
                    <w:shd w:val="clear" w:color="auto" w:fill="FCE49D"/>
                    <w:tblCellMar>
                      <w:top w:w="30" w:type="dxa"/>
                      <w:left w:w="30" w:type="dxa"/>
                      <w:bottom w:w="30" w:type="dxa"/>
                      <w:right w:w="30" w:type="dxa"/>
                    </w:tblCellMar>
                    <w:tblLook w:val="04A0"/>
                  </w:tblPr>
                  <w:tblGrid>
                    <w:gridCol w:w="5455"/>
                  </w:tblGrid>
                  <w:tr w:rsidR="00F265F7" w:rsidRPr="00F265F7">
                    <w:trPr>
                      <w:tblCellSpacing w:w="37" w:type="dxa"/>
                      <w:jc w:val="center"/>
                    </w:trPr>
                    <w:tc>
                      <w:tcPr>
                        <w:tcW w:w="8115" w:type="dxa"/>
                        <w:shd w:val="clear" w:color="auto" w:fill="F8EFD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23" name="Imagen 23"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Bolsa de Valores de El Salvador</w:t>
                        </w:r>
                      </w:p>
                    </w:tc>
                  </w:tr>
                  <w:tr w:rsidR="00F265F7" w:rsidRPr="00F265F7">
                    <w:trPr>
                      <w:tblCellSpacing w:w="37" w:type="dxa"/>
                      <w:jc w:val="center"/>
                    </w:trPr>
                    <w:tc>
                      <w:tcPr>
                        <w:tcW w:w="0" w:type="auto"/>
                        <w:shd w:val="clear" w:color="auto" w:fill="E9C451"/>
                        <w:vAlign w:val="center"/>
                        <w:hideMark/>
                      </w:tcPr>
                      <w:tbl>
                        <w:tblPr>
                          <w:tblW w:w="5000" w:type="pct"/>
                          <w:tblCellSpacing w:w="0" w:type="dxa"/>
                          <w:tblCellMar>
                            <w:left w:w="0" w:type="dxa"/>
                            <w:right w:w="0" w:type="dxa"/>
                          </w:tblCellMar>
                          <w:tblLook w:val="04A0"/>
                        </w:tblPr>
                        <w:tblGrid>
                          <w:gridCol w:w="210"/>
                          <w:gridCol w:w="5037"/>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114300" cy="114300"/>
                                    <wp:effectExtent l="19050" t="0" r="0" b="0"/>
                                    <wp:docPr id="24" name="Imagen 24" descr="https://www.bves.com.sv/images/bot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bves.com.sv/images/boton01.jpg"/>
                                            <pic:cNvPicPr>
                                              <a:picLocks noChangeAspect="1" noChangeArrowheads="1"/>
                                            </pic:cNvPicPr>
                                          </pic:nvPicPr>
                                          <pic:blipFill>
                                            <a:blip r:embed="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4900" w:type="pct"/>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hyperlink r:id="rId16" w:tgtFrame="_blank" w:history="1">
                                <w:r w:rsidRPr="00F265F7">
                                  <w:rPr>
                                    <w:rStyle w:val="Hipervnculo"/>
                                    <w:rFonts w:ascii="Verdana" w:eastAsia="Times New Roman" w:hAnsi="Verdana" w:cs="Times New Roman"/>
                                    <w:sz w:val="17"/>
                                  </w:rPr>
                                  <w:t>Reglamento General Interno</w:t>
                                </w:r>
                              </w:hyperlink>
                            </w:p>
                          </w:tc>
                        </w:tr>
                      </w:tbl>
                      <w:p w:rsidR="00F265F7" w:rsidRPr="00F265F7" w:rsidRDefault="00F265F7" w:rsidP="00F265F7">
                        <w:pPr>
                          <w:spacing w:after="0" w:line="240" w:lineRule="auto"/>
                          <w:rPr>
                            <w:rFonts w:ascii="Verdana" w:eastAsia="Times New Roman" w:hAnsi="Verdana" w:cs="Times New Roman"/>
                            <w:sz w:val="17"/>
                            <w:szCs w:val="17"/>
                          </w:rPr>
                        </w:pPr>
                      </w:p>
                    </w:tc>
                  </w:tr>
                </w:tbl>
                <w:p w:rsidR="00F265F7" w:rsidRPr="00F265F7" w:rsidRDefault="00F265F7" w:rsidP="00F265F7">
                  <w:pPr>
                    <w:spacing w:after="0" w:line="240" w:lineRule="auto"/>
                    <w:rPr>
                      <w:rFonts w:ascii="Verdana" w:eastAsia="Times New Roman" w:hAnsi="Verdana" w:cs="Times New Roman"/>
                      <w:sz w:val="17"/>
                      <w:szCs w:val="17"/>
                    </w:rPr>
                  </w:pPr>
                </w:p>
              </w:tc>
              <w:tc>
                <w:tcPr>
                  <w:tcW w:w="0" w:type="auto"/>
                  <w:shd w:val="clear" w:color="auto" w:fill="FDEFC6"/>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28600"/>
                        <wp:effectExtent l="19050" t="0" r="9525" b="0"/>
                        <wp:docPr id="25" name="Imagen 25" descr="https://www.bves.com.sv/images/rollover/esq_bols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ves.com.sv/images/rollover/esq_bolsa3.gif"/>
                                <pic:cNvPicPr>
                                  <a:picLocks noChangeAspect="1" noChangeArrowheads="1"/>
                                </pic:cNvPicPr>
                              </pic:nvPicPr>
                              <pic:blipFill>
                                <a:blip r:embed="rId12"/>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28600"/>
                        <wp:effectExtent l="19050" t="0" r="0" b="0"/>
                        <wp:docPr id="26" name="Imagen 26" descr="https://www.bves.com.sv/images/rollover/esq_bols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bves.com.sv/images/rollover/esq_bolsa4.gif"/>
                                <pic:cNvPicPr>
                                  <a:picLocks noChangeAspect="1" noChangeArrowheads="1"/>
                                </pic:cNvPicPr>
                              </pic:nvPicPr>
                              <pic:blipFill>
                                <a:blip r:embed="rId13"/>
                                <a:srcRect/>
                                <a:stretch>
                                  <a:fillRect/>
                                </a:stretch>
                              </pic:blipFill>
                              <pic:spPr bwMode="auto">
                                <a:xfrm>
                                  <a:off x="0" y="0"/>
                                  <a:ext cx="247650" cy="228600"/>
                                </a:xfrm>
                                <a:prstGeom prst="rect">
                                  <a:avLst/>
                                </a:prstGeom>
                                <a:noFill/>
                                <a:ln w="9525">
                                  <a:noFill/>
                                  <a:miter lim="800000"/>
                                  <a:headEnd/>
                                  <a:tailEnd/>
                                </a:ln>
                              </pic:spPr>
                            </pic:pic>
                          </a:graphicData>
                        </a:graphic>
                      </wp:inline>
                    </w:drawing>
                  </w:r>
                </w:p>
              </w:tc>
            </w:tr>
          </w:tbl>
          <w:p w:rsidR="00F265F7" w:rsidRPr="00F265F7" w:rsidRDefault="00F265F7" w:rsidP="00F265F7">
            <w:pPr>
              <w:spacing w:after="240" w:line="240" w:lineRule="auto"/>
              <w:rPr>
                <w:rFonts w:ascii="Verdana" w:eastAsia="Times New Roman" w:hAnsi="Verdana" w:cs="Times New Roman"/>
                <w:sz w:val="17"/>
                <w:szCs w:val="17"/>
              </w:rPr>
            </w:pPr>
          </w:p>
          <w:tbl>
            <w:tblPr>
              <w:tblW w:w="4000" w:type="pct"/>
              <w:tblCellSpacing w:w="0" w:type="dxa"/>
              <w:tblCellMar>
                <w:left w:w="0" w:type="dxa"/>
                <w:right w:w="0" w:type="dxa"/>
              </w:tblCellMar>
              <w:tblLook w:val="04A0"/>
            </w:tblPr>
            <w:tblGrid>
              <w:gridCol w:w="390"/>
              <w:gridCol w:w="5455"/>
              <w:gridCol w:w="420"/>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76225"/>
                        <wp:effectExtent l="19050" t="0" r="9525" b="0"/>
                        <wp:docPr id="27" name="Imagen 27" descr="https://www.bves.com.sv/images/rollover/esq_bols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bves.com.sv/images/rollover/esq_bolsa1.gif"/>
                                <pic:cNvPicPr>
                                  <a:picLocks noChangeAspect="1" noChangeArrowheads="1"/>
                                </pic:cNvPicPr>
                              </pic:nvPicPr>
                              <pic:blipFill>
                                <a:blip r:embed="rId7"/>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47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15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76225"/>
                        <wp:effectExtent l="19050" t="0" r="0" b="0"/>
                        <wp:docPr id="28" name="Imagen 28" descr="https://www.bves.com.sv/images/rollover/esq_bols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bves.com.sv/images/rollover/esq_bolsa2.gif"/>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tbl>
                  <w:tblPr>
                    <w:tblW w:w="5000" w:type="pct"/>
                    <w:jc w:val="center"/>
                    <w:tblCellSpacing w:w="37" w:type="dxa"/>
                    <w:shd w:val="clear" w:color="auto" w:fill="FCE49D"/>
                    <w:tblCellMar>
                      <w:top w:w="30" w:type="dxa"/>
                      <w:left w:w="30" w:type="dxa"/>
                      <w:bottom w:w="30" w:type="dxa"/>
                      <w:right w:w="30" w:type="dxa"/>
                    </w:tblCellMar>
                    <w:tblLook w:val="04A0"/>
                  </w:tblPr>
                  <w:tblGrid>
                    <w:gridCol w:w="5455"/>
                  </w:tblGrid>
                  <w:tr w:rsidR="00F265F7" w:rsidRPr="00F265F7">
                    <w:trPr>
                      <w:tblCellSpacing w:w="37" w:type="dxa"/>
                      <w:jc w:val="center"/>
                    </w:trPr>
                    <w:tc>
                      <w:tcPr>
                        <w:tcW w:w="8115" w:type="dxa"/>
                        <w:shd w:val="clear" w:color="auto" w:fill="F8EFD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29" name="Imagen 29"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Central de Depósito de Valores (CEDEVAL)</w:t>
                        </w:r>
                      </w:p>
                    </w:tc>
                  </w:tr>
                  <w:tr w:rsidR="00F265F7" w:rsidRPr="00F265F7">
                    <w:trPr>
                      <w:tblCellSpacing w:w="37" w:type="dxa"/>
                      <w:jc w:val="center"/>
                    </w:trPr>
                    <w:tc>
                      <w:tcPr>
                        <w:tcW w:w="0" w:type="auto"/>
                        <w:shd w:val="clear" w:color="auto" w:fill="E9C451"/>
                        <w:vAlign w:val="center"/>
                        <w:hideMark/>
                      </w:tcPr>
                      <w:tbl>
                        <w:tblPr>
                          <w:tblW w:w="5000" w:type="pct"/>
                          <w:tblCellSpacing w:w="0" w:type="dxa"/>
                          <w:tblCellMar>
                            <w:left w:w="0" w:type="dxa"/>
                            <w:right w:w="0" w:type="dxa"/>
                          </w:tblCellMar>
                          <w:tblLook w:val="04A0"/>
                        </w:tblPr>
                        <w:tblGrid>
                          <w:gridCol w:w="210"/>
                          <w:gridCol w:w="5037"/>
                        </w:tblGrid>
                        <w:tr w:rsidR="00F265F7" w:rsidRPr="00F265F7">
                          <w:trPr>
                            <w:tblCellSpacing w:w="0" w:type="dxa"/>
                          </w:trPr>
                          <w:tc>
                            <w:tcPr>
                              <w:tcW w:w="100" w:type="pct"/>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114300" cy="114300"/>
                                    <wp:effectExtent l="19050" t="0" r="0" b="0"/>
                                    <wp:docPr id="30" name="Imagen 30" descr="https://www.bves.com.sv/images/boto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bves.com.sv/images/boton02.jpg"/>
                                            <pic:cNvPicPr>
                                              <a:picLocks noChangeAspect="1" noChangeArrowheads="1"/>
                                            </pic:cNvPicPr>
                                          </pic:nvPicPr>
                                          <pic:blipFill>
                                            <a:blip r:embed="rId17"/>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4900" w:type="pct"/>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hyperlink r:id="rId18" w:tgtFrame="_blank" w:history="1">
                                <w:r w:rsidRPr="00F265F7">
                                  <w:rPr>
                                    <w:rStyle w:val="Hipervnculo"/>
                                    <w:rFonts w:ascii="Verdana" w:eastAsia="Times New Roman" w:hAnsi="Verdana" w:cs="Times New Roman"/>
                                    <w:sz w:val="17"/>
                                  </w:rPr>
                                  <w:t>Reglamento General Interno</w:t>
                                </w:r>
                              </w:hyperlink>
                            </w:p>
                          </w:tc>
                        </w:tr>
                      </w:tbl>
                      <w:p w:rsidR="00F265F7" w:rsidRPr="00F265F7" w:rsidRDefault="00F265F7" w:rsidP="00F265F7">
                        <w:pPr>
                          <w:spacing w:after="0" w:line="240" w:lineRule="auto"/>
                          <w:rPr>
                            <w:rFonts w:ascii="Verdana" w:eastAsia="Times New Roman" w:hAnsi="Verdana" w:cs="Times New Roman"/>
                            <w:sz w:val="17"/>
                            <w:szCs w:val="17"/>
                          </w:rPr>
                        </w:pPr>
                      </w:p>
                    </w:tc>
                  </w:tr>
                </w:tbl>
                <w:p w:rsidR="00F265F7" w:rsidRPr="00F265F7" w:rsidRDefault="00F265F7" w:rsidP="00F265F7">
                  <w:pPr>
                    <w:spacing w:after="0" w:line="240" w:lineRule="auto"/>
                    <w:rPr>
                      <w:rFonts w:ascii="Verdana" w:eastAsia="Times New Roman" w:hAnsi="Verdana" w:cs="Times New Roman"/>
                      <w:sz w:val="17"/>
                      <w:szCs w:val="17"/>
                    </w:rPr>
                  </w:pPr>
                </w:p>
              </w:tc>
              <w:tc>
                <w:tcPr>
                  <w:tcW w:w="0" w:type="auto"/>
                  <w:shd w:val="clear" w:color="auto" w:fill="FDEFC6"/>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28600"/>
                        <wp:effectExtent l="19050" t="0" r="9525" b="0"/>
                        <wp:docPr id="31" name="Imagen 31" descr="https://www.bves.com.sv/images/rollover/esq_bols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bves.com.sv/images/rollover/esq_bolsa3.gif"/>
                                <pic:cNvPicPr>
                                  <a:picLocks noChangeAspect="1" noChangeArrowheads="1"/>
                                </pic:cNvPicPr>
                              </pic:nvPicPr>
                              <pic:blipFill>
                                <a:blip r:embed="rId12"/>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0" w:type="auto"/>
                  <w:vAlign w:val="center"/>
                  <w:hideMark/>
                </w:tcPr>
                <w:p w:rsidR="00F265F7" w:rsidRPr="00F265F7" w:rsidRDefault="00F265F7" w:rsidP="00F265F7">
                  <w:pPr>
                    <w:spacing w:after="0" w:line="240" w:lineRule="auto"/>
                    <w:rPr>
                      <w:rFonts w:ascii="Times New Roman" w:eastAsia="Times New Roman" w:hAnsi="Times New Roman" w:cs="Times New Roman"/>
                      <w:sz w:val="20"/>
                      <w:szCs w:val="20"/>
                    </w:rPr>
                  </w:pPr>
                </w:p>
              </w:tc>
            </w:tr>
          </w:tbl>
          <w:p w:rsidR="00F265F7" w:rsidRPr="00F265F7" w:rsidRDefault="00F265F7" w:rsidP="00F265F7">
            <w:pPr>
              <w:spacing w:after="0" w:line="240" w:lineRule="auto"/>
              <w:rPr>
                <w:rFonts w:ascii="Verdana" w:eastAsia="Times New Roman" w:hAnsi="Verdana" w:cs="Times New Roman"/>
                <w:sz w:val="17"/>
                <w:szCs w:val="17"/>
              </w:rPr>
            </w:pP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b/>
                <w:bCs/>
                <w:color w:val="006600"/>
                <w:sz w:val="27"/>
                <w:szCs w:val="27"/>
              </w:rPr>
            </w:pPr>
            <w:r w:rsidRPr="00F265F7">
              <w:rPr>
                <w:rFonts w:ascii="Verdana" w:eastAsia="Times New Roman" w:hAnsi="Verdana" w:cs="Times New Roman"/>
                <w:b/>
                <w:bCs/>
                <w:color w:val="006600"/>
                <w:sz w:val="27"/>
                <w:szCs w:val="27"/>
              </w:rPr>
              <w:t>¿Qué es BVES? </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La Bolsa de Valores de El Salvador (BVES) es una institución privada, que forma parte del Mercado de Valores organizado, iniciando sus operaciones desde el 27 de Abril de 1992.</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BVES es la institución que facilita las negociaciones de valores y procura el desarrollo del Mercado Bursátil.</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lastRenderedPageBreak/>
              <w:t>Desde 1992, BVES ha desarrollado un papel muy importante en el ámbito económico nacional al facilitar la</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Desintermediación Financiera</w:t>
            </w:r>
            <w:r w:rsidRPr="00F265F7">
              <w:rPr>
                <w:rFonts w:ascii="Verdana" w:eastAsia="Times New Roman" w:hAnsi="Verdana" w:cs="Times New Roman"/>
                <w:sz w:val="17"/>
                <w:szCs w:val="17"/>
                <w:lang w:val="es-ES"/>
              </w:rPr>
              <w:t>, al permitir el acercamiento directo entre empresas e inversionistas, a través de la negociación de Valores como acciones, valores de deuda, certificados de inversión, y otros instrumentos, que permiten canalizar el excedente de recursos hacia las necesidades de financiamiento de las empresas a un menor costo, y que los inversionistas reciban a cambio más rentabilidad por su dinero.</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Con lo anterior, BVES busca facilitar el flujo de ahorro e inversión en el mercado de capitales y promover la libre fijación de precios, la transparencia y la liquidez en las negociaciones.</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De manera general, BVES se encarga de:</w:t>
            </w:r>
          </w:p>
        </w:tc>
      </w:tr>
      <w:tr w:rsidR="00F265F7" w:rsidRPr="00F265F7" w:rsidTr="00F265F7">
        <w:trPr>
          <w:tblCellSpacing w:w="0" w:type="dxa"/>
          <w:jc w:val="center"/>
        </w:trPr>
        <w:tc>
          <w:tcPr>
            <w:tcW w:w="0" w:type="auto"/>
            <w:shd w:val="clear" w:color="auto" w:fill="EAC450"/>
            <w:vAlign w:val="center"/>
            <w:hideMark/>
          </w:tcPr>
          <w:tbl>
            <w:tblPr>
              <w:tblW w:w="7575" w:type="dxa"/>
              <w:tblCellSpacing w:w="15" w:type="dxa"/>
              <w:tblCellMar>
                <w:top w:w="15" w:type="dxa"/>
                <w:left w:w="15" w:type="dxa"/>
                <w:bottom w:w="15" w:type="dxa"/>
                <w:right w:w="15" w:type="dxa"/>
              </w:tblCellMar>
              <w:tblLook w:val="04A0"/>
            </w:tblPr>
            <w:tblGrid>
              <w:gridCol w:w="255"/>
              <w:gridCol w:w="120"/>
              <w:gridCol w:w="7200"/>
            </w:tblGrid>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lastRenderedPageBreak/>
                    <w:drawing>
                      <wp:inline distT="0" distB="0" distL="0" distR="0">
                        <wp:extent cx="85725" cy="114300"/>
                        <wp:effectExtent l="19050" t="0" r="9525" b="0"/>
                        <wp:docPr id="43" name="Imagen 43"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15" w:type="dxa"/>
                  <w:vMerge w:val="restart"/>
                  <w:shd w:val="clear" w:color="auto" w:fill="195A12"/>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Proporcionar la infraestructura, la supervisión y los servicios necesarios para la realización de los procesos de emisión, colocación e intercambio de valores y títulos inscritos en el Registro Público Bursátil</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44" name="Imagen 44"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Hacer pública la información bursátil</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45" name="Imagen 45"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Realizar el manejo administrativo de las operaciones y transmitir la información respectiva a CEDEVAL</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46" name="Imagen 46"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Supervisar las actividades de las empresas emisoras y Casas de Corredores de Bolsa, en cuanto al estricto apego a las disposiciones aplicables</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47" name="Imagen 47"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Fomentar la expansión y competitividad del mercado de valores salvadoreño</w:t>
                  </w:r>
                </w:p>
              </w:tc>
            </w:tr>
          </w:tbl>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bl>
            <w:tblPr>
              <w:tblW w:w="7575" w:type="dxa"/>
              <w:tblCellSpacing w:w="15" w:type="dxa"/>
              <w:tblCellMar>
                <w:top w:w="15" w:type="dxa"/>
                <w:left w:w="15" w:type="dxa"/>
                <w:bottom w:w="15" w:type="dxa"/>
                <w:right w:w="15" w:type="dxa"/>
              </w:tblCellMar>
              <w:tblLook w:val="04A0"/>
            </w:tblPr>
            <w:tblGrid>
              <w:gridCol w:w="255"/>
              <w:gridCol w:w="120"/>
              <w:gridCol w:w="7200"/>
            </w:tblGrid>
            <w:tr w:rsidR="00F265F7" w:rsidRPr="00F265F7" w:rsidTr="00F265F7">
              <w:trPr>
                <w:tblCellSpacing w:w="15" w:type="dxa"/>
              </w:trPr>
              <w:tc>
                <w:tcPr>
                  <w:tcW w:w="13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c>
                <w:tcPr>
                  <w:tcW w:w="1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b/>
                      <w:bCs/>
                      <w:sz w:val="17"/>
                    </w:rPr>
                    <w:t>Sus principales Objetivos son:</w:t>
                  </w:r>
                </w:p>
              </w:tc>
            </w:tr>
            <w:tr w:rsidR="00F265F7" w:rsidRPr="00F265F7" w:rsidTr="00F265F7">
              <w:trPr>
                <w:tblCellSpacing w:w="15" w:type="dxa"/>
              </w:trPr>
              <w:tc>
                <w:tcPr>
                  <w:tcW w:w="13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1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rsidTr="00F265F7">
              <w:trPr>
                <w:tblCellSpacing w:w="15" w:type="dxa"/>
              </w:trPr>
              <w:tc>
                <w:tcPr>
                  <w:tcW w:w="13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48" name="Imagen 48"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restart"/>
                  <w:shd w:val="clear" w:color="auto" w:fill="195A12"/>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9525" cy="9525"/>
                        <wp:effectExtent l="0" t="0" r="0" b="0"/>
                        <wp:docPr id="49" name="Imagen 49" descr="https://www.bves.com.sv/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bves.com.sv/images/blank.gif"/>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Facilitar el flujo de ahorro e inversión en el mercado de capitales</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0" name="Imagen 50"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Realizar la colocación primaria de instrumentos del mercado de valores</w:t>
                  </w:r>
                </w:p>
              </w:tc>
            </w:tr>
            <w:tr w:rsidR="00F265F7" w:rsidRPr="00F265F7" w:rsidTr="00F265F7">
              <w:trPr>
                <w:trHeight w:val="210"/>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1" name="Imagen 51"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Promover la libre determinación de precios y la transparencia en las operaciones</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2" name="Imagen 52"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Promover medidas que fomenten la liquidez a precios de mercado en el mercado secundario</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3" name="Imagen 53"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Proveer servicios, sistemas e infraestructura requeridos por los Corredores de Bolsa y los participantes del Mercado Bursátil.</w:t>
                  </w:r>
                </w:p>
              </w:tc>
            </w:tr>
          </w:tbl>
          <w:p w:rsidR="00F265F7" w:rsidRPr="00F265F7" w:rsidRDefault="00F265F7" w:rsidP="00F265F7">
            <w:pPr>
              <w:spacing w:after="0" w:line="240" w:lineRule="auto"/>
              <w:rPr>
                <w:rFonts w:ascii="Verdana" w:eastAsia="Times New Roman" w:hAnsi="Verdana" w:cs="Times New Roman"/>
                <w:sz w:val="17"/>
                <w:szCs w:val="17"/>
                <w:lang w:val="es-ES"/>
              </w:rPr>
            </w:pPr>
          </w:p>
          <w:tbl>
            <w:tblPr>
              <w:tblW w:w="5000" w:type="pct"/>
              <w:tblCellSpacing w:w="0" w:type="dxa"/>
              <w:tblCellMar>
                <w:top w:w="45" w:type="dxa"/>
                <w:left w:w="45" w:type="dxa"/>
                <w:bottom w:w="45" w:type="dxa"/>
                <w:right w:w="45" w:type="dxa"/>
              </w:tblCellMar>
              <w:tblLook w:val="04A0"/>
            </w:tblPr>
            <w:tblGrid>
              <w:gridCol w:w="235"/>
              <w:gridCol w:w="7596"/>
            </w:tblGrid>
            <w:tr w:rsidR="00F265F7" w:rsidRPr="00F265F7" w:rsidTr="00F265F7">
              <w:trPr>
                <w:tblCellSpacing w:w="0" w:type="dxa"/>
              </w:trPr>
              <w:tc>
                <w:tcPr>
                  <w:tcW w:w="150" w:type="pct"/>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c>
                <w:tcPr>
                  <w:tcW w:w="4850" w:type="pct"/>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b/>
                      <w:bCs/>
                      <w:sz w:val="17"/>
                      <w:szCs w:val="17"/>
                      <w:lang w:val="es-ES"/>
                    </w:rPr>
                    <w:t>Los pilares que sostienen las bases de BVES son:</w:t>
                  </w:r>
                </w:p>
              </w:tc>
            </w:tr>
          </w:tbl>
          <w:p w:rsidR="00F265F7" w:rsidRPr="00F265F7" w:rsidRDefault="00F265F7" w:rsidP="00F265F7">
            <w:pPr>
              <w:spacing w:after="0" w:line="240" w:lineRule="auto"/>
              <w:rPr>
                <w:rFonts w:ascii="Verdana" w:eastAsia="Times New Roman" w:hAnsi="Verdana" w:cs="Times New Roman"/>
                <w:sz w:val="17"/>
                <w:szCs w:val="17"/>
                <w:lang w:val="es-ES"/>
              </w:rPr>
            </w:pPr>
          </w:p>
          <w:tbl>
            <w:tblPr>
              <w:tblW w:w="7575" w:type="dxa"/>
              <w:tblCellSpacing w:w="15" w:type="dxa"/>
              <w:tblCellMar>
                <w:top w:w="15" w:type="dxa"/>
                <w:left w:w="15" w:type="dxa"/>
                <w:bottom w:w="15" w:type="dxa"/>
                <w:right w:w="15" w:type="dxa"/>
              </w:tblCellMar>
              <w:tblLook w:val="04A0"/>
            </w:tblPr>
            <w:tblGrid>
              <w:gridCol w:w="255"/>
              <w:gridCol w:w="120"/>
              <w:gridCol w:w="7200"/>
            </w:tblGrid>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4" name="Imagen 54"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15" w:type="dxa"/>
                  <w:vMerge w:val="restart"/>
                  <w:shd w:val="clear" w:color="auto" w:fill="195A12"/>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b/>
                      <w:bCs/>
                      <w:sz w:val="17"/>
                      <w:szCs w:val="17"/>
                      <w:lang w:val="es-ES"/>
                    </w:rPr>
                    <w:t>Equidad:</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Facilita los mecanismos de información y negociación para que todos los participantes del mercado cuenten con igualdad de condiciones.</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5" name="Imagen 55"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b/>
                      <w:bCs/>
                      <w:sz w:val="17"/>
                      <w:szCs w:val="17"/>
                      <w:lang w:val="es-ES"/>
                    </w:rPr>
                    <w:t>Seguridad:</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Se cuenta con un marco jurídico que regula los roles de los participantes, exigiéndoles el cumplimiento de normas que garanticen la eficiente y eficaz operación del Mercado de Valores.</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6" name="Imagen 56"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b/>
                      <w:bCs/>
                      <w:sz w:val="17"/>
                      <w:szCs w:val="17"/>
                      <w:lang w:val="es-ES"/>
                    </w:rPr>
                    <w:t>Liquidez:</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Los Títulosvalores que se negocian en Bolsa, tienen la facilidad de venta y colocación en el mercado secundario, es decir permite la transformación de sus Títulosvalores en efectivo cuando se requiera.</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7" name="Imagen 57"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b/>
                      <w:bCs/>
                      <w:sz w:val="17"/>
                      <w:szCs w:val="17"/>
                      <w:lang w:val="es-ES"/>
                    </w:rPr>
                    <w:t>Transparencia:</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A través de la eficiente difusión de información, se garantiza que todos los participantes fundamenten sus decisiones en el pleno conocimiento de las condiciones del mercado.</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Los Valores de BVES son:</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8" name="Imagen 58"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Servicio:</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La atención al cliente, tanto interno como externo, es lo más importante. Se mantiene siempre una actitud de colaboración desinteresada, y se busca proporcionar siempre al cliente un valor agregado.</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59" name="Imagen 59"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0" w:type="auto"/>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Efectividad:</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Las gestiones laborales son efectivas y eficaces, logrando los objetivos fijados dentro del tiempo estipulado, buscando las mejores formas de hacer las cosas y maximizando la rentabilidad.</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lastRenderedPageBreak/>
                    <w:drawing>
                      <wp:inline distT="0" distB="0" distL="0" distR="0">
                        <wp:extent cx="85725" cy="114300"/>
                        <wp:effectExtent l="19050" t="0" r="9525" b="0"/>
                        <wp:docPr id="60" name="Imagen 60"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0" w:type="auto"/>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Optimismo:</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La actitud ante el trabajo es positiva y perseverante, buscando soluciones, ventajas y posibilidades ante cualquier situación que se presente.</w:t>
                  </w:r>
                </w:p>
              </w:tc>
            </w:tr>
            <w:tr w:rsidR="00F265F7" w:rsidRPr="00F265F7" w:rsidTr="00F265F7">
              <w:trPr>
                <w:tblCellSpacing w:w="15" w:type="dxa"/>
              </w:trPr>
              <w:tc>
                <w:tcPr>
                  <w:tcW w:w="0" w:type="auto"/>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61" name="Imagen 61"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0" w:type="auto"/>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Innovación:</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Las ideas nuevas se desarrollan para mantener una gestión innovadora y a la vanguardia, buscando dar soluciones novedosas a los clientes.</w:t>
                  </w:r>
                </w:p>
              </w:tc>
            </w:tr>
            <w:tr w:rsidR="00F265F7" w:rsidRPr="00F265F7" w:rsidTr="00F265F7">
              <w:trPr>
                <w:tblCellSpacing w:w="15" w:type="dxa"/>
              </w:trPr>
              <w:tc>
                <w:tcPr>
                  <w:tcW w:w="135" w:type="dxa"/>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85725" cy="114300"/>
                        <wp:effectExtent l="19050" t="0" r="9525" b="0"/>
                        <wp:docPr id="62" name="Imagen 62"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p>
              </w:tc>
              <w:tc>
                <w:tcPr>
                  <w:tcW w:w="0" w:type="auto"/>
                  <w:vMerge/>
                  <w:vAlign w:val="center"/>
                  <w:hideMark/>
                </w:tcPr>
                <w:p w:rsidR="00F265F7" w:rsidRPr="00F265F7" w:rsidRDefault="00F265F7" w:rsidP="00F265F7">
                  <w:pPr>
                    <w:spacing w:after="0" w:line="240" w:lineRule="auto"/>
                    <w:rPr>
                      <w:rFonts w:ascii="Verdana" w:eastAsia="Times New Roman" w:hAnsi="Verdana" w:cs="Times New Roman"/>
                      <w:sz w:val="17"/>
                      <w:szCs w:val="17"/>
                    </w:rPr>
                  </w:pPr>
                </w:p>
              </w:tc>
              <w:tc>
                <w:tcPr>
                  <w:tcW w:w="7425" w:type="dxa"/>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Honestidad:</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La sinceridad es el valor que prima, se actúa de manera correcta, no juzgando con ligereza, aplicando la justicia y la imparcialidad, actuando en todo momento con rectitud.</w:t>
                  </w:r>
                </w:p>
              </w:tc>
            </w:tr>
          </w:tbl>
          <w:p w:rsidR="00F265F7" w:rsidRPr="00F265F7" w:rsidRDefault="00F265F7" w:rsidP="00F265F7">
            <w:pPr>
              <w:spacing w:after="0" w:line="240" w:lineRule="auto"/>
              <w:rPr>
                <w:rFonts w:ascii="Verdana" w:eastAsia="Times New Roman" w:hAnsi="Verdana" w:cs="Times New Roman"/>
                <w:sz w:val="17"/>
                <w:szCs w:val="17"/>
                <w:lang w:val="es-ES"/>
              </w:rPr>
            </w:pP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24"/>
                <w:szCs w:val="24"/>
                <w:lang w:val="es-ES"/>
              </w:rPr>
            </w:pP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b/>
                <w:sz w:val="24"/>
                <w:szCs w:val="24"/>
              </w:rPr>
            </w:pPr>
            <w:r w:rsidRPr="00F265F7">
              <w:rPr>
                <w:rFonts w:ascii="Verdana" w:eastAsia="Times New Roman" w:hAnsi="Verdana" w:cs="Times New Roman"/>
                <w:b/>
                <w:sz w:val="24"/>
                <w:szCs w:val="24"/>
              </w:rPr>
              <w:t>Historia </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24"/>
                <w:szCs w:val="24"/>
              </w:rPr>
            </w:pPr>
            <w:r w:rsidRPr="00F265F7">
              <w:rPr>
                <w:rFonts w:ascii="Verdana" w:eastAsia="Times New Roman" w:hAnsi="Verdana" w:cs="Times New Roman"/>
                <w:sz w:val="24"/>
                <w:szCs w:val="24"/>
              </w:rPr>
              <w:t> </w:t>
            </w:r>
          </w:p>
        </w:tc>
      </w:tr>
      <w:tr w:rsidR="00F265F7" w:rsidRPr="00F265F7" w:rsidTr="00F265F7">
        <w:trPr>
          <w:tblCellSpacing w:w="0" w:type="dxa"/>
          <w:jc w:val="center"/>
        </w:trPr>
        <w:tc>
          <w:tcPr>
            <w:tcW w:w="0" w:type="auto"/>
            <w:shd w:val="clear" w:color="auto" w:fill="EAC450"/>
            <w:vAlign w:val="center"/>
            <w:hideMark/>
          </w:tcPr>
          <w:tbl>
            <w:tblPr>
              <w:tblW w:w="5000" w:type="pct"/>
              <w:tblCellSpacing w:w="0" w:type="dxa"/>
              <w:tblCellMar>
                <w:left w:w="0" w:type="dxa"/>
                <w:right w:w="0" w:type="dxa"/>
              </w:tblCellMar>
              <w:tblLook w:val="04A0"/>
            </w:tblPr>
            <w:tblGrid>
              <w:gridCol w:w="7831"/>
            </w:tblGrid>
            <w:tr w:rsidR="00F265F7" w:rsidRPr="00F265F7" w:rsidTr="00F265F7">
              <w:trPr>
                <w:tblCellSpacing w:w="0" w:type="dxa"/>
              </w:trPr>
              <w:tc>
                <w:tcPr>
                  <w:tcW w:w="0" w:type="auto"/>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La Bolsa de Valores de El Salvador (</w:t>
                  </w:r>
                  <w:r w:rsidRPr="000A0EE7">
                    <w:rPr>
                      <w:rFonts w:ascii="Verdana" w:eastAsia="Times New Roman" w:hAnsi="Verdana" w:cs="Times New Roman"/>
                      <w:b/>
                      <w:bCs/>
                      <w:sz w:val="17"/>
                      <w:lang w:val="es-ES"/>
                    </w:rPr>
                    <w:t>BVES</w:t>
                  </w:r>
                  <w:r w:rsidRPr="00F265F7">
                    <w:rPr>
                      <w:rFonts w:ascii="Verdana" w:eastAsia="Times New Roman" w:hAnsi="Verdana" w:cs="Times New Roman"/>
                      <w:sz w:val="17"/>
                      <w:szCs w:val="17"/>
                      <w:lang w:val="es-ES"/>
                    </w:rPr>
                    <w:t>), es una institución privada que cuenta con bases que datan de los años 60, y cuya trayectoria y períodos de formación se han visto influenciados por la visión a futuro de los fundadores de la misma, la cual ha llevado a</w:t>
                  </w:r>
                  <w:r w:rsidRPr="000A0EE7">
                    <w:rPr>
                      <w:rFonts w:ascii="Verdana" w:eastAsia="Times New Roman" w:hAnsi="Verdana" w:cs="Times New Roman"/>
                      <w:b/>
                      <w:bCs/>
                      <w:sz w:val="17"/>
                      <w:lang w:val="es-ES"/>
                    </w:rPr>
                    <w:t>BVES</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a ser una empresa vanguardista, sólida e innovadora.</w:t>
                  </w:r>
                </w:p>
              </w:tc>
            </w:tr>
            <w:tr w:rsidR="00F265F7" w:rsidRPr="00F265F7" w:rsidTr="00F265F7">
              <w:trPr>
                <w:tblCellSpacing w:w="0" w:type="dxa"/>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r w:rsidR="00F265F7" w:rsidRPr="00F265F7" w:rsidTr="00F265F7">
              <w:trPr>
                <w:tblCellSpacing w:w="0" w:type="dxa"/>
              </w:trPr>
              <w:tc>
                <w:tcPr>
                  <w:tcW w:w="0" w:type="auto"/>
                  <w:vAlign w:val="center"/>
                  <w:hideMark/>
                </w:tcPr>
                <w:tbl>
                  <w:tblPr>
                    <w:tblW w:w="7785" w:type="dxa"/>
                    <w:jc w:val="center"/>
                    <w:tblCellSpacing w:w="0" w:type="dxa"/>
                    <w:tblCellMar>
                      <w:left w:w="0" w:type="dxa"/>
                      <w:right w:w="0" w:type="dxa"/>
                    </w:tblCellMar>
                    <w:tblLook w:val="04A0"/>
                  </w:tblPr>
                  <w:tblGrid>
                    <w:gridCol w:w="7830"/>
                  </w:tblGrid>
                  <w:tr w:rsidR="00F265F7" w:rsidRPr="00F265F7">
                    <w:trPr>
                      <w:tblCellSpacing w:w="0" w:type="dxa"/>
                      <w:jc w:val="center"/>
                    </w:trPr>
                    <w:tc>
                      <w:tcPr>
                        <w:tcW w:w="0" w:type="auto"/>
                        <w:hideMark/>
                      </w:tcPr>
                      <w:tbl>
                        <w:tblPr>
                          <w:tblW w:w="7785" w:type="dxa"/>
                          <w:jc w:val="center"/>
                          <w:tblCellSpacing w:w="0" w:type="dxa"/>
                          <w:tblCellMar>
                            <w:left w:w="0" w:type="dxa"/>
                            <w:right w:w="0" w:type="dxa"/>
                          </w:tblCellMar>
                          <w:tblLook w:val="04A0"/>
                        </w:tblPr>
                        <w:tblGrid>
                          <w:gridCol w:w="7830"/>
                        </w:tblGrid>
                        <w:tr w:rsidR="00F265F7" w:rsidRPr="00F265F7">
                          <w:trPr>
                            <w:tblCellSpacing w:w="0" w:type="dxa"/>
                            <w:jc w:val="center"/>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4943475" cy="276225"/>
                                    <wp:effectExtent l="19050" t="0" r="9525" b="0"/>
                                    <wp:docPr id="83" name="Imagen 83" descr="https://www.bves.com.sv/images/rollover/top_histo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bves.com.sv/images/rollover/top_historia.gif"/>
                                            <pic:cNvPicPr>
                                              <a:picLocks noChangeAspect="1" noChangeArrowheads="1"/>
                                            </pic:cNvPicPr>
                                          </pic:nvPicPr>
                                          <pic:blipFill>
                                            <a:blip r:embed="rId20"/>
                                            <a:srcRect/>
                                            <a:stretch>
                                              <a:fillRect/>
                                            </a:stretch>
                                          </pic:blipFill>
                                          <pic:spPr bwMode="auto">
                                            <a:xfrm>
                                              <a:off x="0" y="0"/>
                                              <a:ext cx="4943475" cy="276225"/>
                                            </a:xfrm>
                                            <a:prstGeom prst="rect">
                                              <a:avLst/>
                                            </a:prstGeom>
                                            <a:noFill/>
                                            <a:ln w="9525">
                                              <a:noFill/>
                                              <a:miter lim="800000"/>
                                              <a:headEnd/>
                                              <a:tailEnd/>
                                            </a:ln>
                                          </pic:spPr>
                                        </pic:pic>
                                      </a:graphicData>
                                    </a:graphic>
                                  </wp:inline>
                                </w:drawing>
                              </w:r>
                            </w:p>
                          </w:tc>
                        </w:tr>
                      </w:tbl>
                      <w:p w:rsidR="00F265F7" w:rsidRPr="00F265F7" w:rsidRDefault="00F265F7" w:rsidP="00F265F7">
                        <w:pPr>
                          <w:spacing w:after="0" w:line="240" w:lineRule="auto"/>
                          <w:rPr>
                            <w:rFonts w:ascii="Verdana" w:eastAsia="Times New Roman" w:hAnsi="Verdana" w:cs="Times New Roman"/>
                            <w:vanish/>
                            <w:sz w:val="17"/>
                            <w:szCs w:val="17"/>
                          </w:rPr>
                        </w:pPr>
                      </w:p>
                      <w:tbl>
                        <w:tblPr>
                          <w:tblW w:w="7785" w:type="dxa"/>
                          <w:jc w:val="center"/>
                          <w:tblCellSpacing w:w="0" w:type="dxa"/>
                          <w:shd w:val="clear" w:color="auto" w:fill="FCE49D"/>
                          <w:tblCellMar>
                            <w:left w:w="0" w:type="dxa"/>
                            <w:right w:w="0" w:type="dxa"/>
                          </w:tblCellMar>
                          <w:tblLook w:val="04A0"/>
                        </w:tblPr>
                        <w:tblGrid>
                          <w:gridCol w:w="7785"/>
                        </w:tblGrid>
                        <w:tr w:rsidR="00F265F7" w:rsidRPr="00F265F7">
                          <w:trPr>
                            <w:tblCellSpacing w:w="0" w:type="dxa"/>
                            <w:jc w:val="center"/>
                          </w:trPr>
                          <w:tc>
                            <w:tcPr>
                              <w:tcW w:w="7800" w:type="dxa"/>
                              <w:shd w:val="clear" w:color="auto" w:fill="175B12"/>
                              <w:vAlign w:val="center"/>
                              <w:hideMark/>
                            </w:tcPr>
                            <w:p w:rsidR="00F265F7" w:rsidRPr="00F265F7" w:rsidRDefault="00F265F7" w:rsidP="00F265F7">
                              <w:pPr>
                                <w:spacing w:after="0" w:line="240" w:lineRule="auto"/>
                                <w:rPr>
                                  <w:rFonts w:ascii="Verdana" w:eastAsia="Times New Roman" w:hAnsi="Verdana" w:cs="Times New Roman"/>
                                  <w:sz w:val="17"/>
                                  <w:szCs w:val="17"/>
                                </w:rPr>
                              </w:pPr>
                              <w:r>
                                <w:rPr>
                                  <w:rFonts w:ascii="Verdana" w:eastAsia="Times New Roman" w:hAnsi="Verdana" w:cs="Times New Roman"/>
                                  <w:noProof/>
                                  <w:color w:val="0000CC"/>
                                  <w:sz w:val="17"/>
                                  <w:szCs w:val="17"/>
                                </w:rPr>
                                <w:drawing>
                                  <wp:inline distT="0" distB="0" distL="0" distR="0">
                                    <wp:extent cx="952500" cy="190500"/>
                                    <wp:effectExtent l="19050" t="0" r="0" b="0"/>
                                    <wp:docPr id="84" name="img1" descr="1960-198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1960-1980">
                                              <a:hlinkClick r:id="rId21"/>
                                            </pic:cNvPr>
                                            <pic:cNvPicPr>
                                              <a:picLocks noChangeAspect="1" noChangeArrowheads="1"/>
                                            </pic:cNvPicPr>
                                          </pic:nvPicPr>
                                          <pic:blipFill>
                                            <a:blip r:embed="rId22"/>
                                            <a:srcRect/>
                                            <a:stretch>
                                              <a:fillRect/>
                                            </a:stretch>
                                          </pic:blipFill>
                                          <pic:spPr bwMode="auto">
                                            <a:xfrm>
                                              <a:off x="0" y="0"/>
                                              <a:ext cx="952500" cy="190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CC"/>
                                  <w:sz w:val="17"/>
                                  <w:szCs w:val="17"/>
                                </w:rPr>
                                <w:drawing>
                                  <wp:inline distT="0" distB="0" distL="0" distR="0">
                                    <wp:extent cx="952500" cy="190500"/>
                                    <wp:effectExtent l="19050" t="0" r="0" b="0"/>
                                    <wp:docPr id="85" name="img2" descr="1981-199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descr="1981-1991">
                                              <a:hlinkClick r:id="rId23"/>
                                            </pic:cNvPr>
                                            <pic:cNvPicPr>
                                              <a:picLocks noChangeAspect="1" noChangeArrowheads="1"/>
                                            </pic:cNvPicPr>
                                          </pic:nvPicPr>
                                          <pic:blipFill>
                                            <a:blip r:embed="rId24"/>
                                            <a:srcRect/>
                                            <a:stretch>
                                              <a:fillRect/>
                                            </a:stretch>
                                          </pic:blipFill>
                                          <pic:spPr bwMode="auto">
                                            <a:xfrm>
                                              <a:off x="0" y="0"/>
                                              <a:ext cx="952500" cy="190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CC"/>
                                  <w:sz w:val="17"/>
                                  <w:szCs w:val="17"/>
                                </w:rPr>
                                <w:drawing>
                                  <wp:inline distT="0" distB="0" distL="0" distR="0">
                                    <wp:extent cx="952500" cy="190500"/>
                                    <wp:effectExtent l="19050" t="0" r="0" b="0"/>
                                    <wp:docPr id="86" name="img3" descr="1992-199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descr="1992-1998">
                                              <a:hlinkClick r:id="rId25"/>
                                            </pic:cNvPr>
                                            <pic:cNvPicPr>
                                              <a:picLocks noChangeAspect="1" noChangeArrowheads="1"/>
                                            </pic:cNvPicPr>
                                          </pic:nvPicPr>
                                          <pic:blipFill>
                                            <a:blip r:embed="rId26"/>
                                            <a:srcRect/>
                                            <a:stretch>
                                              <a:fillRect/>
                                            </a:stretch>
                                          </pic:blipFill>
                                          <pic:spPr bwMode="auto">
                                            <a:xfrm>
                                              <a:off x="0" y="0"/>
                                              <a:ext cx="952500" cy="190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CC"/>
                                  <w:sz w:val="17"/>
                                  <w:szCs w:val="17"/>
                                </w:rPr>
                                <w:drawing>
                                  <wp:inline distT="0" distB="0" distL="0" distR="0">
                                    <wp:extent cx="952500" cy="190500"/>
                                    <wp:effectExtent l="19050" t="0" r="0" b="0"/>
                                    <wp:docPr id="87" name="img4" descr="1999-200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descr="1999-2002">
                                              <a:hlinkClick r:id="rId27"/>
                                            </pic:cNvPr>
                                            <pic:cNvPicPr>
                                              <a:picLocks noChangeAspect="1" noChangeArrowheads="1"/>
                                            </pic:cNvPicPr>
                                          </pic:nvPicPr>
                                          <pic:blipFill>
                                            <a:blip r:embed="rId28"/>
                                            <a:srcRect/>
                                            <a:stretch>
                                              <a:fillRect/>
                                            </a:stretch>
                                          </pic:blipFill>
                                          <pic:spPr bwMode="auto">
                                            <a:xfrm>
                                              <a:off x="0" y="0"/>
                                              <a:ext cx="952500" cy="190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CC"/>
                                  <w:sz w:val="17"/>
                                  <w:szCs w:val="17"/>
                                </w:rPr>
                                <w:drawing>
                                  <wp:inline distT="0" distB="0" distL="0" distR="0">
                                    <wp:extent cx="952500" cy="190500"/>
                                    <wp:effectExtent l="19050" t="0" r="0" b="0"/>
                                    <wp:docPr id="88" name="img5" descr="2003-200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descr="2003-2008">
                                              <a:hlinkClick r:id="rId29"/>
                                            </pic:cNvPr>
                                            <pic:cNvPicPr>
                                              <a:picLocks noChangeAspect="1" noChangeArrowheads="1"/>
                                            </pic:cNvPicPr>
                                          </pic:nvPicPr>
                                          <pic:blipFill>
                                            <a:blip r:embed="rId30"/>
                                            <a:srcRect/>
                                            <a:stretch>
                                              <a:fillRect/>
                                            </a:stretch>
                                          </pic:blipFill>
                                          <pic:spPr bwMode="auto">
                                            <a:xfrm>
                                              <a:off x="0" y="0"/>
                                              <a:ext cx="952500" cy="190500"/>
                                            </a:xfrm>
                                            <a:prstGeom prst="rect">
                                              <a:avLst/>
                                            </a:prstGeom>
                                            <a:noFill/>
                                            <a:ln w="9525">
                                              <a:noFill/>
                                              <a:miter lim="800000"/>
                                              <a:headEnd/>
                                              <a:tailEnd/>
                                            </a:ln>
                                          </pic:spPr>
                                        </pic:pic>
                                      </a:graphicData>
                                    </a:graphic>
                                  </wp:inline>
                                </w:drawing>
                              </w:r>
                            </w:p>
                          </w:tc>
                        </w:tr>
                        <w:tr w:rsidR="00F265F7" w:rsidRPr="00F265F7">
                          <w:trPr>
                            <w:tblCellSpacing w:w="0" w:type="dxa"/>
                            <w:jc w:val="center"/>
                          </w:trPr>
                          <w:tc>
                            <w:tcPr>
                              <w:tcW w:w="0" w:type="auto"/>
                              <w:shd w:val="clear" w:color="auto" w:fill="FCE49D"/>
                              <w:hideMark/>
                            </w:tcPr>
                            <w:tbl>
                              <w:tblPr>
                                <w:tblW w:w="7005" w:type="dxa"/>
                                <w:jc w:val="center"/>
                                <w:tblCellSpacing w:w="0" w:type="dxa"/>
                                <w:tblCellMar>
                                  <w:left w:w="0" w:type="dxa"/>
                                  <w:right w:w="0" w:type="dxa"/>
                                </w:tblCellMar>
                                <w:tblLook w:val="04A0"/>
                              </w:tblPr>
                              <w:tblGrid>
                                <w:gridCol w:w="7005"/>
                              </w:tblGrid>
                              <w:tr w:rsidR="00F265F7" w:rsidRPr="00F265F7">
                                <w:trPr>
                                  <w:tblCellSpacing w:w="0" w:type="dxa"/>
                                  <w:jc w:val="center"/>
                                </w:trPr>
                                <w:tc>
                                  <w:tcPr>
                                    <w:tcW w:w="7005" w:type="dxa"/>
                                    <w:vAlign w:val="center"/>
                                    <w:hideMark/>
                                  </w:tcPr>
                                  <w:p w:rsidR="00F265F7" w:rsidRPr="00F265F7" w:rsidRDefault="00F265F7" w:rsidP="00F265F7">
                                    <w:pPr>
                                      <w:spacing w:after="0" w:line="240" w:lineRule="auto"/>
                                      <w:rPr>
                                        <w:rFonts w:ascii="Verdana" w:eastAsia="Times New Roman" w:hAnsi="Verdana" w:cs="Times New Roman"/>
                                        <w:sz w:val="17"/>
                                        <w:szCs w:val="17"/>
                                      </w:rPr>
                                    </w:pPr>
                                    <w:r w:rsidRPr="00F265F7">
                                      <w:rPr>
                                        <w:rFonts w:ascii="Verdana" w:eastAsia="Times New Roman" w:hAnsi="Verdana" w:cs="Times New Roman"/>
                                        <w:sz w:val="17"/>
                                        <w:szCs w:val="17"/>
                                      </w:rPr>
                                      <w:t> </w:t>
                                    </w:r>
                                  </w:p>
                                </w:tc>
                              </w:tr>
                              <w:tr w:rsidR="00F265F7" w:rsidRPr="00F265F7">
                                <w:trPr>
                                  <w:tblCellSpacing w:w="0" w:type="dxa"/>
                                  <w:jc w:val="center"/>
                                </w:trPr>
                                <w:tc>
                                  <w:tcPr>
                                    <w:tcW w:w="0" w:type="auto"/>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En los</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años 1960</w:t>
                                    </w:r>
                                    <w:r w:rsidRPr="00F265F7">
                                      <w:rPr>
                                        <w:rFonts w:ascii="Verdana" w:eastAsia="Times New Roman" w:hAnsi="Verdana" w:cs="Times New Roman"/>
                                        <w:sz w:val="17"/>
                                        <w:szCs w:val="17"/>
                                        <w:lang w:val="es-ES"/>
                                      </w:rPr>
                                      <w:t>, el Estado y el Banco Central, por medio de la "</w:t>
                                    </w:r>
                                    <w:r w:rsidRPr="000A0EE7">
                                      <w:rPr>
                                        <w:rFonts w:ascii="Verdana" w:eastAsia="Times New Roman" w:hAnsi="Verdana" w:cs="Times New Roman"/>
                                        <w:i/>
                                        <w:iCs/>
                                        <w:sz w:val="17"/>
                                        <w:lang w:val="es-ES"/>
                                      </w:rPr>
                                      <w:t>Comisión Organizadora y de Vigilancia del Mercado de Valores</w:t>
                                    </w:r>
                                    <w:r w:rsidRPr="00F265F7">
                                      <w:rPr>
                                        <w:rFonts w:ascii="Verdana" w:eastAsia="Times New Roman" w:hAnsi="Verdana" w:cs="Times New Roman"/>
                                        <w:sz w:val="17"/>
                                        <w:szCs w:val="17"/>
                                        <w:lang w:val="es-ES"/>
                                      </w:rPr>
                                      <w:t>", se dieron a la tarea de crear la primera Bolsa en nuestro país.</w:t>
                                    </w:r>
                                    <w:r w:rsidRPr="00F265F7">
                                      <w:rPr>
                                        <w:rFonts w:ascii="Verdana" w:eastAsia="Times New Roman" w:hAnsi="Verdana" w:cs="Times New Roman"/>
                                        <w:sz w:val="17"/>
                                        <w:szCs w:val="17"/>
                                        <w:lang w:val="es-ES"/>
                                      </w:rPr>
                                      <w:br/>
                                    </w:r>
                                    <w:r w:rsidRPr="00F265F7">
                                      <w:rPr>
                                        <w:rFonts w:ascii="Verdana" w:eastAsia="Times New Roman" w:hAnsi="Verdana" w:cs="Times New Roman"/>
                                        <w:sz w:val="17"/>
                                        <w:szCs w:val="17"/>
                                        <w:lang w:val="es-ES"/>
                                      </w:rPr>
                                      <w:br/>
                                      <w:t>En</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1963</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se otorgó la escritura pública de la sociedad anónima con la denominación social de "</w:t>
                                    </w:r>
                                    <w:r w:rsidRPr="000A0EE7">
                                      <w:rPr>
                                        <w:rFonts w:ascii="Verdana" w:eastAsia="Times New Roman" w:hAnsi="Verdana" w:cs="Times New Roman"/>
                                        <w:i/>
                                        <w:iCs/>
                                        <w:sz w:val="17"/>
                                        <w:lang w:val="es-ES"/>
                                      </w:rPr>
                                      <w:t>Bolsa de El Salvador S.A.</w:t>
                                    </w:r>
                                    <w:r w:rsidRPr="00F265F7">
                                      <w:rPr>
                                        <w:rFonts w:ascii="Verdana" w:eastAsia="Times New Roman" w:hAnsi="Verdana" w:cs="Times New Roman"/>
                                        <w:sz w:val="17"/>
                                        <w:szCs w:val="17"/>
                                        <w:lang w:val="es-ES"/>
                                      </w:rPr>
                                      <w:t>", sociedad que quedó inscrita el</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29 de Junio de 1964</w:t>
                                    </w:r>
                                    <w:r w:rsidRPr="00F265F7">
                                      <w:rPr>
                                        <w:rFonts w:ascii="Verdana" w:eastAsia="Times New Roman" w:hAnsi="Verdana" w:cs="Times New Roman"/>
                                        <w:sz w:val="17"/>
                                        <w:szCs w:val="17"/>
                                        <w:lang w:val="es-ES"/>
                                      </w:rPr>
                                      <w:t>, y la cual fue el primer intento de muchos por establecer una Bolsa de Valores en nuestro país.</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Dicha Sociedad inauguró sus operaciones el día</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15 de marzo de 1965</w:t>
                                    </w:r>
                                    <w:r w:rsidRPr="00F265F7">
                                      <w:rPr>
                                        <w:rFonts w:ascii="Verdana" w:eastAsia="Times New Roman" w:hAnsi="Verdana" w:cs="Times New Roman"/>
                                        <w:sz w:val="17"/>
                                        <w:szCs w:val="17"/>
                                        <w:lang w:val="es-ES"/>
                                      </w:rPr>
                                      <w:t>, dando así inicio a una nueva etapa para El Salvador. Lastimosamente, dado sus bajos niveles de operación, esta Bolsa acordó su disolución el</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26 de marzo de 1976</w:t>
                                    </w:r>
                                    <w:r w:rsidRPr="00F265F7">
                                      <w:rPr>
                                        <w:rFonts w:ascii="Verdana" w:eastAsia="Times New Roman" w:hAnsi="Verdana" w:cs="Times New Roman"/>
                                        <w:sz w:val="17"/>
                                        <w:szCs w:val="17"/>
                                        <w:lang w:val="es-ES"/>
                                      </w:rPr>
                                      <w:t>.</w:t>
                                    </w:r>
                                  </w:p>
                                </w:tc>
                              </w:tr>
                              <w:tr w:rsidR="00F265F7" w:rsidRPr="00F265F7">
                                <w:trPr>
                                  <w:tblCellSpacing w:w="0" w:type="dxa"/>
                                  <w:jc w:val="center"/>
                                </w:trPr>
                                <w:tc>
                                  <w:tcPr>
                                    <w:tcW w:w="0" w:type="auto"/>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bl>
                            <w:p w:rsidR="00F265F7" w:rsidRPr="00F265F7" w:rsidRDefault="00F265F7" w:rsidP="00F265F7">
                              <w:pPr>
                                <w:spacing w:after="0" w:line="240" w:lineRule="auto"/>
                                <w:rPr>
                                  <w:rFonts w:ascii="Verdana" w:eastAsia="Times New Roman" w:hAnsi="Verdana" w:cs="Times New Roman"/>
                                  <w:sz w:val="17"/>
                                  <w:szCs w:val="17"/>
                                  <w:lang w:val="es-ES"/>
                                </w:rPr>
                              </w:pPr>
                            </w:p>
                          </w:tc>
                        </w:tr>
                      </w:tbl>
                      <w:p w:rsidR="00F265F7" w:rsidRPr="00F265F7" w:rsidRDefault="00F265F7" w:rsidP="00F265F7">
                        <w:pPr>
                          <w:spacing w:after="0" w:line="240" w:lineRule="auto"/>
                          <w:rPr>
                            <w:rFonts w:ascii="Verdana" w:eastAsia="Times New Roman" w:hAnsi="Verdana" w:cs="Times New Roman"/>
                            <w:sz w:val="17"/>
                            <w:szCs w:val="17"/>
                            <w:lang w:val="es-ES"/>
                          </w:rPr>
                        </w:pPr>
                      </w:p>
                    </w:tc>
                  </w:tr>
                </w:tbl>
                <w:p w:rsidR="00F265F7" w:rsidRPr="00F265F7" w:rsidRDefault="00F265F7" w:rsidP="00F265F7">
                  <w:pPr>
                    <w:spacing w:after="0" w:line="240" w:lineRule="auto"/>
                    <w:rPr>
                      <w:rFonts w:ascii="Verdana" w:eastAsia="Times New Roman" w:hAnsi="Verdana" w:cs="Times New Roman"/>
                      <w:sz w:val="17"/>
                      <w:szCs w:val="17"/>
                      <w:lang w:val="es-ES"/>
                    </w:rPr>
                  </w:pPr>
                </w:p>
              </w:tc>
            </w:tr>
          </w:tbl>
          <w:p w:rsidR="00F265F7" w:rsidRPr="00F265F7" w:rsidRDefault="00F265F7" w:rsidP="00F265F7">
            <w:pPr>
              <w:spacing w:after="0" w:line="240" w:lineRule="auto"/>
              <w:rPr>
                <w:rFonts w:ascii="Verdana" w:eastAsia="Times New Roman" w:hAnsi="Verdana" w:cs="Times New Roman"/>
                <w:sz w:val="24"/>
                <w:szCs w:val="24"/>
                <w:lang w:val="es-ES"/>
              </w:rPr>
            </w:pP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En</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1986</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se forma el</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Grupo Promotor</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de la actual Bolsa de Valores de El Salvador, integrado por profesionales y empresarios salvadoreños, como el Lic. Jorge Zablah-Touché, el Licenciado Rolando Duarte Fuentes y otros más, eligiendo como presidente al Dr. Guillermo Hidalgo-Quehl, quien fungió como tal a partir del</w:t>
            </w:r>
            <w:r w:rsidRPr="000A0EE7">
              <w:rPr>
                <w:rFonts w:ascii="Verdana" w:eastAsia="Times New Roman" w:hAnsi="Verdana" w:cs="Times New Roman"/>
                <w:b/>
                <w:bCs/>
                <w:sz w:val="17"/>
                <w:lang w:val="es-ES"/>
              </w:rPr>
              <w:t> 23 de enero de 1987</w:t>
            </w:r>
            <w:r w:rsidRPr="00F265F7">
              <w:rPr>
                <w:rFonts w:ascii="Verdana" w:eastAsia="Times New Roman" w:hAnsi="Verdana" w:cs="Times New Roman"/>
                <w:sz w:val="17"/>
                <w:szCs w:val="17"/>
                <w:lang w:val="es-ES"/>
              </w:rPr>
              <w:t>.</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El</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12 de Julio de 1988</w:t>
            </w:r>
            <w:r w:rsidRPr="00F265F7">
              <w:rPr>
                <w:rFonts w:ascii="Verdana" w:eastAsia="Times New Roman" w:hAnsi="Verdana" w:cs="Times New Roman"/>
                <w:sz w:val="17"/>
                <w:szCs w:val="17"/>
                <w:lang w:val="es-ES"/>
              </w:rPr>
              <w:t>, se presentó ante el Ministerio de Economía la solicitud de autorización de la constitución de una sociedad anónima que establecería la Bolsa de Valores en el país. El</w:t>
            </w:r>
            <w:r w:rsidRPr="000A0EE7">
              <w:rPr>
                <w:rFonts w:ascii="Verdana" w:eastAsia="Times New Roman" w:hAnsi="Verdana" w:cs="Times New Roman"/>
                <w:sz w:val="17"/>
                <w:lang w:val="es-ES"/>
              </w:rPr>
              <w:t> </w:t>
            </w:r>
            <w:r w:rsidRPr="000A0EE7">
              <w:rPr>
                <w:rFonts w:ascii="Verdana" w:eastAsia="Times New Roman" w:hAnsi="Verdana" w:cs="Times New Roman"/>
                <w:b/>
                <w:bCs/>
                <w:sz w:val="17"/>
                <w:lang w:val="es-ES"/>
              </w:rPr>
              <w:t>17 de agosto</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del mismo año, el Ministerio de Economía, así como el Banco Central de Reserva, admitieron y dieron trámite a dicha solicitud, al cumplir los solicitantes todos los requisitos legales pertinentes.</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El 10 de Julio de 1989</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el Organo Ejecutivo de la República dictó el Decreto n°3, autorizando la constitución de la Sociedad “</w:t>
            </w:r>
            <w:r w:rsidRPr="000A0EE7">
              <w:rPr>
                <w:rFonts w:ascii="Verdana" w:eastAsia="Times New Roman" w:hAnsi="Verdana" w:cs="Times New Roman"/>
                <w:i/>
                <w:iCs/>
                <w:sz w:val="17"/>
                <w:lang w:val="es-ES"/>
              </w:rPr>
              <w:t>Mercado de Valores de El Salvador, S.A.</w:t>
            </w:r>
            <w:r w:rsidRPr="00F265F7">
              <w:rPr>
                <w:rFonts w:ascii="Verdana" w:eastAsia="Times New Roman" w:hAnsi="Verdana" w:cs="Times New Roman"/>
                <w:sz w:val="17"/>
                <w:szCs w:val="17"/>
                <w:lang w:val="es-ES"/>
              </w:rPr>
              <w:t>”.</w:t>
            </w:r>
          </w:p>
          <w:p w:rsidR="00F265F7" w:rsidRPr="00F265F7" w:rsidRDefault="00F265F7" w:rsidP="00F265F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b/>
                <w:bCs/>
                <w:sz w:val="17"/>
                <w:lang w:val="es-ES"/>
              </w:rPr>
              <w:t xml:space="preserve">El 7 de Septiembre de </w:t>
            </w:r>
            <w:proofErr w:type="gramStart"/>
            <w:r w:rsidRPr="000A0EE7">
              <w:rPr>
                <w:rFonts w:ascii="Verdana" w:eastAsia="Times New Roman" w:hAnsi="Verdana" w:cs="Times New Roman"/>
                <w:b/>
                <w:bCs/>
                <w:sz w:val="17"/>
                <w:lang w:val="es-ES"/>
              </w:rPr>
              <w:t>1989</w:t>
            </w:r>
            <w:r w:rsidRPr="000A0EE7">
              <w:rPr>
                <w:rFonts w:ascii="Verdana" w:eastAsia="Times New Roman" w:hAnsi="Verdana" w:cs="Times New Roman"/>
                <w:sz w:val="17"/>
                <w:lang w:val="es-ES"/>
              </w:rPr>
              <w:t> </w:t>
            </w:r>
            <w:r w:rsidRPr="00F265F7">
              <w:rPr>
                <w:rFonts w:ascii="Verdana" w:eastAsia="Times New Roman" w:hAnsi="Verdana" w:cs="Times New Roman"/>
                <w:sz w:val="17"/>
                <w:szCs w:val="17"/>
                <w:lang w:val="es-ES"/>
              </w:rPr>
              <w:t>,</w:t>
            </w:r>
            <w:proofErr w:type="gramEnd"/>
            <w:r w:rsidRPr="00F265F7">
              <w:rPr>
                <w:rFonts w:ascii="Verdana" w:eastAsia="Times New Roman" w:hAnsi="Verdana" w:cs="Times New Roman"/>
                <w:sz w:val="17"/>
                <w:szCs w:val="17"/>
                <w:lang w:val="es-ES"/>
              </w:rPr>
              <w:t xml:space="preserve"> se suscribe la escritura constitutiva de la sociedad “</w:t>
            </w:r>
            <w:r w:rsidRPr="000A0EE7">
              <w:rPr>
                <w:rFonts w:ascii="Verdana" w:eastAsia="Times New Roman" w:hAnsi="Verdana" w:cs="Times New Roman"/>
                <w:i/>
                <w:iCs/>
                <w:sz w:val="17"/>
                <w:lang w:val="es-ES"/>
              </w:rPr>
              <w:t>Mercado de Valores de El Salvador, Sociedad Anónima</w:t>
            </w:r>
            <w:r w:rsidRPr="00F265F7">
              <w:rPr>
                <w:rFonts w:ascii="Verdana" w:eastAsia="Times New Roman" w:hAnsi="Verdana" w:cs="Times New Roman"/>
                <w:sz w:val="17"/>
                <w:szCs w:val="17"/>
                <w:lang w:val="es-ES"/>
              </w:rPr>
              <w:t>”, con el nombre comercial de</w:t>
            </w:r>
            <w:r w:rsidRPr="000A0EE7">
              <w:rPr>
                <w:rFonts w:ascii="Verdana" w:eastAsia="Times New Roman" w:hAnsi="Verdana" w:cs="Times New Roman"/>
                <w:sz w:val="17"/>
                <w:lang w:val="es-ES"/>
              </w:rPr>
              <w:t> </w:t>
            </w:r>
            <w:r w:rsidRPr="000A0EE7">
              <w:rPr>
                <w:rFonts w:ascii="Verdana" w:eastAsia="Times New Roman" w:hAnsi="Verdana" w:cs="Times New Roman"/>
                <w:i/>
                <w:iCs/>
                <w:sz w:val="17"/>
                <w:lang w:val="es-ES"/>
              </w:rPr>
              <w:t>Bolsa de Valores</w:t>
            </w:r>
            <w:r w:rsidRPr="00F265F7">
              <w:rPr>
                <w:rFonts w:ascii="Verdana" w:eastAsia="Times New Roman" w:hAnsi="Verdana" w:cs="Times New Roman"/>
                <w:sz w:val="17"/>
                <w:szCs w:val="17"/>
                <w:lang w:val="es-ES"/>
              </w:rPr>
              <w:t>. Y comienza entonces el proceso de perfeccionamiento de la personalidad jurídica, y cumplimiento de todos los requisitos legales que le imponía el decreto de autorización para iniciar operaciones, proceso que se extiende hasta 1992.</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w:t>
            </w:r>
          </w:p>
        </w:tc>
      </w:tr>
      <w:tr w:rsidR="00F265F7" w:rsidRPr="00F265F7" w:rsidTr="00F265F7">
        <w:trPr>
          <w:tblCellSpacing w:w="0" w:type="dxa"/>
          <w:jc w:val="center"/>
        </w:trPr>
        <w:tc>
          <w:tcPr>
            <w:tcW w:w="0" w:type="auto"/>
            <w:shd w:val="clear" w:color="auto" w:fill="EAC450"/>
            <w:vAlign w:val="center"/>
            <w:hideMark/>
          </w:tcPr>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El</w:t>
            </w:r>
            <w:r w:rsidRPr="000A0EE7">
              <w:rPr>
                <w:rFonts w:ascii="Verdana" w:eastAsia="Times New Roman" w:hAnsi="Verdana" w:cs="Times New Roman"/>
                <w:sz w:val="17"/>
                <w:szCs w:val="17"/>
                <w:lang w:val="es-ES"/>
              </w:rPr>
              <w:t> 13 de Febrero de 1992 </w:t>
            </w:r>
            <w:r w:rsidRPr="00F265F7">
              <w:rPr>
                <w:rFonts w:ascii="Verdana" w:eastAsia="Times New Roman" w:hAnsi="Verdana" w:cs="Times New Roman"/>
                <w:sz w:val="17"/>
                <w:szCs w:val="17"/>
                <w:lang w:val="es-ES"/>
              </w:rPr>
              <w:t>se inauguran las instalaciones de la Bolsa de Valores, evento en el que estuvo presente el Señor Presidente de la República en aquel entonces, el Lic. Alfredo Cristiani, quien manifestó su total apoyo a la nueva institución que comenzaba el desarrollo del mercado de capitales en el país. El inicio de operaciones fue el</w:t>
            </w:r>
            <w:r w:rsidRPr="000A0EE7">
              <w:rPr>
                <w:rFonts w:ascii="Verdana" w:eastAsia="Times New Roman" w:hAnsi="Verdana" w:cs="Times New Roman"/>
                <w:sz w:val="17"/>
                <w:szCs w:val="17"/>
                <w:lang w:val="es-ES"/>
              </w:rPr>
              <w:t> 27 de abril de 1992</w:t>
            </w:r>
            <w:r w:rsidRPr="00F265F7">
              <w:rPr>
                <w:rFonts w:ascii="Verdana" w:eastAsia="Times New Roman" w:hAnsi="Verdana" w:cs="Times New Roman"/>
                <w:sz w:val="17"/>
                <w:szCs w:val="17"/>
                <w:lang w:val="es-ES"/>
              </w:rPr>
              <w:t xml:space="preserve">, transando en la Sesión de Negociaciones inaugural un total de ¢118,650 ($13,560), en tres operaciones por parte de las Casas de Corredores de Bolsa Omnivalores, Servicios </w:t>
            </w:r>
            <w:r w:rsidRPr="00F265F7">
              <w:rPr>
                <w:rFonts w:ascii="Verdana" w:eastAsia="Times New Roman" w:hAnsi="Verdana" w:cs="Times New Roman"/>
                <w:sz w:val="17"/>
                <w:szCs w:val="17"/>
                <w:lang w:val="es-ES"/>
              </w:rPr>
              <w:lastRenderedPageBreak/>
              <w:t>Generales Bursátiles e Internacional de Valores, 3 de las 18 Casas autorizadas que en ese entonces operaban en el Mercado. Ese mismo día se firmó el convenio con el Banco Central de Reserva, para realizar operaciones de Mercado Abierto (OMA).</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La figura más común de valores en nuestro mercado fue, y sigue siendo, el</w:t>
            </w:r>
            <w:r w:rsidRPr="000A0EE7">
              <w:rPr>
                <w:rFonts w:ascii="Verdana" w:eastAsia="Times New Roman" w:hAnsi="Verdana" w:cs="Times New Roman"/>
                <w:sz w:val="17"/>
                <w:szCs w:val="17"/>
                <w:lang w:val="es-ES"/>
              </w:rPr>
              <w:t>Certificado de Inversión</w:t>
            </w:r>
            <w:r w:rsidRPr="00F265F7">
              <w:rPr>
                <w:rFonts w:ascii="Verdana" w:eastAsia="Times New Roman" w:hAnsi="Verdana" w:cs="Times New Roman"/>
                <w:sz w:val="17"/>
                <w:szCs w:val="17"/>
                <w:lang w:val="es-ES"/>
              </w:rPr>
              <w:t>, cuyo nacimiento tuvo lugar el</w:t>
            </w:r>
            <w:r w:rsidRPr="000A0EE7">
              <w:rPr>
                <w:rFonts w:ascii="Verdana" w:eastAsia="Times New Roman" w:hAnsi="Verdana" w:cs="Times New Roman"/>
                <w:sz w:val="17"/>
                <w:szCs w:val="17"/>
                <w:lang w:val="es-ES"/>
              </w:rPr>
              <w:t> 27 de Septiembre 1992</w:t>
            </w:r>
            <w:r w:rsidRPr="00F265F7">
              <w:rPr>
                <w:rFonts w:ascii="Verdana" w:eastAsia="Times New Roman" w:hAnsi="Verdana" w:cs="Times New Roman"/>
                <w:sz w:val="17"/>
                <w:szCs w:val="17"/>
                <w:lang w:val="es-ES"/>
              </w:rPr>
              <w:t>, por una propuesta de la Junta Directiva de la Bolsa. Posteriormente el Banco Central de Reserva comunicó a la Bolsa de Valores de El Salvador la aprobación de los mismos el</w:t>
            </w:r>
            <w:r w:rsidRPr="000A0EE7">
              <w:rPr>
                <w:rFonts w:ascii="Verdana" w:eastAsia="Times New Roman" w:hAnsi="Verdana" w:cs="Times New Roman"/>
                <w:sz w:val="17"/>
                <w:szCs w:val="17"/>
                <w:lang w:val="es-ES"/>
              </w:rPr>
              <w:t> 13 de Enero 1993</w:t>
            </w:r>
            <w:r w:rsidRPr="00F265F7">
              <w:rPr>
                <w:rFonts w:ascii="Verdana" w:eastAsia="Times New Roman" w:hAnsi="Verdana" w:cs="Times New Roman"/>
                <w:sz w:val="17"/>
                <w:szCs w:val="17"/>
                <w:lang w:val="es-ES"/>
              </w:rPr>
              <w:t>. Esta figura tuvo aplicación real el</w:t>
            </w:r>
            <w:r w:rsidRPr="000A0EE7">
              <w:rPr>
                <w:rFonts w:ascii="Verdana" w:eastAsia="Times New Roman" w:hAnsi="Verdana" w:cs="Times New Roman"/>
                <w:sz w:val="17"/>
                <w:szCs w:val="17"/>
                <w:lang w:val="es-ES"/>
              </w:rPr>
              <w:t> 25 de Mayo de 1993</w:t>
            </w:r>
            <w:r w:rsidRPr="00F265F7">
              <w:rPr>
                <w:rFonts w:ascii="Verdana" w:eastAsia="Times New Roman" w:hAnsi="Verdana" w:cs="Times New Roman"/>
                <w:sz w:val="17"/>
                <w:szCs w:val="17"/>
                <w:lang w:val="es-ES"/>
              </w:rPr>
              <w:t>, cuando SAQUIRO, S.A. de C.V. colocó exitosamente la primera emisión pública de Certificados de Inversión.</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 xml:space="preserve">En busca de </w:t>
            </w:r>
            <w:proofErr w:type="gramStart"/>
            <w:r w:rsidRPr="00F265F7">
              <w:rPr>
                <w:rFonts w:ascii="Verdana" w:eastAsia="Times New Roman" w:hAnsi="Verdana" w:cs="Times New Roman"/>
                <w:sz w:val="17"/>
                <w:szCs w:val="17"/>
                <w:lang w:val="es-ES"/>
              </w:rPr>
              <w:t>brindarle</w:t>
            </w:r>
            <w:proofErr w:type="gramEnd"/>
            <w:r w:rsidRPr="00F265F7">
              <w:rPr>
                <w:rFonts w:ascii="Verdana" w:eastAsia="Times New Roman" w:hAnsi="Verdana" w:cs="Times New Roman"/>
                <w:sz w:val="17"/>
                <w:szCs w:val="17"/>
                <w:lang w:val="es-ES"/>
              </w:rPr>
              <w:t xml:space="preserve"> más seguridad a los inversionistas, se estableció la Central de Deposito de Valores, S.A. de C.V. - CEDEVAL, otorgando su escritura de constitución el</w:t>
            </w:r>
            <w:r w:rsidRPr="000A0EE7">
              <w:rPr>
                <w:rFonts w:ascii="Verdana" w:eastAsia="Times New Roman" w:hAnsi="Verdana" w:cs="Times New Roman"/>
                <w:sz w:val="17"/>
                <w:szCs w:val="17"/>
                <w:lang w:val="es-ES"/>
              </w:rPr>
              <w:t> 11 de Enero de 1994</w:t>
            </w:r>
            <w:r w:rsidRPr="00F265F7">
              <w:rPr>
                <w:rFonts w:ascii="Verdana" w:eastAsia="Times New Roman" w:hAnsi="Verdana" w:cs="Times New Roman"/>
                <w:sz w:val="17"/>
                <w:szCs w:val="17"/>
                <w:lang w:val="es-ES"/>
              </w:rPr>
              <w:t>.</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Ese mismo año, el</w:t>
            </w:r>
            <w:r w:rsidRPr="000A0EE7">
              <w:rPr>
                <w:rFonts w:ascii="Verdana" w:eastAsia="Times New Roman" w:hAnsi="Verdana" w:cs="Times New Roman"/>
                <w:sz w:val="17"/>
                <w:szCs w:val="17"/>
                <w:lang w:val="es-ES"/>
              </w:rPr>
              <w:t> 30 de Abril de 1994</w:t>
            </w:r>
            <w:r w:rsidRPr="00F265F7">
              <w:rPr>
                <w:rFonts w:ascii="Verdana" w:eastAsia="Times New Roman" w:hAnsi="Verdana" w:cs="Times New Roman"/>
                <w:sz w:val="17"/>
                <w:szCs w:val="17"/>
                <w:lang w:val="es-ES"/>
              </w:rPr>
              <w:t>, entró en vigencia la Ley del Mercado de Valores, Ley en la que se venia trabajando desde hacía tiempo, y que regula desde entonces el desarrollo de la Bolsa, la Depositaria, las Casas de Corredores de Bolsa y demás participantes del Mercado.</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Para agilizar el movimiento del mercado, en</w:t>
            </w:r>
            <w:r w:rsidRPr="000A0EE7">
              <w:rPr>
                <w:rFonts w:ascii="Verdana" w:eastAsia="Times New Roman" w:hAnsi="Verdana" w:cs="Times New Roman"/>
                <w:sz w:val="17"/>
                <w:szCs w:val="17"/>
                <w:lang w:val="es-ES"/>
              </w:rPr>
              <w:t> 1995 </w:t>
            </w:r>
            <w:r w:rsidRPr="00F265F7">
              <w:rPr>
                <w:rFonts w:ascii="Verdana" w:eastAsia="Times New Roman" w:hAnsi="Verdana" w:cs="Times New Roman"/>
                <w:sz w:val="17"/>
                <w:szCs w:val="17"/>
                <w:lang w:val="es-ES"/>
              </w:rPr>
              <w:t>se realizaron unas modificaciones y reformas a la Ley, entre las cuales se pueden citar la liberalización de las operaciones en el mercado centroamericano y la facilitación de la inscripción de acciones provenientes de las sociedades que el Estado estaba privatizando. Ese mismo año, la Bolsa de Valores de El Salvador reingresa a la Federación Iberoamericana de Bolsas de Valores -FIABV-, a la cual ya había pertenecido anteriormente como Bolsa de El Salvador, S.A. (institución que fue miembro de la asociación hasta su disolución).</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En</w:t>
            </w:r>
            <w:r w:rsidRPr="000A0EE7">
              <w:rPr>
                <w:rFonts w:ascii="Verdana" w:eastAsia="Times New Roman" w:hAnsi="Verdana" w:cs="Times New Roman"/>
                <w:sz w:val="17"/>
                <w:szCs w:val="17"/>
                <w:lang w:val="es-ES"/>
              </w:rPr>
              <w:t> Octubre de 1996</w:t>
            </w:r>
            <w:r w:rsidRPr="00F265F7">
              <w:rPr>
                <w:rFonts w:ascii="Verdana" w:eastAsia="Times New Roman" w:hAnsi="Verdana" w:cs="Times New Roman"/>
                <w:sz w:val="17"/>
                <w:szCs w:val="17"/>
                <w:lang w:val="es-ES"/>
              </w:rPr>
              <w:t>, entraron en vigencia la Ley Orgánica de la Superintendencia de Valores y la Superintendencia de Valores, institución que se creó con la finalidad de velar por el cumplimiento de las obligaciones impuestas por la Ley y el comportamiento de los entes participantes del Mercado.</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Más reformas a la Ley se implementaron en</w:t>
            </w:r>
            <w:r w:rsidRPr="000A0EE7">
              <w:rPr>
                <w:rFonts w:ascii="Verdana" w:eastAsia="Times New Roman" w:hAnsi="Verdana" w:cs="Times New Roman"/>
                <w:sz w:val="17"/>
                <w:szCs w:val="17"/>
                <w:lang w:val="es-ES"/>
              </w:rPr>
              <w:t> 1998</w:t>
            </w:r>
            <w:r w:rsidRPr="00F265F7">
              <w:rPr>
                <w:rFonts w:ascii="Verdana" w:eastAsia="Times New Roman" w:hAnsi="Verdana" w:cs="Times New Roman"/>
                <w:sz w:val="17"/>
                <w:szCs w:val="17"/>
                <w:lang w:val="es-ES"/>
              </w:rPr>
              <w:t>, referentes a la Clasificación de Riesgo y la Administración de Cartera. En ese año, nuevos emisores y emisiones se inscribieron en la Bolsa. Se realizó una reunión con BOLCEN, los funcionarios de los Mercados del Área y los funcionarios del Consejo Monetario Centroamericano (CMCA), buscando la integración de los Mercados Bursátiles de la región.</w:t>
            </w:r>
          </w:p>
          <w:p w:rsidR="00F265F7" w:rsidRPr="00F265F7" w:rsidRDefault="00F265F7" w:rsidP="00F265F7">
            <w:pPr>
              <w:spacing w:after="0" w:line="240" w:lineRule="auto"/>
              <w:rPr>
                <w:rFonts w:ascii="Verdana" w:eastAsia="Times New Roman" w:hAnsi="Verdana" w:cs="Times New Roman"/>
                <w:sz w:val="17"/>
                <w:szCs w:val="17"/>
                <w:lang w:val="es-ES"/>
              </w:rPr>
            </w:pPr>
            <w:r w:rsidRPr="00F265F7">
              <w:rPr>
                <w:rFonts w:ascii="Verdana" w:eastAsia="Times New Roman" w:hAnsi="Verdana" w:cs="Times New Roman"/>
                <w:sz w:val="17"/>
                <w:szCs w:val="17"/>
                <w:lang w:val="es-ES"/>
              </w:rPr>
              <w:t>El</w:t>
            </w:r>
            <w:r w:rsidRPr="000A0EE7">
              <w:rPr>
                <w:rFonts w:ascii="Verdana" w:eastAsia="Times New Roman" w:hAnsi="Verdana" w:cs="Times New Roman"/>
                <w:sz w:val="17"/>
                <w:szCs w:val="17"/>
                <w:lang w:val="es-ES"/>
              </w:rPr>
              <w:t> 3 de Noviembre de 1998</w:t>
            </w:r>
            <w:r w:rsidRPr="00F265F7">
              <w:rPr>
                <w:rFonts w:ascii="Verdana" w:eastAsia="Times New Roman" w:hAnsi="Verdana" w:cs="Times New Roman"/>
                <w:sz w:val="17"/>
                <w:szCs w:val="17"/>
                <w:lang w:val="es-ES"/>
              </w:rPr>
              <w:t>, inicia sus operaciones la Central Depositaria de Valores (CEDEVAL), brindando una mayor seguridad en cuanto a la custodia y deposito de los valores transados en el mercado</w:t>
            </w:r>
          </w:p>
        </w:tc>
      </w:tr>
    </w:tbl>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Style w:val="Textoennegrita"/>
          <w:rFonts w:ascii="Verdana" w:hAnsi="Verdana"/>
          <w:color w:val="000000"/>
          <w:sz w:val="17"/>
          <w:szCs w:val="17"/>
          <w:lang w:val="es-ES"/>
        </w:rPr>
        <w:lastRenderedPageBreak/>
        <w:t>1999</w:t>
      </w:r>
      <w:r w:rsidRPr="000A0EE7">
        <w:rPr>
          <w:rFonts w:ascii="Verdana" w:hAnsi="Verdana"/>
          <w:color w:val="000000"/>
          <w:sz w:val="17"/>
          <w:szCs w:val="17"/>
          <w:lang w:val="es-ES"/>
        </w:rPr>
        <w:br/>
        <w:t>En la Junta General Ordinaria de Accionistas celebrada el jueves 25 de Febrero, se eligió la Junta Directiva 1999-2001, nombrando como nuevo Presidente al Lic. Rolando Arturo Duarte Schlageter, y reconociendo la labor del Presidente Saliente: Dr. Guillermo Hidalgo-Quehl, quien desempeñó en ese cargo por tres períodos, y a quién se le nombró por unanimidad Presidente Honorario.</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implementó la proyección electrónica de las operaciones bursátiles en la Sesión de Negociación, sustituyendo la tradicional pizarra en el corro e implementando el Sistema Electrónico de Liquidación Bursátil (SELIB).</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concretaron los estudios necesarios para investigar y evaluar la necesidad de implementar una Bolsa Electrónica, seleccionando a la Bolsa de Madrid como aliado estratégico en este proyecto y adquiriendo el sistema electrónico de negociación SIBE.</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crearon nuevos productos bursátiles tales como los Papeles Comerciales y Letras de Cambio Bursátiles.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el mes de Abril se implementó la Clasificación de Riesgo para todos los participantes en el Mercado Bursátil y sus emisiones.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El 31 de Diciembre entró en vigencia el Decreto Legislativo 780 que reforma la Ley del Impuesto sobre la Renta, eximiendo del pago de impuestos por la ganancia de capital, premios y utilidades generadas en operaciones de compra-venta de Títulosvalores en la Bolsa de Valores.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lastRenderedPageBreak/>
        <w:t>Ese mismo año, se negociaron las acciones de Telefónica El Salvador, entidad que hasta ese momento era propiedad del Estado.</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Por otra parte, se inscribe la emisión de Eurobonos 2006, a 6 años plazo, emitidos en mercados internacionales por parte del Gobierno de El Salvador para ser negociados en la Bolsa de Valores de El Salvador en mercado secundario.</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Style w:val="Textoennegrita"/>
          <w:rFonts w:ascii="Verdana" w:hAnsi="Verdana"/>
          <w:color w:val="000000"/>
          <w:sz w:val="17"/>
          <w:szCs w:val="17"/>
          <w:lang w:val="es-ES"/>
        </w:rPr>
        <w:t>2000</w:t>
      </w:r>
      <w:r w:rsidRPr="000A0EE7">
        <w:rPr>
          <w:rFonts w:ascii="Verdana" w:hAnsi="Verdana"/>
          <w:color w:val="000000"/>
          <w:sz w:val="17"/>
          <w:szCs w:val="17"/>
          <w:lang w:val="es-ES"/>
        </w:rPr>
        <w:br/>
        <w:t>Los principales proyectos que se ejecutaron en el año fueron los de fomento y cultura bursátil, desarrollándose en el año cuatro desayunos bursátiles y se publicando el libro denominado “Diez Razones para emitir en Bolsa”. Además, se lanza la nueva imagen de la compañía, con su nuevo logo y presentación del nuevo formato de boletines mensuales.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la parte operativa se implementa un nuevo Sistema de Liquidación y Compensación por neteo, el cual se acopla a los estándares internacionales, reduciendo en un 60% el flujo de efectivo.</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elaboró un nuevo “Reglamento General Interno” y el anteproyecto de Ley de Fondos de Inversión, y además proporcionó colaboración en los proyectos de las Leyes de Desmaterialización y Titularización. Se revisaron los instructivos y circulares vigentes, agrupándose por temas para mayor facilidad de uso de los interesados.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ese mismo año, la Junta Directiva de la Bolsa, autorizó el cambio de nombre de Mercado de Valores, S.A. de C.V. a su denominación actual de Bolsa de Valores de El Salvador, S.A. de C.V.</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Style w:val="Textoennegrita"/>
          <w:rFonts w:ascii="Verdana" w:hAnsi="Verdana"/>
          <w:color w:val="000000"/>
          <w:sz w:val="17"/>
          <w:szCs w:val="17"/>
          <w:lang w:val="es-ES"/>
        </w:rPr>
        <w:t>2001</w:t>
      </w:r>
      <w:r w:rsidRPr="000A0EE7">
        <w:rPr>
          <w:rFonts w:ascii="Verdana" w:hAnsi="Verdana"/>
          <w:color w:val="000000"/>
          <w:sz w:val="17"/>
          <w:szCs w:val="17"/>
          <w:lang w:val="es-ES"/>
        </w:rPr>
        <w:br/>
        <w:t>Entra en vigencia la Ley de Integración Monetaria el 1° de Enero, y a escasos 13 días de su vigencia, un desbastador terremoto asotó todo el territorio salvadoreño. En ese entorno, la Junta Directiva de la Bolsa se vio obligada a replantear el plan estratégico del año 2001.</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procede a la compra de un edificio propio, siendo financiado por la venta de los terrenos en Santa Elena pertenecientes a la Bolsa de Valores y con financiamiento otorgado por el Banco Salvadoreño bajo condiciones muy favorables.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La Asamblea Legislativa aprobó las reformas de algunos artículos de la Ley del Mercado de Valores, mediante el decreto No. 652 de fecha 6 de diciembre del 2001, el cual entró en vigencia el 29 de enero del 2002. Estas reformas, especialmente el artículo 10, vienen a insertar a nuestra Bolsa dentro de la globalización de los mercados internacionales mediante la facilitación de la incorporación y negociación de títulos extranjeros de una manera más expedita al ser registrada en Bolsa de Valores salvadoreña.</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colabora con la empresa filial CEDEVAL en la elaboración de la Ley de Desmaterialización de Títulos Valores, mediante Anotaciones Electrónicas en Cuenta, la cual se presentó a la Asamblea Legislativa para su respectiva autorización.</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Con el fin de poder inaugurar el Sistema de Negociación Electrónica en el 2002, se concluyó con la etapa de adaptación de la versión SIBE, estableciéndose los parámetros para adaptar los módulos de renta fija y variable, así como de reportos, y dedicándose esfuerzos en la reestructuración de los códigos de contratación y en la información a ingresar al nuevo sistema.</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realizó un curso de actualización de los Agentes Corredores, en el cual se estudió y analizó la normativa interna de la Bolsa, practicándose un examen final que garantizó la preparación y actualización de los Agentes Corredores.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La Gerencia de Negocios fue creada a mediados del mes de Agosto, teniendo ésta como principal función abrir nuevos mercados, con el apoyo de las Casas de Corredores de Bolsa.</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Dentro del mismo esfuerzo por ampliar las opciones de inversión, se inscriben y aprueban para su negociación, cinco clases Eurobonos, 2 de Guatemala, 2 de Costa Rica y 1 de El Salvador, emitidos por los respectivos gobiernos de esos países.</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lastRenderedPageBreak/>
        <w:t>En el mes de agosto, se participa por primera vez, en el Encuentro Nacional de la Empresa Privada ENADE 2001, evento en el que se presentó a los Tres Organos del Estado, los principales proyectos en los que el sector bursátil requería del apoyo gubernamental.</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Septiembre dentro de la XXVIII Asamblea Ordinaria de la FIABV, desarrollada en San José Costa Rica, se eligió su nueva Junta Directiva, nombrando al Dr. Augusto Acosta Torres (Presidente de la Bolsa de Bogotá) como Presidente y al Lic. Rolando Duarte Schlageter (Presidente de BVES) como vicepresidente.</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El 23 de Noviembre, se inauguró el edificio propio de la Bolsa, durante la celebración anual del día de los Corredores de Bolsa.</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Style w:val="Textoennegrita"/>
          <w:rFonts w:ascii="Verdana" w:hAnsi="Verdana"/>
          <w:color w:val="000000"/>
          <w:sz w:val="17"/>
          <w:szCs w:val="17"/>
          <w:lang w:val="es-ES"/>
        </w:rPr>
        <w:t>2002</w:t>
      </w:r>
      <w:r w:rsidRPr="000A0EE7">
        <w:rPr>
          <w:rFonts w:ascii="Verdana" w:hAnsi="Verdana"/>
          <w:color w:val="000000"/>
          <w:sz w:val="17"/>
          <w:szCs w:val="17"/>
          <w:lang w:val="es-ES"/>
        </w:rPr>
        <w:br/>
        <w:t>El 21 de Febrero fue aprobada la Ley de Anotaciones Electrónicas de Valores en Cuenta (Decreto Legislativo 742, publicado en el Diario Oficial del 22 de Marzo del 2002), la cual busca agilizar los diferentes mercados al efectuar los traslados electrónicos de los valores en el momento de realizar la negociación de títulos, permitiendo al mismo tiempo un mayor acceso de la población a participar dentro de la Bolsa en la adquisición de títulos, por los montos mínimos que el sistema permite invertir ($100 y múltiplos de $100). Esta ley entra en vigencia 180 días después de su publicación, es decir el 19 de Septiembre.</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Teniendo claro, que la misión está enmarcada dentro de la globalización, esta bolsa, adquirió en el mes de febrero el sistema de información bursátil Bloomberg, el cual permite estar al tanto de los movimientos y de los precios de los valores extranjeros de interés para el mercado salvadoreño.</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sesión de Junta General de Accionistas de la Bolsa desarrollada en el mes de Febrero, se reelige la Junta Directiva para el período 2002-2004, en la cual fue reelecto como presidente de la misma, el Lic. Rolando Arturo Duarte Schlageter.</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Se inscriben a lo largo del año los Eurobonos de El Salvador 2032, así como otros Eurobonos de los siguientes países: Chile, México, Costa Rica, Panamá, Guatemala.</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Para mayor efectividad y seguridad en el desempeño de sus actividades, CEDEVAL a celebrado convenios de custodia con instituciones similares de las Bolsas Centroamericanas y con instituciones internacionales como CEDEL y Deutsche Bank.</w:t>
      </w:r>
    </w:p>
    <w:p w:rsidR="00F265F7" w:rsidRPr="000A0EE7" w:rsidRDefault="00F265F7" w:rsidP="00F265F7">
      <w:pPr>
        <w:pStyle w:val="NormalWeb"/>
        <w:shd w:val="clear" w:color="auto" w:fill="FCE49D"/>
        <w:jc w:val="both"/>
        <w:rPr>
          <w:rFonts w:ascii="Verdana" w:hAnsi="Verdana"/>
          <w:color w:val="000000"/>
          <w:sz w:val="17"/>
          <w:szCs w:val="17"/>
          <w:lang w:val="es-ES"/>
        </w:rPr>
      </w:pPr>
      <w:r w:rsidRPr="000A0EE7">
        <w:rPr>
          <w:rFonts w:ascii="Verdana" w:hAnsi="Verdana"/>
          <w:color w:val="000000"/>
          <w:sz w:val="17"/>
          <w:szCs w:val="17"/>
          <w:lang w:val="es-ES"/>
        </w:rPr>
        <w:t>En fecha 14 de Junio, el Sr. Vicepresidente de la República, el Lic. Carlos Quintanilla Schmidt, inauguró el Sistema de Negociación Electrónica SIBE, en sesión especial que la Bolsa llevó a cabo con asistencia del Sr. Presidente de la Bolsa de Madrid, Dr. Antonio Zoido, y de Presidentes de la Asociación de Bolsas de Valores de Centroamérica, Panamá y República Dominicana (BOLCEN), y de otras Bolsas de Valores del Continente Americano. El Sistema SIBE funciona oficial y legalmente desde el día 17 de Junio del año 2002 y constituye una plataforma electrónica que permitirá la integración de los mercados bursátiles de Centroamérica y su interconexión con los mercados bursátiles internacionales.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2003 </w:t>
      </w:r>
      <w:r w:rsidRPr="00F265F7">
        <w:rPr>
          <w:rFonts w:ascii="Verdana" w:eastAsia="Times New Roman" w:hAnsi="Verdana" w:cs="Times New Roman"/>
          <w:color w:val="000000"/>
          <w:sz w:val="17"/>
          <w:szCs w:val="17"/>
          <w:lang w:val="es-ES"/>
        </w:rPr>
        <w:br/>
        <w:t>El</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19 de Septiembre</w:t>
      </w:r>
      <w:r w:rsidRPr="00F265F7">
        <w:rPr>
          <w:rFonts w:ascii="Verdana" w:eastAsia="Times New Roman" w:hAnsi="Verdana" w:cs="Times New Roman"/>
          <w:color w:val="000000"/>
          <w:sz w:val="17"/>
          <w:szCs w:val="17"/>
          <w:lang w:val="es-ES"/>
        </w:rPr>
        <w:t>, entró en vigencia la</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Ley de Anotaciones Electrónicas en Cuenta</w:t>
      </w:r>
      <w:r w:rsidRPr="00F265F7">
        <w:rPr>
          <w:rFonts w:ascii="Verdana" w:eastAsia="Times New Roman" w:hAnsi="Verdana" w:cs="Times New Roman"/>
          <w:color w:val="000000"/>
          <w:sz w:val="17"/>
          <w:szCs w:val="17"/>
          <w:lang w:val="es-ES"/>
        </w:rPr>
        <w:t>, y se dio inicio al proceso de desmaterialización de los valores.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desmaterialización de los valores, junto con todos los beneficios que brinda al mercado, trajo consigo mayores requerimientos de seguridad.</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Ante esta necesidad,  se aprovecharon las buenas relaciones desarrolladas con la Bolsa Mexicana de Valores y  se firmo una alianza, en la cual además de contar con apoyo técnico, se cuenta con  un sitio de respaldo en la ciudad de Pachuca (México). La experiencia y profesionalismo de BURSATEC (empresa de tecnología de la Bolsa Mexicana)  da la tranquilidad necesaria de que los valores de los inversionistas individuales e institucionales (como las Administradoras de Fondos de Pensión) están seguros, además de que nos posibilita operar de manera remota ante cualquier eventualidad.</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lastRenderedPageBreak/>
        <w:t>La credibilidad de la Bolsa en la región continúa creciendo, este reconocimiento se materializa al otorgar  la Presidencia de la Asociación de Bolsas de Centroamérica (BOLCEN), desde la cual la Bolsa puede trabajar más directa y eficientemente en el proyecto de integración de los mercados.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buena imagen de la Bolsa trasciende hacia Iberoamérica en donde ya La Bolsa de Valores de El Salvador, ha sido admitida dentro del Sub Comité Técnico de la Federación Iberoamericana de Bolsas (FIAB), organismo en el cual se trabajan las principales ideas de negocios bursátiles de Iberoamérica.</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2004</w:t>
      </w:r>
      <w:r w:rsidRPr="00F265F7">
        <w:rPr>
          <w:rFonts w:ascii="Verdana" w:eastAsia="Times New Roman" w:hAnsi="Verdana" w:cs="Times New Roman"/>
          <w:color w:val="000000"/>
          <w:sz w:val="17"/>
          <w:szCs w:val="17"/>
          <w:lang w:val="es-ES"/>
        </w:rPr>
        <w:br/>
        <w:t>Del</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3 al 5 de Septiembre</w:t>
      </w:r>
      <w:r w:rsidRPr="00F265F7">
        <w:rPr>
          <w:rFonts w:ascii="Verdana" w:eastAsia="Times New Roman" w:hAnsi="Verdana" w:cs="Times New Roman"/>
          <w:color w:val="000000"/>
          <w:sz w:val="17"/>
          <w:szCs w:val="17"/>
          <w:lang w:val="es-ES"/>
        </w:rPr>
        <w:t>, se desarrolla el</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XII Seminario Anual de la Asociación de Bolsas de Centroamérica y el Caribe (BOLCEN)</w:t>
      </w:r>
      <w:r w:rsidRPr="00F265F7">
        <w:rPr>
          <w:rFonts w:ascii="Verdana" w:eastAsia="Times New Roman" w:hAnsi="Verdana" w:cs="Times New Roman"/>
          <w:color w:val="000000"/>
          <w:sz w:val="17"/>
          <w:szCs w:val="17"/>
          <w:lang w:val="es-ES"/>
        </w:rPr>
        <w:t>,</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“Retos y Oportunidades en un Entorno Financiero Globalizado”</w:t>
      </w:r>
      <w:r w:rsidRPr="00F265F7">
        <w:rPr>
          <w:rFonts w:ascii="Verdana" w:eastAsia="Times New Roman" w:hAnsi="Verdana" w:cs="Times New Roman"/>
          <w:color w:val="000000"/>
          <w:sz w:val="17"/>
          <w:szCs w:val="17"/>
          <w:lang w:val="es-ES"/>
        </w:rPr>
        <w:t>, seminario en el que los asistentes fueron participes de diversas conferencias y actividades relacionadas al quehacer financiero–bursátil, con ponentes de alto renombre internacional, tales como representantes de las Bolsas de Valores de México, Colombia, Chile y Sao Pablo, y de importantes instituciones de Panamá, New York, Costa Rica, entre otros, así mismo se lleva a cabo una Rueda de Negocios. Adquiriéndose de esta manera, conocimientos de vanguardia que fomentaron las relaciones de negocio entre el sector financiero y bursátil de la región.</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2005</w:t>
      </w:r>
      <w:r w:rsidRPr="00F265F7">
        <w:rPr>
          <w:rFonts w:ascii="Verdana" w:eastAsia="Times New Roman" w:hAnsi="Verdana" w:cs="Times New Roman"/>
          <w:color w:val="000000"/>
          <w:sz w:val="17"/>
          <w:szCs w:val="17"/>
          <w:lang w:val="es-ES"/>
        </w:rPr>
        <w:br/>
        <w:t>Se desarrolló un trabajo intensivo en el ámbito legislativo, contando con la elaboración de una</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contra -propuesta</w:t>
      </w:r>
      <w:r w:rsidRPr="000A0EE7">
        <w:rPr>
          <w:rFonts w:ascii="Verdana" w:eastAsia="Times New Roman" w:hAnsi="Verdana" w:cs="Times New Roman"/>
          <w:color w:val="000000"/>
          <w:sz w:val="17"/>
          <w:lang w:val="es-ES"/>
        </w:rPr>
        <w:t> </w:t>
      </w:r>
      <w:r w:rsidRPr="00F265F7">
        <w:rPr>
          <w:rFonts w:ascii="Verdana" w:eastAsia="Times New Roman" w:hAnsi="Verdana" w:cs="Times New Roman"/>
          <w:color w:val="000000"/>
          <w:sz w:val="17"/>
          <w:szCs w:val="17"/>
          <w:lang w:val="es-ES"/>
        </w:rPr>
        <w:t>al anteproyecto de la</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Nueva Ley del Mercado de Valores</w:t>
      </w:r>
      <w:r w:rsidRPr="00F265F7">
        <w:rPr>
          <w:rFonts w:ascii="Verdana" w:eastAsia="Times New Roman" w:hAnsi="Verdana" w:cs="Times New Roman"/>
          <w:color w:val="000000"/>
          <w:sz w:val="17"/>
          <w:szCs w:val="17"/>
          <w:lang w:val="es-ES"/>
        </w:rPr>
        <w:t>,</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Ley de Titularización</w:t>
      </w:r>
      <w:r w:rsidRPr="00F265F7">
        <w:rPr>
          <w:rFonts w:ascii="Verdana" w:eastAsia="Times New Roman" w:hAnsi="Verdana" w:cs="Times New Roman"/>
          <w:color w:val="000000"/>
          <w:sz w:val="17"/>
          <w:szCs w:val="17"/>
          <w:lang w:val="es-ES"/>
        </w:rPr>
        <w:t>, y la</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Ley de Fondos de Inversión</w:t>
      </w:r>
      <w:r w:rsidRPr="00F265F7">
        <w:rPr>
          <w:rFonts w:ascii="Verdana" w:eastAsia="Times New Roman" w:hAnsi="Verdana" w:cs="Times New Roman"/>
          <w:color w:val="000000"/>
          <w:sz w:val="17"/>
          <w:szCs w:val="17"/>
          <w:lang w:val="es-ES"/>
        </w:rPr>
        <w:t>.</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Se implementó la metodología de</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Valoración</w:t>
      </w:r>
      <w:r w:rsidRPr="000A0EE7">
        <w:rPr>
          <w:rFonts w:ascii="Verdana" w:eastAsia="Times New Roman" w:hAnsi="Verdana" w:cs="Times New Roman"/>
          <w:color w:val="000000"/>
          <w:sz w:val="17"/>
          <w:lang w:val="es-ES"/>
        </w:rPr>
        <w:t> </w:t>
      </w:r>
      <w:r w:rsidRPr="00F265F7">
        <w:rPr>
          <w:rFonts w:ascii="Verdana" w:eastAsia="Times New Roman" w:hAnsi="Verdana" w:cs="Times New Roman"/>
          <w:color w:val="000000"/>
          <w:sz w:val="17"/>
          <w:szCs w:val="17"/>
          <w:lang w:val="es-ES"/>
        </w:rPr>
        <w:t>de sus portafolios de inversión con asesoría de la Bolsa de Valores de Colombia.</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Se estableció en conjunto con el Ministerio de Hacienda,  un programa interno de emisión de Deuda Pública Homogénea Ministerio de Hacienda con el Ministerio de Hacienda.  Programa que consiste en subastas periódicas de LETES y Bonos emitidos por esta entidad. Con esta iniciativa se impulsó el desarrollo del mercado, así como también se mejoró el manejo de la deuda pública.</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Central de Depósitos de Valores (CEDEVAL) se acreditó ante la</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ANNA</w:t>
      </w:r>
      <w:r w:rsidRPr="000A0EE7">
        <w:rPr>
          <w:rFonts w:ascii="Verdana" w:eastAsia="Times New Roman" w:hAnsi="Verdana" w:cs="Times New Roman"/>
          <w:color w:val="000000"/>
          <w:sz w:val="17"/>
          <w:lang w:val="es-ES"/>
        </w:rPr>
        <w:t> </w:t>
      </w:r>
      <w:r w:rsidRPr="00F265F7">
        <w:rPr>
          <w:rFonts w:ascii="Verdana" w:eastAsia="Times New Roman" w:hAnsi="Verdana" w:cs="Times New Roman"/>
          <w:color w:val="000000"/>
          <w:sz w:val="17"/>
          <w:szCs w:val="17"/>
          <w:lang w:val="es-ES"/>
        </w:rPr>
        <w:t>para ser el numerador oficial para El Salvador, con lo que el mercado de valores de El Salvador ya cuenta con la codificación</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ISIN</w:t>
      </w:r>
      <w:r w:rsidRPr="000A0EE7">
        <w:rPr>
          <w:rFonts w:ascii="Verdana" w:eastAsia="Times New Roman" w:hAnsi="Verdana" w:cs="Times New Roman"/>
          <w:color w:val="000000"/>
          <w:sz w:val="17"/>
          <w:lang w:val="es-ES"/>
        </w:rPr>
        <w:t> </w:t>
      </w:r>
      <w:r w:rsidRPr="00F265F7">
        <w:rPr>
          <w:rFonts w:ascii="Verdana" w:eastAsia="Times New Roman" w:hAnsi="Verdana" w:cs="Times New Roman"/>
          <w:color w:val="000000"/>
          <w:sz w:val="17"/>
          <w:szCs w:val="17"/>
          <w:lang w:val="es-ES"/>
        </w:rPr>
        <w:t>para los diferentes instrumentos emitidos localmente, adoptando así estándares internacionales.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 xml:space="preserve">La Bolsa de Valores junto con participantes del mercado </w:t>
      </w:r>
      <w:proofErr w:type="gramStart"/>
      <w:r w:rsidRPr="00F265F7">
        <w:rPr>
          <w:rFonts w:ascii="Verdana" w:eastAsia="Times New Roman" w:hAnsi="Verdana" w:cs="Times New Roman"/>
          <w:color w:val="000000"/>
          <w:sz w:val="17"/>
          <w:szCs w:val="17"/>
          <w:lang w:val="es-ES"/>
        </w:rPr>
        <w:t>crearon</w:t>
      </w:r>
      <w:proofErr w:type="gramEnd"/>
      <w:r w:rsidRPr="00F265F7">
        <w:rPr>
          <w:rFonts w:ascii="Verdana" w:eastAsia="Times New Roman" w:hAnsi="Verdana" w:cs="Times New Roman"/>
          <w:color w:val="000000"/>
          <w:sz w:val="17"/>
          <w:szCs w:val="17"/>
          <w:lang w:val="es-ES"/>
        </w:rPr>
        <w:t xml:space="preserve"> la Fundación Bursátil, cuyo objetivo es realizar investigaciones, foros y ponencias sobre el tema de mercados de capitales y  la divulgación de la cultura bursátil en el país.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2006</w:t>
      </w:r>
      <w:r w:rsidRPr="00F265F7">
        <w:rPr>
          <w:rFonts w:ascii="Verdana" w:eastAsia="Times New Roman" w:hAnsi="Verdana" w:cs="Times New Roman"/>
          <w:color w:val="000000"/>
          <w:sz w:val="17"/>
          <w:szCs w:val="17"/>
          <w:lang w:val="es-ES"/>
        </w:rPr>
        <w:br/>
        <w:t>En el año 2006, se desarrollo el Sistema de Negociación electrónico de valores para el Banco Central de Reserva,  lo cual demuestra el nivel de confianza que existe hacia la seguridad de los sistemas de negociación de la Bolsa de Valores.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Septiembre 2006. La Bolsa de Valores trabajo en equipo con el Ministerio de Hacienda para lograr que las Notas de Crédito del Tesoro Público, pudiesen ser negociadas en la Bolsa de Valores. Desde su lanzamiento en  Septiembre de 2006 a la fecha se han convertido en el 3er instrumento de mayor negociación, siendo así una excelente alternativa de inversión y generando amplios beneficios para el sector exportador al ofrecer liquidez inmediata con bajos costos financieros, representando así una contribución para la economía del país.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Una de las estrategias de la  Bolsa de Valores es continuar innovando y dinamizando el mercado buscando siempre ofrecer nuevas y atractivas opciones de inversión.</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Con el propósito de complementar el actual Mercado Global de Renta Fija y hacer accesible un abanico de productos internacionales que permitan diversificar las inversiones,  la Bolsa de Valores de El Salvador creó en el 2006 el  Mercado Global Accionario de El Salvador.</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lastRenderedPageBreak/>
        <w:t>Para mayor efectividad y seguridad en el desempeño de sus actividades, CEDEVAL a celebrado convenios de custodia con instituciones similares de las Bolsas Centroamericanas y con instituciones internacionales como CEDEL y Deutsche Bank.</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El 2006 podría tipificarse como el Año del Marketing Bursátil, ya que a través de diversas estrategias y actividades se ha logrado un mayor posicionamiento de la Bolsa de Valores.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Entre los más importantes se pueden destacar el segmento Economía en el Noticiero Hechos del Canal 12, y el programa “Hablemos de la Bolsa de Valores “en la Radio 102.9. A través de lo cual se ha logrado una mayor difusión de la cultura bursátil</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2007 </w:t>
      </w:r>
      <w:r w:rsidRPr="00F265F7">
        <w:rPr>
          <w:rFonts w:ascii="Verdana" w:eastAsia="Times New Roman" w:hAnsi="Verdana" w:cs="Times New Roman"/>
          <w:color w:val="000000"/>
          <w:sz w:val="17"/>
          <w:szCs w:val="17"/>
          <w:lang w:val="es-ES"/>
        </w:rPr>
        <w:br/>
        <w:t>Se inaugura en Marzo del 2007  el</w:t>
      </w:r>
      <w:r w:rsidRPr="000A0EE7">
        <w:rPr>
          <w:rFonts w:ascii="Verdana" w:eastAsia="Times New Roman" w:hAnsi="Verdana" w:cs="Times New Roman"/>
          <w:color w:val="000000"/>
          <w:sz w:val="17"/>
          <w:lang w:val="es-ES"/>
        </w:rPr>
        <w:t> </w:t>
      </w:r>
      <w:r w:rsidRPr="000A0EE7">
        <w:rPr>
          <w:rFonts w:ascii="Verdana" w:eastAsia="Times New Roman" w:hAnsi="Verdana" w:cs="Times New Roman"/>
          <w:b/>
          <w:bCs/>
          <w:color w:val="000000"/>
          <w:sz w:val="17"/>
          <w:lang w:val="es-ES"/>
        </w:rPr>
        <w:t>Sistema Electrónico de Negociación de Reportos. </w:t>
      </w:r>
      <w:r w:rsidRPr="00F265F7">
        <w:rPr>
          <w:rFonts w:ascii="Verdana" w:eastAsia="Times New Roman" w:hAnsi="Verdana" w:cs="Times New Roman"/>
          <w:color w:val="000000"/>
          <w:sz w:val="17"/>
          <w:szCs w:val="17"/>
          <w:lang w:val="es-ES"/>
        </w:rPr>
        <w:t>La Bolsa de Valores de El Salvador da un paso más en firme hacia la evolución e innovación de sus procesos, al volver electrónica la sesión de negociación de las operaciones de reporto. Con este paso al 100%  las operaciones en bolsa  se realizarán a través de medios electrónicos. El Sistema Electrónico de Negociación (SEN) ha sido diseñado y desarrollado con altos estándares de calidad y seguridad.</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Con lo anterior la Bolsa de Valores busca facilitar y volver más eficiente la operatividad de las Casas de Corredores, quienes ya no tendrán que desplazarse para concretar negocios.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El Sistema Electrónico de Negociación de Reportos pone a la Bolsa de Valores de El Salvador en la moderna  vía de la tecnológica que es la vía por la que transitan los mercados de valores eficientes logrando con ello un desarrollo eficaz al servicio electrónico</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Como parte de la Difusión de la cultura bursátil, enfocada en el desarrollo del mercado de valores de El Salvador, la Bolsa de Valores ha realizado importantes</w:t>
      </w:r>
      <w:r w:rsidRPr="000A0EE7">
        <w:rPr>
          <w:rFonts w:ascii="Verdana" w:eastAsia="Times New Roman" w:hAnsi="Verdana" w:cs="Times New Roman"/>
          <w:b/>
          <w:bCs/>
          <w:color w:val="000000"/>
          <w:sz w:val="17"/>
          <w:lang w:val="es-ES"/>
        </w:rPr>
        <w:t>alianzas con la Universidad Centroamericana José Simeón Cañas (</w:t>
      </w:r>
      <w:r w:rsidRPr="00F265F7">
        <w:rPr>
          <w:rFonts w:ascii="Verdana" w:eastAsia="Times New Roman" w:hAnsi="Verdana" w:cs="Times New Roman"/>
          <w:color w:val="000000"/>
          <w:sz w:val="17"/>
          <w:szCs w:val="17"/>
          <w:lang w:val="es-ES"/>
        </w:rPr>
        <w:t>UCA), para impartir dos materias en la carrera de Licenciatura en Administración de Empresas. Así como el Instituto Superior de Economía y Administración de Empresas (ISEADE), para impartir dos Postgrados.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Una de las estrategias de la  Bolsa de Valores es continuar innovando y dinamizando el mercado buscando siempre ofrecer nuevas y atractivas opciones de inversión.  Con el propósito de complementar el actual Mercado Global de Renta Fija y hacer accesible un abanico de productos internacionales que permitan diversificar las inversiones,  la Bolsa de Valores de El Salvador creó en el   Mercado Global Accionario de El Salvador,  en el cual ya se encuentran inscritas en la Bolsa de Valores,  30 acciones de las importantes empresas estadounidenses, así como los ETF’s que replican los índices más importantes de Estados Unidos.  Adicionalmente se continúo ampliando la oferta,  inscribiendo las acciones de 8 importantes empresas latinoamericanas.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2008 </w:t>
      </w:r>
      <w:r w:rsidRPr="00F265F7">
        <w:rPr>
          <w:rFonts w:ascii="Verdana" w:eastAsia="Times New Roman" w:hAnsi="Verdana" w:cs="Times New Roman"/>
          <w:color w:val="000000"/>
          <w:sz w:val="17"/>
          <w:szCs w:val="17"/>
          <w:lang w:val="es-ES"/>
        </w:rPr>
        <w:br/>
      </w:r>
      <w:r w:rsidRPr="000A0EE7">
        <w:rPr>
          <w:rFonts w:ascii="Verdana" w:eastAsia="Times New Roman" w:hAnsi="Verdana" w:cs="Times New Roman"/>
          <w:b/>
          <w:bCs/>
          <w:color w:val="000000"/>
          <w:sz w:val="17"/>
          <w:lang w:val="es-ES"/>
        </w:rPr>
        <w:t>Titularización    </w:t>
      </w:r>
      <w:r w:rsidRPr="00F265F7">
        <w:rPr>
          <w:rFonts w:ascii="Verdana" w:eastAsia="Times New Roman" w:hAnsi="Verdana" w:cs="Times New Roman"/>
          <w:color w:val="000000"/>
          <w:sz w:val="17"/>
          <w:szCs w:val="17"/>
          <w:lang w:val="es-ES"/>
        </w:rPr>
        <w:br/>
        <w:t>Focalizando esfuerzos para desarrollar la titularización y convencidos de que ésta es una eficiente herramienta de financiamiento y un atractivo producto de inversión, en coordinación con ACABOLSA y ABANSA, se dio exhaustivo seguimiento y apoyo al proceso de elaboración, por parte de la Superintendencia de Valores, de la normativa que desarrolla la Ley de Titularización de Activos,  y se realizaron en forma oportuna las observaciones pertinentes,  las cuales fueron retomadas e incorporadas al texto de las normas finalmente aprobadas; así, nos enorgullece afirmar que ya se cuenta con el ordenamiento jurídico necesario (Ley y normativa de desarrollo) para llevar a cabo la primera titularización en el país. Durante el 2009 se continuará promoviendo la figura y realizando la labor necesaria, para que la primera titularización sea una realidad.</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Inscripción de Nuevos Instrumentos Bursátiles.</w:t>
      </w:r>
      <w:r w:rsidRPr="00F265F7">
        <w:rPr>
          <w:rFonts w:ascii="Verdana" w:eastAsia="Times New Roman" w:hAnsi="Verdana" w:cs="Times New Roman"/>
          <w:color w:val="000000"/>
          <w:sz w:val="17"/>
          <w:szCs w:val="17"/>
          <w:lang w:val="es-ES"/>
        </w:rPr>
        <w:br/>
        <w:t>Es satisfactorio mencionar que durante el 2008 se listaron varios nuevos instrumentos financieros, tales como: las acciones de Copa Holdings, S.A.; los ADR’s (American Depositary Receipts) de Bancolombia, S.A. y los ADRs de Petróleo Brasileiro, S.A.; asimismo, se listaron los siguientes ETFs (Exchange Traded Funds): IShare  Silver Trust y  IShare Comex Gold Trust.</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lastRenderedPageBreak/>
        <w:t>Plan de Atracción de Emisores </w:t>
      </w:r>
      <w:r w:rsidRPr="00F265F7">
        <w:rPr>
          <w:rFonts w:ascii="Verdana" w:eastAsia="Times New Roman" w:hAnsi="Verdana" w:cs="Times New Roman"/>
          <w:color w:val="000000"/>
          <w:sz w:val="17"/>
          <w:szCs w:val="17"/>
          <w:lang w:val="es-ES"/>
        </w:rPr>
        <w:br/>
        <w:t>Se realizaron 3 desayunos bursátiles-corporativos con la participación de más de 15 empresas, con el fin de presentarles las ventajas de volverse emisores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Marketing Bursátil</w:t>
      </w:r>
      <w:r w:rsidRPr="00F265F7">
        <w:rPr>
          <w:rFonts w:ascii="Verdana" w:eastAsia="Times New Roman" w:hAnsi="Verdana" w:cs="Times New Roman"/>
          <w:color w:val="000000"/>
          <w:sz w:val="17"/>
          <w:szCs w:val="17"/>
          <w:lang w:val="es-ES"/>
        </w:rPr>
        <w:br/>
        <w:t>Como un valor agregado a los emisores buscando incrementar la bursátilidad de los valores, construyendo sobre sus beneficios, se implementó un Plan de Marketing Bursátil para Banco Hipotecario y para La Hipotecaria.</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Difusión de la Cultura Bursátil</w:t>
      </w:r>
      <w:r w:rsidRPr="00F265F7">
        <w:rPr>
          <w:rFonts w:ascii="Verdana" w:eastAsia="Times New Roman" w:hAnsi="Verdana" w:cs="Times New Roman"/>
          <w:color w:val="000000"/>
          <w:sz w:val="17"/>
          <w:szCs w:val="17"/>
          <w:lang w:val="es-ES"/>
        </w:rPr>
        <w:br/>
        <w:t>La educación bursátil es una tarea permanente para la Bolsa de Valores, si bien sus resultados no son visibles de forma inmediata, se trata de una estrategia continua que busca difundir la cultura bursátil en un amplio grupo objetivo a través de una diversidad de herramientas.</w:t>
      </w:r>
    </w:p>
    <w:p w:rsidR="00F265F7" w:rsidRPr="00F265F7" w:rsidRDefault="00F265F7" w:rsidP="00F265F7">
      <w:pPr>
        <w:numPr>
          <w:ilvl w:val="0"/>
          <w:numId w:val="1"/>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u w:val="single"/>
          <w:lang w:val="es-ES"/>
        </w:rPr>
        <w:t>El Plan de Comunicación</w:t>
      </w:r>
      <w:r w:rsidRPr="000A0EE7">
        <w:rPr>
          <w:rFonts w:ascii="Verdana" w:eastAsia="Times New Roman" w:hAnsi="Verdana" w:cs="Times New Roman"/>
          <w:b/>
          <w:bCs/>
          <w:color w:val="000000"/>
          <w:sz w:val="17"/>
          <w:lang w:val="es-ES"/>
        </w:rPr>
        <w:t> </w:t>
      </w:r>
      <w:r w:rsidRPr="00F265F7">
        <w:rPr>
          <w:rFonts w:ascii="Verdana" w:eastAsia="Times New Roman" w:hAnsi="Verdana" w:cs="Times New Roman"/>
          <w:color w:val="000000"/>
          <w:sz w:val="17"/>
          <w:szCs w:val="17"/>
          <w:lang w:val="es-ES"/>
        </w:rPr>
        <w:t> comprendió  relaciones públicas y publicidad, a través de los cuales se ha logrado difundir noticias importantes sobre el mercado como  la inscripción de nuevos ADR’s y acciones latinoamericanas, avances del proyecto de integración, la titularización como herramienta de financiamiento e inversión, entre otros.</w:t>
      </w:r>
    </w:p>
    <w:p w:rsidR="00F265F7" w:rsidRPr="00F265F7" w:rsidRDefault="00F265F7" w:rsidP="00F265F7">
      <w:pPr>
        <w:shd w:val="clear" w:color="auto" w:fill="FCE49D"/>
        <w:spacing w:after="240" w:line="240" w:lineRule="auto"/>
        <w:ind w:left="720"/>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br/>
        <w:t>Los espacios bursátiles en Canal 12 y Diario El Mundo, así como entrevistas puntuales han  permitido profundizar sobre el mercado de valores posicionándolo como una atractiva fuente de financiamiento e inversión.</w:t>
      </w:r>
    </w:p>
    <w:p w:rsidR="00F265F7" w:rsidRPr="00F265F7" w:rsidRDefault="00F265F7" w:rsidP="00F265F7">
      <w:pPr>
        <w:numPr>
          <w:ilvl w:val="0"/>
          <w:numId w:val="1"/>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u w:val="single"/>
          <w:lang w:val="es-ES"/>
        </w:rPr>
        <w:t>Plan de Educación Bursátil</w:t>
      </w:r>
      <w:r w:rsidRPr="00F265F7">
        <w:rPr>
          <w:rFonts w:ascii="Verdana" w:eastAsia="Times New Roman" w:hAnsi="Verdana" w:cs="Times New Roman"/>
          <w:color w:val="000000"/>
          <w:sz w:val="17"/>
          <w:szCs w:val="17"/>
          <w:u w:val="single"/>
          <w:lang w:val="es-ES"/>
        </w:rPr>
        <w:t>:</w:t>
      </w:r>
      <w:r w:rsidRPr="000A0EE7">
        <w:rPr>
          <w:rFonts w:ascii="Verdana" w:eastAsia="Times New Roman" w:hAnsi="Verdana" w:cs="Times New Roman"/>
          <w:color w:val="000000"/>
          <w:sz w:val="17"/>
          <w:lang w:val="es-ES"/>
        </w:rPr>
        <w:t> </w:t>
      </w:r>
      <w:r w:rsidRPr="00F265F7">
        <w:rPr>
          <w:rFonts w:ascii="Verdana" w:eastAsia="Times New Roman" w:hAnsi="Verdana" w:cs="Times New Roman"/>
          <w:color w:val="000000"/>
          <w:sz w:val="17"/>
          <w:szCs w:val="17"/>
          <w:lang w:val="es-ES"/>
        </w:rPr>
        <w:t>conscientes de la importancia de impartir conocimientos sobre el mercado de valores, en la gente que dentro de unos años terminará sus estudios, durante la gestión 2008, se continuó con la Alianza con la Universidad Dr. José Simeón Canas ( UCA) y se apoyo a varias universidades dictando charlas con especial énfasis en titularización. </w:t>
      </w:r>
    </w:p>
    <w:p w:rsidR="00F265F7" w:rsidRPr="00F265F7" w:rsidRDefault="00F265F7" w:rsidP="00F265F7">
      <w:pPr>
        <w:shd w:val="clear" w:color="auto" w:fill="FCE49D"/>
        <w:spacing w:after="0" w:line="240" w:lineRule="auto"/>
        <w:ind w:left="720"/>
        <w:jc w:val="both"/>
        <w:rPr>
          <w:rFonts w:ascii="Verdana" w:eastAsia="Times New Roman" w:hAnsi="Verdana" w:cs="Times New Roman"/>
          <w:color w:val="000000"/>
          <w:sz w:val="17"/>
          <w:szCs w:val="17"/>
          <w:lang w:val="es-ES"/>
        </w:rPr>
      </w:pPr>
    </w:p>
    <w:p w:rsidR="00F265F7" w:rsidRPr="00F265F7" w:rsidRDefault="00F265F7" w:rsidP="00F265F7">
      <w:pPr>
        <w:numPr>
          <w:ilvl w:val="0"/>
          <w:numId w:val="1"/>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u w:val="single"/>
          <w:lang w:val="es-ES"/>
        </w:rPr>
        <w:t>Actividades que construyen sobre la imagen y experiencia de la Bolsa</w:t>
      </w:r>
      <w:r w:rsidRPr="000A0EE7">
        <w:rPr>
          <w:rFonts w:ascii="Verdana" w:eastAsia="Times New Roman" w:hAnsi="Verdana" w:cs="Times New Roman"/>
          <w:b/>
          <w:bCs/>
          <w:color w:val="000000"/>
          <w:sz w:val="17"/>
          <w:lang w:val="es-ES"/>
        </w:rPr>
        <w:t>: </w:t>
      </w:r>
      <w:r w:rsidRPr="00F265F7">
        <w:rPr>
          <w:rFonts w:ascii="Verdana" w:eastAsia="Times New Roman" w:hAnsi="Verdana" w:cs="Times New Roman"/>
          <w:color w:val="000000"/>
          <w:sz w:val="17"/>
          <w:szCs w:val="17"/>
          <w:lang w:val="es-ES"/>
        </w:rPr>
        <w:t>La Bolsa de Valores, participó como ponente en importantes foros, como Financiamiento de Vivienda de Interés Social. Adicionalmente se dictaron   charlas sobre “La Crisis Financiera en Estados Unidos  y su efecto en la Bolsa de Valores de El Salvador”,  dirigidas a una diversidad de grupos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Mejoras continuas en la Operatividad Bursátil</w:t>
      </w:r>
      <w:r w:rsidRPr="00F265F7">
        <w:rPr>
          <w:rFonts w:ascii="Verdana" w:eastAsia="Times New Roman" w:hAnsi="Verdana" w:cs="Times New Roman"/>
          <w:color w:val="000000"/>
          <w:sz w:val="17"/>
          <w:szCs w:val="17"/>
          <w:lang w:val="es-ES"/>
        </w:rPr>
        <w:br/>
        <w:t>En la constante búsqueda de facilitar los procesos operativos,  en pro del fortalecimiento del servicio al cliente, en el mes de marzo se delegó en CEDEVAL la función de administrar los valores que garantizan las operaciones de reportos. Así como controlar dichas garantías, de tal manera que las casas de corredores de bolsa tengan una sola fuente de información en cuanto a la situación de sus valores.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0A0EE7">
        <w:rPr>
          <w:rFonts w:ascii="Verdana" w:eastAsia="Times New Roman" w:hAnsi="Verdana" w:cs="Times New Roman"/>
          <w:b/>
          <w:bCs/>
          <w:color w:val="000000"/>
          <w:sz w:val="17"/>
          <w:lang w:val="es-ES"/>
        </w:rPr>
        <w:t>Capacitaciones</w:t>
      </w:r>
      <w:r w:rsidRPr="00F265F7">
        <w:rPr>
          <w:rFonts w:ascii="Verdana" w:eastAsia="Times New Roman" w:hAnsi="Verdana" w:cs="Times New Roman"/>
          <w:color w:val="000000"/>
          <w:sz w:val="17"/>
          <w:szCs w:val="17"/>
          <w:lang w:val="es-ES"/>
        </w:rPr>
        <w:br/>
        <w:t>En asociación con ACABOLSA y la Fundación Bursátil, la Bolsa de Valores designó a empleados de la plana gerencial para diseñar e impartir el contenido del nuevo curso para corredores de bolsa. La primera edición se realizó en el 2008 y fue todo un éxito, contando con más de 40 participantes.</w:t>
      </w:r>
      <w:r w:rsidRPr="00F265F7">
        <w:rPr>
          <w:rFonts w:ascii="Verdana" w:eastAsia="Times New Roman" w:hAnsi="Verdana" w:cs="Times New Roman"/>
          <w:color w:val="000000"/>
          <w:sz w:val="17"/>
          <w:szCs w:val="17"/>
          <w:lang w:val="es-ES"/>
        </w:rPr>
        <w:br/>
      </w:r>
      <w:r w:rsidRPr="00F265F7">
        <w:rPr>
          <w:rFonts w:ascii="Verdana" w:eastAsia="Times New Roman" w:hAnsi="Verdana" w:cs="Times New Roman"/>
          <w:color w:val="000000"/>
          <w:sz w:val="17"/>
          <w:szCs w:val="17"/>
          <w:lang w:val="es-ES"/>
        </w:rPr>
        <w:br/>
        <w:t>Adicionalmente durante este año, se realizaron diferentes eventos para capacitar al mercado, dentro de los que cabe destacar:</w:t>
      </w:r>
    </w:p>
    <w:p w:rsidR="00F265F7" w:rsidRPr="00F265F7" w:rsidRDefault="00F265F7" w:rsidP="00F265F7">
      <w:pPr>
        <w:numPr>
          <w:ilvl w:val="0"/>
          <w:numId w:val="2"/>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Bolsa de Valores como opción de Financiamiento, realizado en la Cámara de Comercio de San Miguel.</w:t>
      </w:r>
    </w:p>
    <w:p w:rsidR="00F265F7" w:rsidRPr="00F265F7" w:rsidRDefault="00F265F7" w:rsidP="00F265F7">
      <w:pPr>
        <w:numPr>
          <w:ilvl w:val="0"/>
          <w:numId w:val="2"/>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En conjunto con la Fundación Bursátil se realizó el Seminario  “Titularización como Mecanismo de Financiamiento”, con la participación del expositor internacional  Lic. Jaime Dunn De Ávila quien cuenta con una amplia experiencia en dicho tema.</w:t>
      </w:r>
    </w:p>
    <w:p w:rsidR="00F265F7" w:rsidRPr="00F265F7" w:rsidRDefault="00F265F7" w:rsidP="00F265F7">
      <w:pPr>
        <w:numPr>
          <w:ilvl w:val="0"/>
          <w:numId w:val="2"/>
        </w:num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Bolsa de Valores como opción de financiamiento al sector construcción, realizado en evento organizado por el Fondo Social Para la Vivienda</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lastRenderedPageBreak/>
        <w:t>Primario: Es importante destacar la incursión al mercado de dos emisores, Banco Hipotecario y La Hipotecaria. Sin embargo durante el segundo semestre del año, el nivel de colocación de nuevas emisiones se vio reducido, tanto por las políticas crediticias de los bancos, como por la reducción de la liquidez, lo cual junto con la percepción de riesgo político y económico hicieron que los inversionistas incrementaran significativamente sus demandas de altas tasas de interés para nuevas emisiones.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La finalización del sistema E pagos, un sistema diseñado para el BMI, con el cual los ingresos de la Bolsa se diversificarán, al obtener un ingreso por el arrendamiento de este sistema que facilitará el descuento electrónico de facturas para pequeñas y medianas empresas.</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El apoyo a la creación de Regional Investment Corporation (RICORP), empresa gestada mediante el trabajo conjunto entre la Bolsa de Valores y la Fundación Bursátil. Con dicha empresa dedicada a las Finanzas Corporativas y promoción de negocios bursátiles, se espera tener un nuevo actor importante para el desarrollo del mercado.</w:t>
      </w:r>
    </w:p>
    <w:p w:rsidR="00F265F7" w:rsidRPr="00F265F7" w:rsidRDefault="00F265F7" w:rsidP="00F265F7">
      <w:pPr>
        <w:shd w:val="clear" w:color="auto" w:fill="FCE49D"/>
        <w:spacing w:before="100" w:beforeAutospacing="1" w:after="100" w:afterAutospacing="1" w:line="240" w:lineRule="auto"/>
        <w:jc w:val="both"/>
        <w:rPr>
          <w:rFonts w:ascii="Verdana" w:eastAsia="Times New Roman" w:hAnsi="Verdana" w:cs="Times New Roman"/>
          <w:color w:val="000000"/>
          <w:sz w:val="17"/>
          <w:szCs w:val="17"/>
          <w:lang w:val="es-ES"/>
        </w:rPr>
      </w:pPr>
      <w:r w:rsidRPr="00F265F7">
        <w:rPr>
          <w:rFonts w:ascii="Verdana" w:eastAsia="Times New Roman" w:hAnsi="Verdana" w:cs="Times New Roman"/>
          <w:color w:val="000000"/>
          <w:sz w:val="17"/>
          <w:szCs w:val="17"/>
          <w:lang w:val="es-ES"/>
        </w:rPr>
        <w:t>Amerca, la Alianza de los Mercados de Centro América, un  esfuerzo que busca concretar la integración de los mercados de la región, reflejó grandes avances. Durante este año, nuestra Bolsa de Valores tuvo a su cargo la coordinación de este proyecto que busca inicialmente integrar los tres principales mercados de la región (Panamá, Costa Rica y El Salvador). Amerca, permitirá que las bolsas cuenten con más emisiones e inversores, además de volverlas más eficientes al permitirles incrementar su escala de operación y reducir sus costos operativos, principalmente mediante la unificación de plataformas de negociación.</w:t>
      </w:r>
    </w:p>
    <w:tbl>
      <w:tblPr>
        <w:tblW w:w="4776" w:type="pct"/>
        <w:jc w:val="center"/>
        <w:tblCellSpacing w:w="0" w:type="dxa"/>
        <w:shd w:val="clear" w:color="auto" w:fill="EAC450"/>
        <w:tblCellMar>
          <w:left w:w="0" w:type="dxa"/>
          <w:right w:w="0" w:type="dxa"/>
        </w:tblCellMar>
        <w:tblLook w:val="04A0"/>
      </w:tblPr>
      <w:tblGrid>
        <w:gridCol w:w="8670"/>
        <w:gridCol w:w="271"/>
      </w:tblGrid>
      <w:tr w:rsidR="000A0EE7" w:rsidRPr="000A0EE7" w:rsidTr="000A0EE7">
        <w:trPr>
          <w:gridAfter w:val="1"/>
          <w:tblCellSpacing w:w="0" w:type="dxa"/>
          <w:jc w:val="center"/>
        </w:trPr>
        <w:tc>
          <w:tcPr>
            <w:tcW w:w="0" w:type="auto"/>
            <w:shd w:val="clear" w:color="auto" w:fill="EAC450"/>
            <w:vAlign w:val="center"/>
            <w:hideMark/>
          </w:tcPr>
          <w:tbl>
            <w:tblPr>
              <w:tblW w:w="4300" w:type="pct"/>
              <w:tblCellSpacing w:w="15" w:type="dxa"/>
              <w:tblCellMar>
                <w:top w:w="15" w:type="dxa"/>
                <w:left w:w="15" w:type="dxa"/>
                <w:bottom w:w="15" w:type="dxa"/>
                <w:right w:w="15" w:type="dxa"/>
              </w:tblCellMar>
              <w:tblLook w:val="04A0"/>
            </w:tblPr>
            <w:tblGrid>
              <w:gridCol w:w="6790"/>
              <w:gridCol w:w="666"/>
            </w:tblGrid>
            <w:tr w:rsidR="000A0EE7" w:rsidRPr="000A0EE7">
              <w:trPr>
                <w:tblCellSpacing w:w="15" w:type="dxa"/>
              </w:trPr>
              <w:tc>
                <w:tcPr>
                  <w:tcW w:w="0" w:type="auto"/>
                  <w:vAlign w:val="center"/>
                  <w:hideMark/>
                </w:tcPr>
                <w:p w:rsidR="000A0EE7" w:rsidRPr="000A0EE7" w:rsidRDefault="000A0EE7" w:rsidP="000A0EE7">
                  <w:pPr>
                    <w:spacing w:after="0" w:line="240" w:lineRule="auto"/>
                    <w:rPr>
                      <w:rFonts w:ascii="Verdana" w:eastAsia="Times New Roman" w:hAnsi="Verdana" w:cs="Times New Roman"/>
                      <w:b/>
                      <w:bCs/>
                      <w:color w:val="006600"/>
                      <w:sz w:val="27"/>
                      <w:szCs w:val="27"/>
                    </w:rPr>
                  </w:pPr>
                  <w:r w:rsidRPr="000A0EE7">
                    <w:rPr>
                      <w:rFonts w:ascii="Verdana" w:eastAsia="Times New Roman" w:hAnsi="Verdana" w:cs="Times New Roman"/>
                      <w:b/>
                      <w:bCs/>
                      <w:color w:val="006600"/>
                      <w:sz w:val="27"/>
                      <w:szCs w:val="27"/>
                    </w:rPr>
                    <w:t>Productos Bursátiles</w:t>
                  </w:r>
                </w:p>
              </w:tc>
              <w:tc>
                <w:tcPr>
                  <w:tcW w:w="0" w:type="auto"/>
                  <w:vAlign w:val="center"/>
                  <w:hideMark/>
                </w:tcPr>
                <w:p w:rsidR="000A0EE7" w:rsidRPr="000A0EE7" w:rsidRDefault="000A0EE7" w:rsidP="000A0EE7">
                  <w:pPr>
                    <w:spacing w:after="0" w:line="240" w:lineRule="auto"/>
                    <w:rPr>
                      <w:rFonts w:ascii="Verdana" w:eastAsia="Times New Roman" w:hAnsi="Verdana" w:cs="Times New Roman"/>
                      <w:b/>
                      <w:bCs/>
                      <w:color w:val="006600"/>
                      <w:sz w:val="27"/>
                      <w:szCs w:val="27"/>
                    </w:rPr>
                  </w:pPr>
                  <w:r w:rsidRPr="000A0EE7">
                    <w:rPr>
                      <w:rFonts w:ascii="Verdana" w:eastAsia="Times New Roman" w:hAnsi="Verdana" w:cs="Times New Roman"/>
                      <w:b/>
                      <w:bCs/>
                      <w:color w:val="006600"/>
                      <w:sz w:val="27"/>
                      <w:szCs w:val="27"/>
                    </w:rPr>
                    <w:t> </w:t>
                  </w:r>
                </w:p>
              </w:tc>
            </w:tr>
            <w:tr w:rsidR="000A0EE7" w:rsidRPr="000A0EE7">
              <w:trPr>
                <w:tblCellSpacing w:w="15" w:type="dxa"/>
              </w:trPr>
              <w:tc>
                <w:tcPr>
                  <w:tcW w:w="0" w:type="auto"/>
                  <w:vAlign w:val="center"/>
                  <w:hideMark/>
                </w:tcPr>
                <w:p w:rsidR="000A0EE7" w:rsidRPr="000A0EE7" w:rsidRDefault="000A0EE7" w:rsidP="000A0EE7">
                  <w:pPr>
                    <w:spacing w:after="0" w:line="240" w:lineRule="auto"/>
                    <w:rPr>
                      <w:rFonts w:ascii="Verdana" w:eastAsia="Times New Roman" w:hAnsi="Verdana" w:cs="Times New Roman"/>
                      <w:b/>
                      <w:bCs/>
                      <w:color w:val="006600"/>
                      <w:sz w:val="27"/>
                      <w:szCs w:val="27"/>
                      <w:lang w:val="es-ES"/>
                    </w:rPr>
                  </w:pPr>
                  <w:r w:rsidRPr="000A0EE7">
                    <w:rPr>
                      <w:rFonts w:ascii="Verdana" w:eastAsia="Times New Roman" w:hAnsi="Verdana" w:cs="Times New Roman"/>
                      <w:b/>
                      <w:bCs/>
                      <w:color w:val="006600"/>
                      <w:sz w:val="21"/>
                      <w:lang w:val="es-ES"/>
                    </w:rPr>
                    <w:t>Descargar</w:t>
                  </w:r>
                  <w:r w:rsidRPr="000A0EE7">
                    <w:rPr>
                      <w:rFonts w:ascii="Verdana" w:eastAsia="Times New Roman" w:hAnsi="Verdana" w:cs="Times New Roman"/>
                      <w:b/>
                      <w:bCs/>
                      <w:color w:val="006600"/>
                      <w:sz w:val="27"/>
                      <w:lang w:val="es-ES"/>
                    </w:rPr>
                    <w:t> </w:t>
                  </w:r>
                  <w:r w:rsidRPr="000A0EE7">
                    <w:rPr>
                      <w:rFonts w:ascii="Verdana" w:eastAsia="Times New Roman" w:hAnsi="Verdana" w:cs="Times New Roman"/>
                      <w:b/>
                      <w:bCs/>
                      <w:color w:val="006600"/>
                      <w:sz w:val="27"/>
                      <w:szCs w:val="27"/>
                      <w:lang w:val="es-ES"/>
                    </w:rPr>
                    <w:t>Portafolio de Productos (.pdf)</w:t>
                  </w:r>
                </w:p>
              </w:tc>
              <w:tc>
                <w:tcPr>
                  <w:tcW w:w="0" w:type="auto"/>
                  <w:vAlign w:val="center"/>
                  <w:hideMark/>
                </w:tcPr>
                <w:p w:rsidR="000A0EE7" w:rsidRPr="000A0EE7" w:rsidRDefault="000A0EE7" w:rsidP="000A0EE7">
                  <w:pPr>
                    <w:spacing w:after="0" w:line="240" w:lineRule="auto"/>
                    <w:rPr>
                      <w:rFonts w:ascii="Verdana" w:eastAsia="Times New Roman" w:hAnsi="Verdana" w:cs="Times New Roman"/>
                      <w:b/>
                      <w:bCs/>
                      <w:color w:val="006600"/>
                      <w:sz w:val="27"/>
                      <w:szCs w:val="27"/>
                    </w:rPr>
                  </w:pPr>
                  <w:r>
                    <w:rPr>
                      <w:rFonts w:ascii="Verdana" w:eastAsia="Times New Roman" w:hAnsi="Verdana" w:cs="Times New Roman"/>
                      <w:b/>
                      <w:bCs/>
                      <w:noProof/>
                      <w:color w:val="0000CC"/>
                      <w:sz w:val="17"/>
                      <w:szCs w:val="17"/>
                    </w:rPr>
                    <w:drawing>
                      <wp:inline distT="0" distB="0" distL="0" distR="0">
                        <wp:extent cx="295275" cy="295275"/>
                        <wp:effectExtent l="19050" t="0" r="9525" b="0"/>
                        <wp:docPr id="95" name="Imagen 95" descr="https://www.bves.com.sv/images/img_marco_001.gif">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bves.com.sv/images/img_marco_001.gif">
                                  <a:hlinkClick r:id="rId31" tgtFrame="&quot;_blank&quot;"/>
                                </pic:cNvPr>
                                <pic:cNvPicPr>
                                  <a:picLocks noChangeAspect="1" noChangeArrowheads="1"/>
                                </pic:cNvPicPr>
                              </pic:nvPicPr>
                              <pic:blipFill>
                                <a:blip r:embed="rId32"/>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r>
          </w:tbl>
          <w:p w:rsidR="000A0EE7" w:rsidRPr="000A0EE7" w:rsidRDefault="000A0EE7" w:rsidP="000A0EE7">
            <w:pPr>
              <w:spacing w:after="0" w:line="240" w:lineRule="auto"/>
              <w:rPr>
                <w:rFonts w:ascii="Verdana" w:eastAsia="Times New Roman" w:hAnsi="Verdana" w:cs="Times New Roman"/>
                <w:b/>
                <w:bCs/>
                <w:color w:val="006600"/>
                <w:sz w:val="27"/>
                <w:szCs w:val="27"/>
              </w:rPr>
            </w:pPr>
          </w:p>
        </w:tc>
      </w:tr>
      <w:tr w:rsidR="000A0EE7" w:rsidRPr="000A0EE7" w:rsidTr="000A0EE7">
        <w:trPr>
          <w:gridAfter w:val="1"/>
          <w:tblCellSpacing w:w="0" w:type="dxa"/>
          <w:jc w:val="center"/>
        </w:trPr>
        <w:tc>
          <w:tcPr>
            <w:tcW w:w="0" w:type="auto"/>
            <w:shd w:val="clear" w:color="auto" w:fill="EAC450"/>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t> </w:t>
            </w:r>
          </w:p>
        </w:tc>
      </w:tr>
      <w:tr w:rsidR="000A0EE7" w:rsidRPr="000A0EE7" w:rsidTr="000A0EE7">
        <w:trPr>
          <w:gridAfter w:val="1"/>
          <w:tblCellSpacing w:w="0" w:type="dxa"/>
          <w:jc w:val="center"/>
        </w:trPr>
        <w:tc>
          <w:tcPr>
            <w:tcW w:w="0" w:type="auto"/>
            <w:shd w:val="clear" w:color="auto" w:fill="EAC450"/>
            <w:vAlign w:val="center"/>
            <w:hideMark/>
          </w:tcPr>
          <w:tbl>
            <w:tblPr>
              <w:tblW w:w="5000" w:type="pct"/>
              <w:tblCellSpacing w:w="0" w:type="dxa"/>
              <w:tblCellMar>
                <w:left w:w="0" w:type="dxa"/>
                <w:right w:w="0" w:type="dxa"/>
              </w:tblCellMar>
              <w:tblLook w:val="04A0"/>
            </w:tblPr>
            <w:tblGrid>
              <w:gridCol w:w="390"/>
              <w:gridCol w:w="7860"/>
              <w:gridCol w:w="420"/>
            </w:tblGrid>
            <w:tr w:rsidR="000A0EE7" w:rsidRPr="000A0EE7" w:rsidTr="000A0EE7">
              <w:trPr>
                <w:tblCellSpacing w:w="0" w:type="dxa"/>
              </w:trPr>
              <w:tc>
                <w:tcPr>
                  <w:tcW w:w="200" w:type="pct"/>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19075" cy="276225"/>
                        <wp:effectExtent l="19050" t="0" r="9525" b="0"/>
                        <wp:docPr id="96" name="Imagen 96" descr="https://www.bves.com.sv/images/rollover/esq_bols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bves.com.sv/images/rollover/esq_bolsa1.gif"/>
                                <pic:cNvPicPr>
                                  <a:picLocks noChangeAspect="1" noChangeArrowheads="1"/>
                                </pic:cNvPicPr>
                              </pic:nvPicPr>
                              <pic:blipFill>
                                <a:blip r:embed="rId7"/>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4550" w:type="pct"/>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t> </w:t>
                  </w:r>
                </w:p>
              </w:tc>
              <w:tc>
                <w:tcPr>
                  <w:tcW w:w="250" w:type="pct"/>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76225"/>
                        <wp:effectExtent l="19050" t="0" r="0" b="0"/>
                        <wp:docPr id="97" name="Imagen 97" descr="https://www.bves.com.sv/images/rollover/esq_bols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bves.com.sv/images/rollover/esq_bolsa2.gif"/>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r>
            <w:tr w:rsidR="000A0EE7" w:rsidRPr="000A0EE7" w:rsidTr="000A0EE7">
              <w:trPr>
                <w:tblCellSpacing w:w="0" w:type="dxa"/>
              </w:trPr>
              <w:tc>
                <w:tcPr>
                  <w:tcW w:w="0" w:type="auto"/>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t> </w:t>
                  </w:r>
                </w:p>
              </w:tc>
              <w:tc>
                <w:tcPr>
                  <w:tcW w:w="0" w:type="auto"/>
                  <w:vAlign w:val="center"/>
                  <w:hideMark/>
                </w:tcPr>
                <w:tbl>
                  <w:tblPr>
                    <w:tblW w:w="5000" w:type="pct"/>
                    <w:tblCellSpacing w:w="37" w:type="dxa"/>
                    <w:shd w:val="clear" w:color="auto" w:fill="FCE49D"/>
                    <w:tblCellMar>
                      <w:top w:w="30" w:type="dxa"/>
                      <w:left w:w="30" w:type="dxa"/>
                      <w:bottom w:w="30" w:type="dxa"/>
                      <w:right w:w="30" w:type="dxa"/>
                    </w:tblCellMar>
                    <w:tblLook w:val="04A0"/>
                  </w:tblPr>
                  <w:tblGrid>
                    <w:gridCol w:w="3854"/>
                    <w:gridCol w:w="4006"/>
                  </w:tblGrid>
                  <w:tr w:rsidR="000A0EE7" w:rsidRPr="000A0EE7">
                    <w:trPr>
                      <w:tblCellSpacing w:w="37" w:type="dxa"/>
                    </w:trPr>
                    <w:tc>
                      <w:tcPr>
                        <w:tcW w:w="0" w:type="auto"/>
                        <w:shd w:val="clear" w:color="auto" w:fill="F8EFDE"/>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98" name="Imagen 98"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3" w:history="1">
                          <w:r w:rsidRPr="000A0EE7">
                            <w:rPr>
                              <w:rFonts w:ascii="Verdana" w:eastAsia="Times New Roman" w:hAnsi="Verdana" w:cs="Times New Roman"/>
                              <w:b/>
                              <w:bCs/>
                              <w:color w:val="0000CC"/>
                              <w:sz w:val="17"/>
                              <w:u w:val="single"/>
                              <w:lang w:val="es-ES"/>
                            </w:rPr>
                            <w:t>Acciones</w:t>
                          </w:r>
                        </w:hyperlink>
                      </w:p>
                      <w:p w:rsidR="000A0EE7" w:rsidRPr="000A0EE7" w:rsidRDefault="000A0EE7" w:rsidP="000A0EE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sz w:val="17"/>
                            <w:szCs w:val="17"/>
                            <w:lang w:val="es-ES"/>
                          </w:rPr>
                          <w:t>Valores que representan partes iguales del patrimonio de una empresa, e incorporan los derechos, obligaciones corporativas y patrimoniales correspondientes a un socio.</w:t>
                        </w:r>
                      </w:p>
                    </w:tc>
                    <w:tc>
                      <w:tcPr>
                        <w:tcW w:w="0" w:type="auto"/>
                        <w:shd w:val="clear" w:color="auto" w:fill="F8EFDE"/>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99" name="Imagen 99"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4" w:history="1">
                          <w:r w:rsidRPr="000A0EE7">
                            <w:rPr>
                              <w:rFonts w:ascii="Verdana" w:eastAsia="Times New Roman" w:hAnsi="Verdana" w:cs="Times New Roman"/>
                              <w:b/>
                              <w:bCs/>
                              <w:color w:val="0000CC"/>
                              <w:sz w:val="17"/>
                              <w:u w:val="single"/>
                              <w:lang w:val="es-ES"/>
                            </w:rPr>
                            <w:t>Certificados de inversión</w:t>
                          </w:r>
                        </w:hyperlink>
                        <w:r w:rsidRPr="000A0EE7">
                          <w:rPr>
                            <w:rFonts w:ascii="Verdana" w:eastAsia="Times New Roman" w:hAnsi="Verdana" w:cs="Times New Roman"/>
                            <w:b/>
                            <w:bCs/>
                            <w:sz w:val="17"/>
                            <w:szCs w:val="17"/>
                            <w:lang w:val="es-ES"/>
                          </w:rPr>
                          <w:br/>
                        </w:r>
                        <w:r w:rsidRPr="000A0EE7">
                          <w:rPr>
                            <w:rFonts w:ascii="Verdana" w:eastAsia="Times New Roman" w:hAnsi="Verdana" w:cs="Times New Roman"/>
                            <w:b/>
                            <w:bCs/>
                            <w:sz w:val="17"/>
                            <w:szCs w:val="17"/>
                            <w:lang w:val="es-ES"/>
                          </w:rPr>
                          <w:br/>
                        </w:r>
                        <w:r w:rsidRPr="000A0EE7">
                          <w:rPr>
                            <w:rFonts w:ascii="Verdana" w:eastAsia="Times New Roman" w:hAnsi="Verdana" w:cs="Times New Roman"/>
                            <w:sz w:val="17"/>
                            <w:szCs w:val="17"/>
                            <w:lang w:val="es-ES"/>
                          </w:rPr>
                          <w:t>Valores de deuda que las empresas emisoras utilizan para captar fondos. Representan la participación de sus dueños en un crédito colectivo a cargo de la empresa emisora.</w:t>
                        </w:r>
                      </w:p>
                    </w:tc>
                  </w:tr>
                  <w:tr w:rsidR="000A0EE7" w:rsidRPr="000A0EE7">
                    <w:trPr>
                      <w:tblCellSpacing w:w="37" w:type="dxa"/>
                    </w:trPr>
                    <w:tc>
                      <w:tcPr>
                        <w:tcW w:w="2450" w:type="pct"/>
                        <w:shd w:val="clear" w:color="auto" w:fill="EAC450"/>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0" name="Imagen 100"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5" w:history="1">
                          <w:r w:rsidRPr="000A0EE7">
                            <w:rPr>
                              <w:rFonts w:ascii="Verdana" w:eastAsia="Times New Roman" w:hAnsi="Verdana" w:cs="Times New Roman"/>
                              <w:b/>
                              <w:bCs/>
                              <w:color w:val="0000CC"/>
                              <w:sz w:val="17"/>
                              <w:u w:val="single"/>
                              <w:lang w:val="es-ES"/>
                            </w:rPr>
                            <w:t>Eurobonos</w:t>
                          </w:r>
                        </w:hyperlink>
                      </w:p>
                      <w:p w:rsidR="000A0EE7" w:rsidRPr="000A0EE7" w:rsidRDefault="000A0EE7" w:rsidP="000A0EE7">
                        <w:pPr>
                          <w:spacing w:before="100" w:beforeAutospacing="1" w:after="100" w:afterAutospacing="1" w:line="240" w:lineRule="auto"/>
                          <w:rPr>
                            <w:rFonts w:ascii="Verdana" w:eastAsia="Times New Roman" w:hAnsi="Verdana" w:cs="Times New Roman"/>
                            <w:sz w:val="17"/>
                            <w:szCs w:val="17"/>
                          </w:rPr>
                        </w:pPr>
                        <w:r w:rsidRPr="000A0EE7">
                          <w:rPr>
                            <w:rFonts w:ascii="Verdana" w:eastAsia="Times New Roman" w:hAnsi="Verdana" w:cs="Times New Roman"/>
                            <w:sz w:val="17"/>
                            <w:szCs w:val="17"/>
                            <w:lang w:val="es-ES"/>
                          </w:rPr>
                          <w:t xml:space="preserve">Instrumentos de deuda de largo plazo, respaldados por los Gobiernos y que se emiten fuera del país de origen, en US$. </w:t>
                        </w:r>
                        <w:r w:rsidRPr="000A0EE7">
                          <w:rPr>
                            <w:rFonts w:ascii="Verdana" w:eastAsia="Times New Roman" w:hAnsi="Verdana" w:cs="Times New Roman"/>
                            <w:sz w:val="17"/>
                            <w:szCs w:val="17"/>
                          </w:rPr>
                          <w:t>Y cuyo objetivo es el fondeo del Gobierno emisor.</w:t>
                        </w:r>
                      </w:p>
                    </w:tc>
                    <w:tc>
                      <w:tcPr>
                        <w:tcW w:w="2550" w:type="pct"/>
                        <w:shd w:val="clear" w:color="auto" w:fill="EAC450"/>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1" name="Imagen 101"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6" w:history="1">
                          <w:r w:rsidRPr="000A0EE7">
                            <w:rPr>
                              <w:rFonts w:ascii="Verdana" w:eastAsia="Times New Roman" w:hAnsi="Verdana" w:cs="Times New Roman"/>
                              <w:b/>
                              <w:bCs/>
                              <w:color w:val="0000CC"/>
                              <w:sz w:val="17"/>
                              <w:u w:val="single"/>
                              <w:lang w:val="es-ES"/>
                            </w:rPr>
                            <w:t>Letras del Tesoro</w:t>
                          </w:r>
                        </w:hyperlink>
                        <w:r w:rsidRPr="000A0EE7">
                          <w:rPr>
                            <w:rFonts w:ascii="Verdana" w:eastAsia="Times New Roman" w:hAnsi="Verdana" w:cs="Times New Roman"/>
                            <w:b/>
                            <w:bCs/>
                            <w:sz w:val="17"/>
                            <w:szCs w:val="17"/>
                            <w:lang w:val="es-ES"/>
                          </w:rPr>
                          <w:br/>
                        </w:r>
                        <w:r w:rsidRPr="000A0EE7">
                          <w:rPr>
                            <w:rFonts w:ascii="Verdana" w:eastAsia="Times New Roman" w:hAnsi="Verdana" w:cs="Times New Roman"/>
                            <w:b/>
                            <w:bCs/>
                            <w:sz w:val="17"/>
                            <w:szCs w:val="17"/>
                            <w:lang w:val="es-ES"/>
                          </w:rPr>
                          <w:br/>
                        </w:r>
                        <w:r w:rsidRPr="000A0EE7">
                          <w:rPr>
                            <w:rFonts w:ascii="Verdana" w:eastAsia="Times New Roman" w:hAnsi="Verdana" w:cs="Times New Roman"/>
                            <w:sz w:val="17"/>
                            <w:szCs w:val="17"/>
                            <w:lang w:val="es-ES"/>
                          </w:rPr>
                          <w:t>Títulos de crédito a corto plazo, emitidos por Gobierno Salvadoreño, para remediar las deficiencias temporales de ingreso en el Presupuesto General de la Nación.</w:t>
                        </w:r>
                      </w:p>
                    </w:tc>
                  </w:tr>
                  <w:tr w:rsidR="000A0EE7" w:rsidRPr="000A0EE7">
                    <w:trPr>
                      <w:tblCellSpacing w:w="37" w:type="dxa"/>
                    </w:trPr>
                    <w:tc>
                      <w:tcPr>
                        <w:tcW w:w="0" w:type="auto"/>
                        <w:shd w:val="clear" w:color="auto" w:fill="F8EFDE"/>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2" name="Imagen 102"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7" w:history="1">
                          <w:r w:rsidRPr="000A0EE7">
                            <w:rPr>
                              <w:rFonts w:ascii="Verdana" w:eastAsia="Times New Roman" w:hAnsi="Verdana" w:cs="Times New Roman"/>
                              <w:b/>
                              <w:bCs/>
                              <w:color w:val="0000CC"/>
                              <w:sz w:val="17"/>
                              <w:u w:val="single"/>
                              <w:lang w:val="es-ES"/>
                            </w:rPr>
                            <w:t>Ceneli</w:t>
                          </w:r>
                        </w:hyperlink>
                        <w:r w:rsidRPr="000A0EE7">
                          <w:rPr>
                            <w:rFonts w:ascii="Verdana" w:eastAsia="Times New Roman" w:hAnsi="Verdana" w:cs="Times New Roman"/>
                            <w:b/>
                            <w:bCs/>
                            <w:sz w:val="17"/>
                            <w:szCs w:val="17"/>
                            <w:lang w:val="es-ES"/>
                          </w:rPr>
                          <w:br/>
                        </w:r>
                        <w:r w:rsidRPr="000A0EE7">
                          <w:rPr>
                            <w:rFonts w:ascii="Verdana" w:eastAsia="Times New Roman" w:hAnsi="Verdana" w:cs="Times New Roman"/>
                            <w:b/>
                            <w:bCs/>
                            <w:sz w:val="17"/>
                            <w:szCs w:val="17"/>
                            <w:lang w:val="es-ES"/>
                          </w:rPr>
                          <w:br/>
                        </w:r>
                        <w:r w:rsidRPr="000A0EE7">
                          <w:rPr>
                            <w:rFonts w:ascii="Verdana" w:eastAsia="Times New Roman" w:hAnsi="Verdana" w:cs="Times New Roman"/>
                            <w:sz w:val="17"/>
                            <w:szCs w:val="17"/>
                            <w:lang w:val="es-ES"/>
                          </w:rPr>
                          <w:t>Valores emitidos por el Banco Central de Reserva de El Salvador con el fin de realizar un manejo eficiente de sus flujos, es decir de su tesorería</w:t>
                        </w:r>
                      </w:p>
                    </w:tc>
                    <w:tc>
                      <w:tcPr>
                        <w:tcW w:w="0" w:type="auto"/>
                        <w:shd w:val="clear" w:color="auto" w:fill="F8EFDE"/>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3" name="Imagen 103"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38" w:history="1">
                          <w:r w:rsidRPr="000A0EE7">
                            <w:rPr>
                              <w:rFonts w:ascii="Verdana" w:eastAsia="Times New Roman" w:hAnsi="Verdana" w:cs="Times New Roman"/>
                              <w:b/>
                              <w:bCs/>
                              <w:color w:val="0000CC"/>
                              <w:sz w:val="17"/>
                              <w:u w:val="single"/>
                              <w:lang w:val="es-ES"/>
                            </w:rPr>
                            <w:t>Papel Comercial</w:t>
                          </w:r>
                        </w:hyperlink>
                        <w:r w:rsidRPr="000A0EE7">
                          <w:rPr>
                            <w:rFonts w:ascii="Verdana" w:eastAsia="Times New Roman" w:hAnsi="Verdana" w:cs="Times New Roman"/>
                            <w:b/>
                            <w:bCs/>
                            <w:sz w:val="17"/>
                            <w:szCs w:val="17"/>
                            <w:lang w:val="es-ES"/>
                          </w:rPr>
                          <w:br/>
                        </w:r>
                        <w:r w:rsidRPr="000A0EE7">
                          <w:rPr>
                            <w:rFonts w:ascii="Verdana" w:eastAsia="Times New Roman" w:hAnsi="Verdana" w:cs="Times New Roman"/>
                            <w:b/>
                            <w:bCs/>
                            <w:sz w:val="17"/>
                            <w:szCs w:val="17"/>
                            <w:lang w:val="es-ES"/>
                          </w:rPr>
                          <w:br/>
                        </w:r>
                        <w:r w:rsidRPr="000A0EE7">
                          <w:rPr>
                            <w:rFonts w:ascii="Verdana" w:eastAsia="Times New Roman" w:hAnsi="Verdana" w:cs="Times New Roman"/>
                            <w:sz w:val="17"/>
                            <w:szCs w:val="17"/>
                            <w:lang w:val="es-ES"/>
                          </w:rPr>
                          <w:t xml:space="preserve">Valores de crédito documentados en pagarés suscritos por sociedades </w:t>
                        </w:r>
                        <w:proofErr w:type="gramStart"/>
                        <w:r w:rsidRPr="000A0EE7">
                          <w:rPr>
                            <w:rFonts w:ascii="Verdana" w:eastAsia="Times New Roman" w:hAnsi="Verdana" w:cs="Times New Roman"/>
                            <w:sz w:val="17"/>
                            <w:szCs w:val="17"/>
                            <w:lang w:val="es-ES"/>
                          </w:rPr>
                          <w:t>anónimas .</w:t>
                        </w:r>
                        <w:proofErr w:type="gramEnd"/>
                      </w:p>
                    </w:tc>
                  </w:tr>
                  <w:tr w:rsidR="000A0EE7" w:rsidRPr="000A0EE7">
                    <w:trPr>
                      <w:tblCellSpacing w:w="37" w:type="dxa"/>
                    </w:trPr>
                    <w:tc>
                      <w:tcPr>
                        <w:tcW w:w="0" w:type="auto"/>
                        <w:shd w:val="clear" w:color="auto" w:fill="EAC450"/>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4" name="Imagen 104"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hyperlink r:id="rId39" w:history="1">
                          <w:r w:rsidRPr="000A0EE7">
                            <w:rPr>
                              <w:rFonts w:ascii="Verdana" w:eastAsia="Times New Roman" w:hAnsi="Verdana" w:cs="Times New Roman"/>
                              <w:b/>
                              <w:bCs/>
                              <w:color w:val="0000CC"/>
                              <w:sz w:val="17"/>
                              <w:u w:val="single"/>
                              <w:lang w:val="es-ES"/>
                            </w:rPr>
                            <w:t>Letras de cambio bursátiles</w:t>
                          </w:r>
                        </w:hyperlink>
                      </w:p>
                      <w:p w:rsidR="000A0EE7" w:rsidRPr="000A0EE7" w:rsidRDefault="000A0EE7" w:rsidP="000A0EE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sz w:val="17"/>
                            <w:szCs w:val="17"/>
                            <w:lang w:val="es-ES"/>
                          </w:rPr>
                          <w:t>Valores individuales de deuda o crédito emitidos por bancos inscritos como emisores y respaldadas por letras de cambio corrientes de empresas industriales, comerciales y/o de servicios.</w:t>
                        </w:r>
                      </w:p>
                    </w:tc>
                    <w:tc>
                      <w:tcPr>
                        <w:tcW w:w="0" w:type="auto"/>
                        <w:shd w:val="clear" w:color="auto" w:fill="EAC450"/>
                        <w:vAlign w:val="center"/>
                        <w:hideMark/>
                      </w:tcPr>
                      <w:p w:rsidR="000A0EE7" w:rsidRPr="000A0EE7" w:rsidRDefault="000A0EE7" w:rsidP="000A0EE7">
                        <w:pPr>
                          <w:spacing w:before="100" w:beforeAutospacing="1" w:after="100" w:afterAutospacing="1" w:line="240" w:lineRule="auto"/>
                          <w:rPr>
                            <w:rFonts w:ascii="Verdana" w:eastAsia="Times New Roman" w:hAnsi="Verdana" w:cs="Times New Roman"/>
                            <w:sz w:val="17"/>
                            <w:szCs w:val="17"/>
                            <w:lang w:val="es-ES"/>
                          </w:rPr>
                        </w:pPr>
                        <w:r>
                          <w:rPr>
                            <w:rFonts w:ascii="Verdana" w:eastAsia="Times New Roman" w:hAnsi="Verdana" w:cs="Times New Roman"/>
                            <w:b/>
                            <w:bCs/>
                            <w:noProof/>
                            <w:sz w:val="17"/>
                            <w:szCs w:val="17"/>
                          </w:rPr>
                          <w:drawing>
                            <wp:inline distT="0" distB="0" distL="0" distR="0">
                              <wp:extent cx="85725" cy="114300"/>
                              <wp:effectExtent l="19050" t="0" r="9525" b="0"/>
                              <wp:docPr id="105" name="Imagen 105" descr="https://www.bves.com.sv/images/img_que_es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bves.com.sv/images/img_que_es_001.gif"/>
                                      <pic:cNvPicPr>
                                        <a:picLocks noChangeAspect="1" noChangeArrowheads="1"/>
                                      </pic:cNvPicPr>
                                    </pic:nvPicPr>
                                    <pic:blipFill>
                                      <a:blip r:embed="rId9"/>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b/>
                            <w:bCs/>
                            <w:sz w:val="17"/>
                            <w:lang w:val="es-ES"/>
                          </w:rPr>
                          <w:t> </w:t>
                        </w:r>
                        <w:hyperlink r:id="rId40" w:history="1">
                          <w:r w:rsidRPr="000A0EE7">
                            <w:rPr>
                              <w:rFonts w:ascii="Verdana" w:eastAsia="Times New Roman" w:hAnsi="Verdana" w:cs="Times New Roman"/>
                              <w:b/>
                              <w:bCs/>
                              <w:color w:val="0000CC"/>
                              <w:sz w:val="17"/>
                              <w:u w:val="single"/>
                              <w:lang w:val="es-ES"/>
                            </w:rPr>
                            <w:t>Bonos BC</w:t>
                          </w:r>
                        </w:hyperlink>
                      </w:p>
                      <w:p w:rsidR="000A0EE7" w:rsidRPr="000A0EE7" w:rsidRDefault="000A0EE7" w:rsidP="000A0EE7">
                        <w:pPr>
                          <w:spacing w:before="100" w:beforeAutospacing="1" w:after="100" w:afterAutospacing="1" w:line="240" w:lineRule="auto"/>
                          <w:rPr>
                            <w:rFonts w:ascii="Verdana" w:eastAsia="Times New Roman" w:hAnsi="Verdana" w:cs="Times New Roman"/>
                            <w:sz w:val="17"/>
                            <w:szCs w:val="17"/>
                            <w:lang w:val="es-ES"/>
                          </w:rPr>
                        </w:pPr>
                        <w:r w:rsidRPr="000A0EE7">
                          <w:rPr>
                            <w:rFonts w:ascii="Verdana" w:eastAsia="Times New Roman" w:hAnsi="Verdana" w:cs="Times New Roman"/>
                            <w:sz w:val="17"/>
                            <w:szCs w:val="17"/>
                            <w:lang w:val="es-ES"/>
                          </w:rPr>
                          <w:t>Valores emitidos por el Banco Central de Reserva de El Salvador con el fin de realizar un manejo eficiente de los flujos de fondos, es decir para manejo de la Tesorería del Banco Central.</w:t>
                        </w:r>
                      </w:p>
                    </w:tc>
                  </w:tr>
                </w:tbl>
                <w:p w:rsidR="000A0EE7" w:rsidRPr="000A0EE7" w:rsidRDefault="000A0EE7" w:rsidP="000A0EE7">
                  <w:pPr>
                    <w:spacing w:after="0" w:line="240" w:lineRule="auto"/>
                    <w:rPr>
                      <w:rFonts w:ascii="Verdana" w:eastAsia="Times New Roman" w:hAnsi="Verdana" w:cs="Times New Roman"/>
                      <w:sz w:val="17"/>
                      <w:szCs w:val="17"/>
                      <w:lang w:val="es-ES"/>
                    </w:rPr>
                  </w:pPr>
                </w:p>
              </w:tc>
              <w:tc>
                <w:tcPr>
                  <w:tcW w:w="0" w:type="auto"/>
                  <w:vAlign w:val="center"/>
                  <w:hideMark/>
                </w:tcPr>
                <w:p w:rsidR="000A0EE7" w:rsidRPr="000A0EE7" w:rsidRDefault="000A0EE7" w:rsidP="000A0EE7">
                  <w:pPr>
                    <w:spacing w:after="0" w:line="240" w:lineRule="auto"/>
                    <w:rPr>
                      <w:rFonts w:ascii="Times New Roman" w:eastAsia="Times New Roman" w:hAnsi="Times New Roman" w:cs="Times New Roman"/>
                      <w:sz w:val="20"/>
                      <w:szCs w:val="20"/>
                      <w:lang w:val="es-ES"/>
                    </w:rPr>
                  </w:pPr>
                </w:p>
              </w:tc>
            </w:tr>
          </w:tbl>
          <w:p w:rsidR="000A0EE7" w:rsidRPr="000A0EE7" w:rsidRDefault="000A0EE7" w:rsidP="000A0EE7">
            <w:pPr>
              <w:spacing w:after="0" w:line="240" w:lineRule="auto"/>
              <w:rPr>
                <w:rFonts w:ascii="Verdana" w:eastAsia="Times New Roman" w:hAnsi="Verdana" w:cs="Times New Roman"/>
                <w:sz w:val="17"/>
                <w:szCs w:val="17"/>
                <w:lang w:val="es-ES"/>
              </w:rPr>
            </w:pPr>
          </w:p>
        </w:tc>
      </w:tr>
      <w:tr w:rsidR="000A0EE7" w:rsidRPr="000A0EE7" w:rsidTr="000A0EE7">
        <w:tblPrEx>
          <w:jc w:val="left"/>
        </w:tblPrEx>
        <w:trPr>
          <w:gridAfter w:val="1"/>
          <w:tblCellSpacing w:w="0" w:type="dxa"/>
        </w:trPr>
        <w:tc>
          <w:tcPr>
            <w:tcW w:w="8670" w:type="dxa"/>
            <w:shd w:val="clear" w:color="auto" w:fill="EAC450"/>
            <w:hideMark/>
          </w:tcPr>
          <w:tbl>
            <w:tblPr>
              <w:tblW w:w="8670" w:type="dxa"/>
              <w:tblCellSpacing w:w="0" w:type="dxa"/>
              <w:tblCellMar>
                <w:left w:w="0" w:type="dxa"/>
                <w:right w:w="0" w:type="dxa"/>
              </w:tblCellMar>
              <w:tblLook w:val="04A0"/>
            </w:tblPr>
            <w:tblGrid>
              <w:gridCol w:w="8670"/>
            </w:tblGrid>
            <w:tr w:rsidR="000A0EE7" w:rsidRPr="000A0EE7">
              <w:trPr>
                <w:tblCellSpacing w:w="0" w:type="dxa"/>
              </w:trPr>
              <w:tc>
                <w:tcPr>
                  <w:tcW w:w="5280" w:type="dxa"/>
                  <w:vAlign w:val="center"/>
                  <w:hideMark/>
                </w:tcPr>
                <w:tbl>
                  <w:tblPr>
                    <w:tblpPr w:leftFromText="45" w:rightFromText="45" w:vertAnchor="text" w:tblpXSpec="right" w:tblpYSpec="center"/>
                    <w:tblW w:w="8520" w:type="dxa"/>
                    <w:tblCellSpacing w:w="0" w:type="dxa"/>
                    <w:tblCellMar>
                      <w:left w:w="0" w:type="dxa"/>
                      <w:right w:w="0" w:type="dxa"/>
                    </w:tblCellMar>
                    <w:tblLook w:val="04A0"/>
                  </w:tblPr>
                  <w:tblGrid>
                    <w:gridCol w:w="8520"/>
                  </w:tblGrid>
                  <w:tr w:rsidR="000A0EE7" w:rsidRPr="000A0EE7">
                    <w:trPr>
                      <w:tblCellSpacing w:w="0" w:type="dxa"/>
                    </w:trPr>
                    <w:tc>
                      <w:tcPr>
                        <w:tcW w:w="0" w:type="auto"/>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p>
                    </w:tc>
                  </w:tr>
                </w:tbl>
                <w:p w:rsidR="000A0EE7" w:rsidRPr="000A0EE7" w:rsidRDefault="000A0EE7" w:rsidP="000A0EE7">
                  <w:pPr>
                    <w:spacing w:after="0" w:line="240" w:lineRule="auto"/>
                    <w:rPr>
                      <w:rFonts w:ascii="Verdana" w:eastAsia="Times New Roman" w:hAnsi="Verdana" w:cs="Times New Roman"/>
                      <w:sz w:val="17"/>
                      <w:szCs w:val="17"/>
                      <w:lang w:val="es-ES"/>
                    </w:rPr>
                  </w:pPr>
                </w:p>
              </w:tc>
            </w:tr>
          </w:tbl>
          <w:p w:rsidR="000A0EE7" w:rsidRPr="000A0EE7" w:rsidRDefault="000A0EE7" w:rsidP="000A0EE7">
            <w:pPr>
              <w:spacing w:after="0" w:line="240" w:lineRule="auto"/>
              <w:rPr>
                <w:rFonts w:ascii="Verdana" w:eastAsia="Times New Roman" w:hAnsi="Verdana" w:cs="Times New Roman"/>
                <w:sz w:val="17"/>
                <w:szCs w:val="17"/>
                <w:lang w:val="es-ES"/>
              </w:rPr>
            </w:pPr>
          </w:p>
        </w:tc>
      </w:tr>
      <w:tr w:rsidR="000A0EE7" w:rsidRPr="000A0EE7" w:rsidTr="000A0EE7">
        <w:tblPrEx>
          <w:jc w:val="left"/>
        </w:tblPrEx>
        <w:trPr>
          <w:tblCellSpacing w:w="0" w:type="dxa"/>
        </w:trPr>
        <w:tc>
          <w:tcPr>
            <w:tcW w:w="0" w:type="auto"/>
            <w:shd w:val="clear" w:color="auto" w:fill="EAC450"/>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9525" cy="9525"/>
                  <wp:effectExtent l="0" t="0" r="0" b="0"/>
                  <wp:docPr id="117" name="Imagen 117" descr="https://www.bves.com.sv/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bves.com.sv/images/blank.gif"/>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shd w:val="clear" w:color="auto" w:fill="195A12"/>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9525" cy="9525"/>
                  <wp:effectExtent l="0" t="0" r="0" b="0"/>
                  <wp:docPr id="118" name="Imagen 118" descr="https://www.bves.com.sv/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bves.com.sv/images/blank.gif"/>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A0EE7" w:rsidRPr="000A0EE7" w:rsidRDefault="000A0EE7" w:rsidP="000A0EE7">
      <w:pPr>
        <w:spacing w:after="0" w:line="240" w:lineRule="auto"/>
        <w:rPr>
          <w:rFonts w:ascii="Times New Roman" w:eastAsia="Times New Roman" w:hAnsi="Times New Roman" w:cs="Times New Roman"/>
          <w:vanish/>
          <w:sz w:val="24"/>
          <w:szCs w:val="24"/>
        </w:rPr>
      </w:pPr>
    </w:p>
    <w:tbl>
      <w:tblPr>
        <w:tblW w:w="4750" w:type="pct"/>
        <w:jc w:val="center"/>
        <w:tblCellSpacing w:w="0" w:type="dxa"/>
        <w:shd w:val="clear" w:color="auto" w:fill="EAC450"/>
        <w:tblCellMar>
          <w:left w:w="0" w:type="dxa"/>
          <w:right w:w="0" w:type="dxa"/>
        </w:tblCellMar>
        <w:tblLook w:val="04A0"/>
      </w:tblPr>
      <w:tblGrid>
        <w:gridCol w:w="8886"/>
        <w:gridCol w:w="6"/>
      </w:tblGrid>
      <w:tr w:rsidR="000A0EE7" w:rsidRPr="000A0EE7" w:rsidTr="000A0EE7">
        <w:trPr>
          <w:tblCellSpacing w:w="0" w:type="dxa"/>
          <w:jc w:val="center"/>
        </w:trPr>
        <w:tc>
          <w:tcPr>
            <w:tcW w:w="0" w:type="auto"/>
            <w:gridSpan w:val="2"/>
            <w:shd w:val="clear" w:color="auto" w:fill="EAC450"/>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lastRenderedPageBreak/>
              <w:t> </w:t>
            </w:r>
          </w:p>
        </w:tc>
      </w:tr>
      <w:tr w:rsidR="000A0EE7" w:rsidRPr="000A0EE7" w:rsidTr="000A0EE7">
        <w:trPr>
          <w:tblCellSpacing w:w="0" w:type="dxa"/>
          <w:jc w:val="center"/>
        </w:trPr>
        <w:tc>
          <w:tcPr>
            <w:tcW w:w="0" w:type="auto"/>
            <w:shd w:val="clear" w:color="auto" w:fill="EAC450"/>
            <w:vAlign w:val="center"/>
            <w:hideMark/>
          </w:tcPr>
          <w:tbl>
            <w:tblPr>
              <w:tblW w:w="8490" w:type="dxa"/>
              <w:tblCellSpacing w:w="0" w:type="dxa"/>
              <w:tblCellMar>
                <w:left w:w="0" w:type="dxa"/>
                <w:right w:w="0" w:type="dxa"/>
              </w:tblCellMar>
              <w:tblLook w:val="04A0"/>
            </w:tblPr>
            <w:tblGrid>
              <w:gridCol w:w="8490"/>
            </w:tblGrid>
            <w:tr w:rsidR="000A0EE7" w:rsidRPr="000A0EE7">
              <w:trPr>
                <w:tblCellSpacing w:w="0" w:type="dxa"/>
              </w:trPr>
              <w:tc>
                <w:tcPr>
                  <w:tcW w:w="0" w:type="auto"/>
                  <w:vAlign w:val="center"/>
                  <w:hideMark/>
                </w:tcPr>
                <w:tbl>
                  <w:tblPr>
                    <w:tblW w:w="8490" w:type="dxa"/>
                    <w:tblCellSpacing w:w="0" w:type="dxa"/>
                    <w:tblCellMar>
                      <w:left w:w="0" w:type="dxa"/>
                      <w:right w:w="0" w:type="dxa"/>
                    </w:tblCellMar>
                    <w:tblLook w:val="04A0"/>
                  </w:tblPr>
                  <w:tblGrid>
                    <w:gridCol w:w="7920"/>
                    <w:gridCol w:w="570"/>
                  </w:tblGrid>
                  <w:tr w:rsidR="000A0EE7" w:rsidRPr="000A0EE7" w:rsidTr="000A0EE7">
                    <w:trPr>
                      <w:tblCellSpacing w:w="0" w:type="dxa"/>
                    </w:trPr>
                    <w:tc>
                      <w:tcPr>
                        <w:tcW w:w="7950" w:type="dxa"/>
                        <w:vAlign w:val="center"/>
                        <w:hideMark/>
                      </w:tcPr>
                      <w:tbl>
                        <w:tblPr>
                          <w:tblW w:w="5000" w:type="pct"/>
                          <w:tblCellSpacing w:w="0" w:type="dxa"/>
                          <w:tblCellMar>
                            <w:left w:w="0" w:type="dxa"/>
                            <w:right w:w="0" w:type="dxa"/>
                          </w:tblCellMar>
                          <w:tblLook w:val="04A0"/>
                        </w:tblPr>
                        <w:tblGrid>
                          <w:gridCol w:w="570"/>
                          <w:gridCol w:w="3675"/>
                          <w:gridCol w:w="3675"/>
                        </w:tblGrid>
                        <w:tr w:rsidR="000A0EE7" w:rsidRPr="000A0EE7">
                          <w:trPr>
                            <w:tblCellSpacing w:w="0" w:type="dxa"/>
                          </w:trPr>
                          <w:tc>
                            <w:tcPr>
                              <w:tcW w:w="300" w:type="pct"/>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342900" cy="190500"/>
                                    <wp:effectExtent l="19050" t="0" r="0" b="0"/>
                                    <wp:docPr id="119" name="Imagen 119" descr="https://www.bves.com.sv/images/esquinas/esq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bves.com.sv/images/esquinas/esq5.gif"/>
                                            <pic:cNvPicPr>
                                              <a:picLocks noChangeAspect="1" noChangeArrowheads="1"/>
                                            </pic:cNvPicPr>
                                          </pic:nvPicPr>
                                          <pic:blipFill>
                                            <a:blip r:embed="rId41"/>
                                            <a:srcRect/>
                                            <a:stretch>
                                              <a:fillRect/>
                                            </a:stretch>
                                          </pic:blipFill>
                                          <pic:spPr bwMode="auto">
                                            <a:xfrm>
                                              <a:off x="0" y="0"/>
                                              <a:ext cx="342900" cy="190500"/>
                                            </a:xfrm>
                                            <a:prstGeom prst="rect">
                                              <a:avLst/>
                                            </a:prstGeom>
                                            <a:noFill/>
                                            <a:ln w="9525">
                                              <a:noFill/>
                                              <a:miter lim="800000"/>
                                              <a:headEnd/>
                                              <a:tailEnd/>
                                            </a:ln>
                                          </pic:spPr>
                                        </pic:pic>
                                      </a:graphicData>
                                    </a:graphic>
                                  </wp:inline>
                                </w:drawing>
                              </w:r>
                            </w:p>
                          </w:tc>
                          <w:tc>
                            <w:tcPr>
                              <w:tcW w:w="2350" w:type="pct"/>
                              <w:vAlign w:val="center"/>
                              <w:hideMark/>
                            </w:tcPr>
                            <w:p w:rsidR="000A0EE7" w:rsidRPr="000A0EE7" w:rsidRDefault="000A0EE7" w:rsidP="000A0EE7">
                              <w:pPr>
                                <w:spacing w:after="0" w:line="240" w:lineRule="auto"/>
                                <w:jc w:val="center"/>
                                <w:rPr>
                                  <w:rFonts w:ascii="Verdana" w:eastAsia="Times New Roman" w:hAnsi="Verdana" w:cs="Times New Roman"/>
                                  <w:sz w:val="28"/>
                                  <w:szCs w:val="28"/>
                                </w:rPr>
                              </w:pPr>
                              <w:r w:rsidRPr="000A0EE7">
                                <w:rPr>
                                  <w:rFonts w:ascii="Arial" w:eastAsia="Times New Roman" w:hAnsi="Arial" w:cs="Arial"/>
                                  <w:bCs/>
                                  <w:color w:val="FFFFFF"/>
                                  <w:sz w:val="28"/>
                                  <w:szCs w:val="28"/>
                                </w:rPr>
                                <w:t>Requisitos para Inscribir Acciones</w:t>
                              </w:r>
                            </w:p>
                          </w:tc>
                          <w:tc>
                            <w:tcPr>
                              <w:tcW w:w="2350" w:type="pct"/>
                              <w:vAlign w:val="center"/>
                              <w:hideMark/>
                            </w:tcPr>
                            <w:p w:rsidR="000A0EE7" w:rsidRPr="000A0EE7" w:rsidRDefault="000A0EE7" w:rsidP="000A0EE7">
                              <w:pPr>
                                <w:spacing w:after="0" w:line="240" w:lineRule="auto"/>
                                <w:rPr>
                                  <w:rFonts w:ascii="Verdana" w:eastAsia="Times New Roman" w:hAnsi="Verdana" w:cs="Times New Roman"/>
                                  <w:sz w:val="28"/>
                                  <w:szCs w:val="28"/>
                                </w:rPr>
                              </w:pPr>
                              <w:r w:rsidRPr="000A0EE7">
                                <w:rPr>
                                  <w:rFonts w:ascii="Verdana" w:eastAsia="Times New Roman" w:hAnsi="Verdana" w:cs="Times New Roman"/>
                                  <w:noProof/>
                                  <w:sz w:val="28"/>
                                  <w:szCs w:val="28"/>
                                </w:rPr>
                                <w:drawing>
                                  <wp:inline distT="0" distB="0" distL="0" distR="0">
                                    <wp:extent cx="133350" cy="190500"/>
                                    <wp:effectExtent l="19050" t="0" r="0" b="0"/>
                                    <wp:docPr id="120" name="Imagen 120" descr="https://www.bves.com.sv/images/esquinas/esq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bves.com.sv/images/esquinas/esq6.gif"/>
                                            <pic:cNvPicPr>
                                              <a:picLocks noChangeAspect="1" noChangeArrowheads="1"/>
                                            </pic:cNvPicPr>
                                          </pic:nvPicPr>
                                          <pic:blipFill>
                                            <a:blip r:embed="rId42"/>
                                            <a:srcRect/>
                                            <a:stretch>
                                              <a:fillRect/>
                                            </a:stretch>
                                          </pic:blipFill>
                                          <pic:spPr bwMode="auto">
                                            <a:xfrm>
                                              <a:off x="0" y="0"/>
                                              <a:ext cx="133350" cy="190500"/>
                                            </a:xfrm>
                                            <a:prstGeom prst="rect">
                                              <a:avLst/>
                                            </a:prstGeom>
                                            <a:noFill/>
                                            <a:ln w="9525">
                                              <a:noFill/>
                                              <a:miter lim="800000"/>
                                              <a:headEnd/>
                                              <a:tailEnd/>
                                            </a:ln>
                                          </pic:spPr>
                                        </pic:pic>
                                      </a:graphicData>
                                    </a:graphic>
                                  </wp:inline>
                                </w:drawing>
                              </w:r>
                            </w:p>
                          </w:tc>
                        </w:tr>
                      </w:tbl>
                      <w:p w:rsidR="000A0EE7" w:rsidRPr="000A0EE7" w:rsidRDefault="000A0EE7" w:rsidP="000A0EE7">
                        <w:pPr>
                          <w:spacing w:after="0" w:line="240" w:lineRule="auto"/>
                          <w:rPr>
                            <w:rFonts w:ascii="Verdana" w:eastAsia="Times New Roman" w:hAnsi="Verdana" w:cs="Times New Roman"/>
                            <w:sz w:val="17"/>
                            <w:szCs w:val="17"/>
                          </w:rPr>
                        </w:pPr>
                      </w:p>
                    </w:tc>
                    <w:tc>
                      <w:tcPr>
                        <w:tcW w:w="540" w:type="dxa"/>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342900" cy="190500"/>
                              <wp:effectExtent l="19050" t="0" r="0" b="0"/>
                              <wp:docPr id="121" name="Imagen 121" descr="https://www.bves.com.sv/images/esquinas/esq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bves.com.sv/images/esquinas/esq7.gif"/>
                                      <pic:cNvPicPr>
                                        <a:picLocks noChangeAspect="1" noChangeArrowheads="1"/>
                                      </pic:cNvPicPr>
                                    </pic:nvPicPr>
                                    <pic:blipFill>
                                      <a:blip r:embed="rId43"/>
                                      <a:srcRect/>
                                      <a:stretch>
                                        <a:fillRect/>
                                      </a:stretch>
                                    </pic:blipFill>
                                    <pic:spPr bwMode="auto">
                                      <a:xfrm>
                                        <a:off x="0" y="0"/>
                                        <a:ext cx="342900" cy="190500"/>
                                      </a:xfrm>
                                      <a:prstGeom prst="rect">
                                        <a:avLst/>
                                      </a:prstGeom>
                                      <a:noFill/>
                                      <a:ln w="9525">
                                        <a:noFill/>
                                        <a:miter lim="800000"/>
                                        <a:headEnd/>
                                        <a:tailEnd/>
                                      </a:ln>
                                    </pic:spPr>
                                  </pic:pic>
                                </a:graphicData>
                              </a:graphic>
                            </wp:inline>
                          </w:drawing>
                        </w:r>
                      </w:p>
                    </w:tc>
                  </w:tr>
                </w:tbl>
                <w:p w:rsidR="000A0EE7" w:rsidRPr="000A0EE7" w:rsidRDefault="000A0EE7" w:rsidP="000A0EE7">
                  <w:pPr>
                    <w:spacing w:after="0" w:line="240" w:lineRule="auto"/>
                    <w:rPr>
                      <w:rFonts w:ascii="Verdana" w:eastAsia="Times New Roman" w:hAnsi="Verdana" w:cs="Times New Roman"/>
                      <w:vanish/>
                      <w:sz w:val="17"/>
                      <w:szCs w:val="17"/>
                    </w:rPr>
                  </w:pPr>
                </w:p>
                <w:tbl>
                  <w:tblPr>
                    <w:tblW w:w="8490" w:type="dxa"/>
                    <w:tblCellSpacing w:w="0" w:type="dxa"/>
                    <w:tblCellMar>
                      <w:left w:w="0" w:type="dxa"/>
                      <w:right w:w="0" w:type="dxa"/>
                    </w:tblCellMar>
                    <w:tblLook w:val="04A0"/>
                  </w:tblPr>
                  <w:tblGrid>
                    <w:gridCol w:w="420"/>
                    <w:gridCol w:w="7500"/>
                    <w:gridCol w:w="570"/>
                  </w:tblGrid>
                  <w:tr w:rsidR="000A0EE7" w:rsidRPr="000A0EE7" w:rsidTr="000A0EE7">
                    <w:trPr>
                      <w:tblCellSpacing w:w="0" w:type="dxa"/>
                    </w:trPr>
                    <w:tc>
                      <w:tcPr>
                        <w:tcW w:w="390" w:type="dxa"/>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247650" cy="285750"/>
                              <wp:effectExtent l="19050" t="0" r="0" b="0"/>
                              <wp:docPr id="122" name="Imagen 122" descr="https://www.bves.com.sv/images/esquinas/esq_sin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bves.com.sv/images/esquinas/esq_sin_1.gif"/>
                                      <pic:cNvPicPr>
                                        <a:picLocks noChangeAspect="1" noChangeArrowheads="1"/>
                                      </pic:cNvPicPr>
                                    </pic:nvPicPr>
                                    <pic:blipFill>
                                      <a:blip r:embed="rId44"/>
                                      <a:srcRect/>
                                      <a:stretch>
                                        <a:fillRect/>
                                      </a:stretch>
                                    </pic:blipFill>
                                    <pic:spPr bwMode="auto">
                                      <a:xfrm>
                                        <a:off x="0" y="0"/>
                                        <a:ext cx="247650" cy="285750"/>
                                      </a:xfrm>
                                      <a:prstGeom prst="rect">
                                        <a:avLst/>
                                      </a:prstGeom>
                                      <a:noFill/>
                                      <a:ln w="9525">
                                        <a:noFill/>
                                        <a:miter lim="800000"/>
                                        <a:headEnd/>
                                        <a:tailEnd/>
                                      </a:ln>
                                    </pic:spPr>
                                  </pic:pic>
                                </a:graphicData>
                              </a:graphic>
                            </wp:inline>
                          </w:drawing>
                        </w:r>
                      </w:p>
                    </w:tc>
                    <w:tc>
                      <w:tcPr>
                        <w:tcW w:w="7560" w:type="dxa"/>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t> </w:t>
                        </w:r>
                      </w:p>
                    </w:tc>
                    <w:tc>
                      <w:tcPr>
                        <w:tcW w:w="540" w:type="dxa"/>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342900" cy="285750"/>
                              <wp:effectExtent l="19050" t="0" r="0" b="0"/>
                              <wp:docPr id="123" name="Imagen 123" descr="https://www.bves.com.sv/images/esquinas/esq_sin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bves.com.sv/images/esquinas/esq_sin_2.gif"/>
                                      <pic:cNvPicPr>
                                        <a:picLocks noChangeAspect="1" noChangeArrowheads="1"/>
                                      </pic:cNvPicPr>
                                    </pic:nvPicPr>
                                    <pic:blipFill>
                                      <a:blip r:embed="rId45"/>
                                      <a:srcRect/>
                                      <a:stretch>
                                        <a:fillRect/>
                                      </a:stretch>
                                    </pic:blipFill>
                                    <pic:spPr bwMode="auto">
                                      <a:xfrm>
                                        <a:off x="0" y="0"/>
                                        <a:ext cx="342900" cy="285750"/>
                                      </a:xfrm>
                                      <a:prstGeom prst="rect">
                                        <a:avLst/>
                                      </a:prstGeom>
                                      <a:noFill/>
                                      <a:ln w="9525">
                                        <a:noFill/>
                                        <a:miter lim="800000"/>
                                        <a:headEnd/>
                                        <a:tailEnd/>
                                      </a:ln>
                                    </pic:spPr>
                                  </pic:pic>
                                </a:graphicData>
                              </a:graphic>
                            </wp:inline>
                          </w:drawing>
                        </w:r>
                      </w:p>
                    </w:tc>
                  </w:tr>
                </w:tbl>
                <w:p w:rsidR="000A0EE7" w:rsidRPr="000A0EE7" w:rsidRDefault="000A0EE7" w:rsidP="000A0EE7">
                  <w:pPr>
                    <w:spacing w:after="0" w:line="240" w:lineRule="auto"/>
                    <w:rPr>
                      <w:rFonts w:ascii="Verdana" w:eastAsia="Times New Roman" w:hAnsi="Verdana" w:cs="Times New Roman"/>
                      <w:vanish/>
                      <w:sz w:val="17"/>
                      <w:szCs w:val="17"/>
                    </w:rPr>
                  </w:pPr>
                </w:p>
                <w:tbl>
                  <w:tblPr>
                    <w:tblW w:w="8490" w:type="dxa"/>
                    <w:tblCellSpacing w:w="0" w:type="dxa"/>
                    <w:tblCellMar>
                      <w:left w:w="0" w:type="dxa"/>
                      <w:right w:w="0" w:type="dxa"/>
                    </w:tblCellMar>
                    <w:tblLook w:val="04A0"/>
                  </w:tblPr>
                  <w:tblGrid>
                    <w:gridCol w:w="362"/>
                    <w:gridCol w:w="8128"/>
                  </w:tblGrid>
                  <w:tr w:rsidR="000A0EE7" w:rsidRPr="000A0EE7" w:rsidTr="000A0EE7">
                    <w:trPr>
                      <w:tblCellSpacing w:w="0" w:type="dxa"/>
                    </w:trPr>
                    <w:tc>
                      <w:tcPr>
                        <w:tcW w:w="345" w:type="dxa"/>
                        <w:vAlign w:val="center"/>
                        <w:hideMark/>
                      </w:tcPr>
                      <w:p w:rsidR="000A0EE7" w:rsidRPr="000A0EE7" w:rsidRDefault="000A0EE7" w:rsidP="000A0EE7">
                        <w:pPr>
                          <w:spacing w:after="0" w:line="240" w:lineRule="auto"/>
                          <w:rPr>
                            <w:rFonts w:ascii="Verdana" w:eastAsia="Times New Roman" w:hAnsi="Verdana" w:cs="Times New Roman"/>
                            <w:sz w:val="17"/>
                            <w:szCs w:val="17"/>
                          </w:rPr>
                        </w:pPr>
                        <w:r w:rsidRPr="000A0EE7">
                          <w:rPr>
                            <w:rFonts w:ascii="Verdana" w:eastAsia="Times New Roman" w:hAnsi="Verdana" w:cs="Times New Roman"/>
                            <w:sz w:val="17"/>
                            <w:szCs w:val="17"/>
                          </w:rPr>
                          <w:t> </w:t>
                        </w:r>
                      </w:p>
                    </w:tc>
                    <w:tc>
                      <w:tcPr>
                        <w:tcW w:w="7755" w:type="dxa"/>
                        <w:hideMark/>
                      </w:tcPr>
                      <w:tbl>
                        <w:tblPr>
                          <w:tblW w:w="5000" w:type="pct"/>
                          <w:tblCellSpacing w:w="52" w:type="dxa"/>
                          <w:tblCellMar>
                            <w:top w:w="75" w:type="dxa"/>
                            <w:left w:w="75" w:type="dxa"/>
                            <w:bottom w:w="75" w:type="dxa"/>
                            <w:right w:w="75" w:type="dxa"/>
                          </w:tblCellMar>
                          <w:tblLook w:val="04A0"/>
                        </w:tblPr>
                        <w:tblGrid>
                          <w:gridCol w:w="8128"/>
                        </w:tblGrid>
                        <w:tr w:rsidR="000A0EE7" w:rsidRPr="000A0EE7">
                          <w:trPr>
                            <w:tblCellSpacing w:w="52" w:type="dxa"/>
                          </w:trPr>
                          <w:tc>
                            <w:tcPr>
                              <w:tcW w:w="5000" w:type="pct"/>
                              <w:shd w:val="clear" w:color="auto" w:fill="F8EFD3"/>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24" name="Imagen 124" descr="https://www.bves.com.sv/images/bot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bves.com.sv/images/boton01.jpg"/>
                                            <pic:cNvPicPr>
                                              <a:picLocks noChangeAspect="1" noChangeArrowheads="1"/>
                                            </pic:cNvPicPr>
                                          </pic:nvPicPr>
                                          <pic:blipFill>
                                            <a:blip r:embed="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SOLICITUD DE INSCRIPCIÓN DE ACCIONES, ELABORADA EN FORMULARIO PROPORCIONADO POR LA BOLSA DE VALORES.</w:t>
                              </w:r>
                            </w:p>
                          </w:tc>
                        </w:tr>
                        <w:tr w:rsidR="000A0EE7" w:rsidRPr="000A0EE7">
                          <w:trPr>
                            <w:tblCellSpacing w:w="52" w:type="dxa"/>
                          </w:trPr>
                          <w:tc>
                            <w:tcPr>
                              <w:tcW w:w="0" w:type="auto"/>
                              <w:shd w:val="clear" w:color="auto" w:fill="EAC450"/>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25" name="Imagen 125" descr="https://www.bves.com.sv/images/boto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bves.com.sv/images/boton02.jpg"/>
                                            <pic:cNvPicPr>
                                              <a:picLocks noChangeAspect="1" noChangeArrowheads="1"/>
                                            </pic:cNvPicPr>
                                          </pic:nvPicPr>
                                          <pic:blipFill>
                                            <a:blip r:embed="rId1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 xml:space="preserve">CERTIFICACION DE PUNTO DE </w:t>
                              </w:r>
                              <w:r w:rsidRPr="000A0EE7">
                                <w:rPr>
                                  <w:rFonts w:ascii="Verdana" w:eastAsia="Times New Roman" w:hAnsi="Verdana" w:cs="Times New Roman"/>
                                  <w:b/>
                                  <w:sz w:val="17"/>
                                  <w:szCs w:val="17"/>
                                  <w:lang w:val="es-ES"/>
                                </w:rPr>
                                <w:t>ACTA DE JUNTA GENERAL EXTRAORDINARIA DE ACCIONISTAS EN LA QUE SE ACORDO AUMENTAR EL CAPITAL</w:t>
                              </w:r>
                            </w:p>
                          </w:tc>
                        </w:tr>
                        <w:tr w:rsidR="000A0EE7" w:rsidRPr="000A0EE7">
                          <w:trPr>
                            <w:tblCellSpacing w:w="52" w:type="dxa"/>
                          </w:trPr>
                          <w:tc>
                            <w:tcPr>
                              <w:tcW w:w="0" w:type="auto"/>
                              <w:shd w:val="clear" w:color="auto" w:fill="F8EFD3"/>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26" name="Imagen 126" descr="https://www.bves.com.sv/images/boton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bves.com.sv/images/boton03.jpg"/>
                                            <pic:cNvPicPr>
                                              <a:picLocks noChangeAspect="1" noChangeArrowheads="1"/>
                                            </pic:cNvPicPr>
                                          </pic:nvPicPr>
                                          <pic:blipFill>
                                            <a:blip r:embed="rId4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FOTOCOPIA CERTIFICADA DE LA ESCRITURA PUBLICA DE AUMENTO DE CAPITAL INSCRITA EN EL REGISTRO DE COMERCIO, EN CASO QUE EL AUMENTO SEA EN LA PARTE FIJA.</w:t>
                              </w:r>
                            </w:p>
                          </w:tc>
                        </w:tr>
                        <w:tr w:rsidR="000A0EE7" w:rsidRPr="000A0EE7">
                          <w:trPr>
                            <w:tblCellSpacing w:w="52" w:type="dxa"/>
                          </w:trPr>
                          <w:tc>
                            <w:tcPr>
                              <w:tcW w:w="0" w:type="auto"/>
                              <w:shd w:val="clear" w:color="auto" w:fill="EAC450"/>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27" name="Imagen 127" descr="https://www.bves.com.sv/images/boton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bves.com.sv/images/boton04.jpg"/>
                                            <pic:cNvPicPr>
                                              <a:picLocks noChangeAspect="1" noChangeArrowheads="1"/>
                                            </pic:cNvPicPr>
                                          </pic:nvPicPr>
                                          <pic:blipFill>
                                            <a:blip r:embed="rId4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CERTIFICACIÓN DEL ASIENTO EN EL LIBRO DE REGISTROS DEL EMISOR DEL AUMENTO DE CAPITAL EN CASO QUE EL AUMENTO SEA EN LA PARTE VARIABLE.</w:t>
                              </w:r>
                            </w:p>
                          </w:tc>
                        </w:tr>
                        <w:tr w:rsidR="000A0EE7" w:rsidRPr="000A0EE7">
                          <w:trPr>
                            <w:tblCellSpacing w:w="52" w:type="dxa"/>
                          </w:trPr>
                          <w:tc>
                            <w:tcPr>
                              <w:tcW w:w="0" w:type="auto"/>
                              <w:shd w:val="clear" w:color="auto" w:fill="F8EFD3"/>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28" name="Imagen 128" descr="https://www.bves.com.sv/images/bot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bves.com.sv/images/boton05.jpg"/>
                                            <pic:cNvPicPr>
                                              <a:picLocks noChangeAspect="1" noChangeArrowheads="1"/>
                                            </pic:cNvPicPr>
                                          </pic:nvPicPr>
                                          <pic:blipFill>
                                            <a:blip r:embed="rId4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MUESTRA SIN VALOR DEL CERTIFICADO DE ACCIONES A EMITIR.</w:t>
                              </w:r>
                            </w:p>
                          </w:tc>
                        </w:tr>
                        <w:tr w:rsidR="000A0EE7" w:rsidRPr="000A0EE7">
                          <w:trPr>
                            <w:tblCellSpacing w:w="52" w:type="dxa"/>
                          </w:trPr>
                          <w:tc>
                            <w:tcPr>
                              <w:tcW w:w="0" w:type="auto"/>
                              <w:shd w:val="clear" w:color="auto" w:fill="EAC450"/>
                              <w:vAlign w:val="center"/>
                              <w:hideMark/>
                            </w:tcPr>
                            <w:p w:rsidR="000A0EE7" w:rsidRPr="000A0EE7" w:rsidRDefault="000A0EE7" w:rsidP="000A0EE7">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114300" cy="114300"/>
                                    <wp:effectExtent l="19050" t="0" r="0" b="0"/>
                                    <wp:docPr id="129" name="Imagen 129" descr="https://www.bves.com.sv/images/boton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bves.com.sv/images/boton06.jpg"/>
                                            <pic:cNvPicPr>
                                              <a:picLocks noChangeAspect="1" noChangeArrowheads="1"/>
                                            </pic:cNvPicPr>
                                          </pic:nvPicPr>
                                          <pic:blipFill>
                                            <a:blip r:embed="rId4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rPr>
                                <w:t> </w:t>
                              </w:r>
                              <w:r w:rsidRPr="000A0EE7">
                                <w:rPr>
                                  <w:rFonts w:ascii="Verdana" w:eastAsia="Times New Roman" w:hAnsi="Verdana" w:cs="Times New Roman"/>
                                  <w:sz w:val="17"/>
                                  <w:szCs w:val="17"/>
                                </w:rPr>
                                <w:t>LISTADO DE ACCIONISTAS ACTUALIZADO.</w:t>
                              </w:r>
                            </w:p>
                          </w:tc>
                        </w:tr>
                        <w:tr w:rsidR="000A0EE7" w:rsidRPr="000A0EE7">
                          <w:trPr>
                            <w:tblCellSpacing w:w="52" w:type="dxa"/>
                          </w:trPr>
                          <w:tc>
                            <w:tcPr>
                              <w:tcW w:w="0" w:type="auto"/>
                              <w:shd w:val="clear" w:color="auto" w:fill="F8EFD3"/>
                              <w:vAlign w:val="center"/>
                              <w:hideMark/>
                            </w:tcPr>
                            <w:p w:rsidR="000A0EE7" w:rsidRPr="000A0EE7" w:rsidRDefault="000A0EE7" w:rsidP="000A0EE7">
                              <w:pPr>
                                <w:spacing w:after="0" w:line="240" w:lineRule="auto"/>
                                <w:rPr>
                                  <w:rFonts w:ascii="Verdana" w:eastAsia="Times New Roman" w:hAnsi="Verdana" w:cs="Times New Roman"/>
                                  <w:sz w:val="17"/>
                                  <w:szCs w:val="17"/>
                                  <w:lang w:val="es-ES"/>
                                </w:rPr>
                              </w:pPr>
                              <w:r>
                                <w:rPr>
                                  <w:rFonts w:ascii="Verdana" w:eastAsia="Times New Roman" w:hAnsi="Verdana" w:cs="Times New Roman"/>
                                  <w:noProof/>
                                  <w:sz w:val="17"/>
                                  <w:szCs w:val="17"/>
                                </w:rPr>
                                <w:drawing>
                                  <wp:inline distT="0" distB="0" distL="0" distR="0">
                                    <wp:extent cx="114300" cy="114300"/>
                                    <wp:effectExtent l="19050" t="0" r="0" b="0"/>
                                    <wp:docPr id="130" name="Imagen 130" descr="https://www.bves.com.sv/images/boton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bves.com.sv/images/boton07.jpg"/>
                                            <pic:cNvPicPr>
                                              <a:picLocks noChangeAspect="1" noChangeArrowheads="1"/>
                                            </pic:cNvPicPr>
                                          </pic:nvPicPr>
                                          <pic:blipFill>
                                            <a:blip r:embed="rId50"/>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PROYECTO DE PROSPECTO QUE CONTENGA LA SIGUIENTE INFORMACIÓN FINANCIERA Y LEGAL:</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a)</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Estados Financieros correspondientes a los últimos tres años, auditados por firmas registradas en la Superintendencia de Valores, el cual incluya dictamen y notas.</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b)</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En caso que la sociedad emisora sea controlante de un 51% de las acciones de otras sociedades, dichos estados financieros, dictamen y notas deberán ser consolidados por firmas registradas en la Superintendencia de Valores.</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c)</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Estados financieros de la sociedad controlante, en su caso.</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d)</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Dictamen completo de la clasificación de riesgo de la emisión o del emisor.</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e)</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Estados financieros de comprobación del emisor de por lo menos dos meses anteriores a la fecha de presentación de la solicitud.</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f)</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Información sobre el historial y datos del emisor, así como toda la información pertinente sobre la emisión de acciones. En caso que el emisor pertenezca a un grupo empresarial también deberá incluir en el prospecto, las denominaciones de las siguientes sociedades:</w:t>
                              </w:r>
                              <w:r w:rsidRPr="000A0EE7">
                                <w:rPr>
                                  <w:rFonts w:ascii="Verdana" w:eastAsia="Times New Roman" w:hAnsi="Verdana" w:cs="Times New Roman"/>
                                  <w:sz w:val="17"/>
                                  <w:szCs w:val="17"/>
                                  <w:lang w:val="es-ES"/>
                                </w:rPr>
                                <w:br/>
                                <w:t>La controlante de la emisora;</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t>Las vinculantes y vinculadas con la emisora;</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t>Las filiales del emisor; y</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t>Las de otras sociedades que formen parte del grupo empresarial.</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br/>
                              </w:r>
                              <w:r w:rsidRPr="000A0EE7">
                                <w:rPr>
                                  <w:rFonts w:ascii="Verdana" w:eastAsia="Times New Roman" w:hAnsi="Verdana" w:cs="Times New Roman"/>
                                  <w:sz w:val="17"/>
                                  <w:szCs w:val="17"/>
                                  <w:lang w:val="es-ES"/>
                                </w:rPr>
                                <w:br/>
                              </w:r>
                              <w:r w:rsidRPr="000A0EE7">
                                <w:rPr>
                                  <w:rFonts w:ascii="Verdana" w:eastAsia="Times New Roman" w:hAnsi="Verdana" w:cs="Times New Roman"/>
                                  <w:b/>
                                  <w:bCs/>
                                  <w:sz w:val="17"/>
                                  <w:szCs w:val="17"/>
                                  <w:lang w:val="es-ES"/>
                                </w:rPr>
                                <w:t>g)</w:t>
                              </w:r>
                              <w:r w:rsidRPr="000A0EE7">
                                <w:rPr>
                                  <w:rFonts w:ascii="Verdana" w:eastAsia="Times New Roman" w:hAnsi="Verdana" w:cs="Times New Roman"/>
                                  <w:sz w:val="17"/>
                                  <w:lang w:val="es-ES"/>
                                </w:rPr>
                                <w:t> </w:t>
                              </w:r>
                              <w:r w:rsidRPr="000A0EE7">
                                <w:rPr>
                                  <w:rFonts w:ascii="Verdana" w:eastAsia="Times New Roman" w:hAnsi="Verdana" w:cs="Times New Roman"/>
                                  <w:sz w:val="17"/>
                                  <w:szCs w:val="17"/>
                                  <w:lang w:val="es-ES"/>
                                </w:rPr>
                                <w:t>También deberá incluirse la nómina de la Junta Directiva del emisor, con los datos de inscripción en el Registro de Comercio, el plazo de la misma y un breve curriculum vitae del presidente y de los principales ejecutivos. Igual obligación se tendrá con el Gerente General y/o Director Ejecutivo del emisor.</w:t>
                              </w:r>
                            </w:p>
                          </w:tc>
                        </w:tr>
                      </w:tbl>
                      <w:p w:rsidR="000A0EE7" w:rsidRPr="000A0EE7" w:rsidRDefault="000A0EE7" w:rsidP="000A0EE7">
                        <w:pPr>
                          <w:spacing w:after="0" w:line="240" w:lineRule="auto"/>
                          <w:rPr>
                            <w:rFonts w:ascii="Verdana" w:eastAsia="Times New Roman" w:hAnsi="Verdana" w:cs="Times New Roman"/>
                            <w:sz w:val="17"/>
                            <w:szCs w:val="17"/>
                            <w:lang w:val="es-ES"/>
                          </w:rPr>
                        </w:pPr>
                      </w:p>
                    </w:tc>
                  </w:tr>
                </w:tbl>
                <w:p w:rsidR="000A0EE7" w:rsidRPr="000A0EE7" w:rsidRDefault="000A0EE7" w:rsidP="000A0EE7">
                  <w:pPr>
                    <w:spacing w:after="0" w:line="240" w:lineRule="auto"/>
                    <w:rPr>
                      <w:rFonts w:ascii="Verdana" w:eastAsia="Times New Roman" w:hAnsi="Verdana" w:cs="Times New Roman"/>
                      <w:sz w:val="17"/>
                      <w:szCs w:val="17"/>
                      <w:lang w:val="es-ES"/>
                    </w:rPr>
                  </w:pPr>
                </w:p>
              </w:tc>
            </w:tr>
          </w:tbl>
          <w:p w:rsidR="000A0EE7" w:rsidRPr="000A0EE7" w:rsidRDefault="000A0EE7" w:rsidP="000A0EE7">
            <w:pPr>
              <w:spacing w:after="0" w:line="240" w:lineRule="auto"/>
              <w:rPr>
                <w:rFonts w:ascii="Verdana" w:eastAsia="Times New Roman" w:hAnsi="Verdana" w:cs="Times New Roman"/>
                <w:sz w:val="17"/>
                <w:szCs w:val="17"/>
                <w:lang w:val="es-ES"/>
              </w:rPr>
            </w:pPr>
          </w:p>
        </w:tc>
        <w:tc>
          <w:tcPr>
            <w:tcW w:w="0" w:type="auto"/>
            <w:shd w:val="clear" w:color="auto" w:fill="EAC450"/>
            <w:vAlign w:val="center"/>
            <w:hideMark/>
          </w:tcPr>
          <w:p w:rsidR="000A0EE7" w:rsidRPr="000A0EE7" w:rsidRDefault="000A0EE7" w:rsidP="000A0EE7">
            <w:pPr>
              <w:spacing w:after="0" w:line="240" w:lineRule="auto"/>
              <w:rPr>
                <w:rFonts w:ascii="Times New Roman" w:eastAsia="Times New Roman" w:hAnsi="Times New Roman" w:cs="Times New Roman"/>
                <w:sz w:val="20"/>
                <w:szCs w:val="20"/>
                <w:lang w:val="es-ES"/>
              </w:rPr>
            </w:pPr>
          </w:p>
        </w:tc>
      </w:tr>
    </w:tbl>
    <w:p w:rsidR="00B72D6F" w:rsidRDefault="00B72D6F">
      <w:pPr>
        <w:rPr>
          <w:lang w:val="es-ES"/>
        </w:rPr>
      </w:pPr>
    </w:p>
    <w:p w:rsidR="00890D90" w:rsidRDefault="00890D90" w:rsidP="00890D90">
      <w:pPr>
        <w:pStyle w:val="Ttulo2"/>
        <w:rPr>
          <w:lang w:val="es-ES"/>
        </w:rPr>
      </w:pPr>
    </w:p>
    <w:p w:rsidR="00890D90" w:rsidRDefault="00890D90" w:rsidP="00890D90">
      <w:pPr>
        <w:pStyle w:val="Ttulo2"/>
        <w:rPr>
          <w:lang w:val="es-ES"/>
        </w:rPr>
      </w:pPr>
      <w:r>
        <w:rPr>
          <w:lang w:val="es-ES"/>
        </w:rPr>
        <w:lastRenderedPageBreak/>
        <w:t>SUPERINTENDENCIA DEL SISTEMA FINANCIERO</w:t>
      </w:r>
    </w:p>
    <w:p w:rsidR="00890D90" w:rsidRPr="00890D90" w:rsidRDefault="00890D90" w:rsidP="00890D90">
      <w:pPr>
        <w:shd w:val="clear" w:color="auto" w:fill="FFFFFF"/>
        <w:spacing w:after="210" w:line="480" w:lineRule="atLeast"/>
        <w:ind w:left="-225" w:right="-225"/>
        <w:outlineLvl w:val="1"/>
        <w:rPr>
          <w:rFonts w:ascii="Helvetica" w:eastAsia="Times New Roman" w:hAnsi="Helvetica" w:cs="Helvetica"/>
          <w:color w:val="0269B3"/>
          <w:sz w:val="35"/>
          <w:szCs w:val="35"/>
        </w:rPr>
      </w:pPr>
      <w:r w:rsidRPr="00890D90">
        <w:rPr>
          <w:rFonts w:ascii="Helvetica" w:eastAsia="Times New Roman" w:hAnsi="Helvetica" w:cs="Helvetica"/>
          <w:color w:val="0269B3"/>
          <w:sz w:val="35"/>
          <w:szCs w:val="35"/>
        </w:rPr>
        <w:t>Historia</w:t>
      </w:r>
    </w:p>
    <w:p w:rsidR="00890D90" w:rsidRPr="00890D90" w:rsidRDefault="00890D90" w:rsidP="00890D90">
      <w:pPr>
        <w:shd w:val="clear" w:color="auto" w:fill="F5F5F5"/>
        <w:spacing w:after="0" w:line="240" w:lineRule="atLeast"/>
        <w:ind w:left="225"/>
        <w:rPr>
          <w:rFonts w:ascii="Helvetica" w:eastAsia="Times New Roman" w:hAnsi="Helvetica" w:cs="Helvetica"/>
          <w:color w:val="000000"/>
          <w:sz w:val="18"/>
          <w:szCs w:val="18"/>
        </w:rPr>
      </w:pPr>
      <w:r>
        <w:rPr>
          <w:rFonts w:ascii="Helvetica" w:eastAsia="Times New Roman" w:hAnsi="Helvetica" w:cs="Helvetica"/>
          <w:noProof/>
          <w:color w:val="0269B3"/>
          <w:sz w:val="18"/>
          <w:szCs w:val="18"/>
        </w:rPr>
        <w:drawing>
          <wp:inline distT="0" distB="0" distL="0" distR="0">
            <wp:extent cx="190500" cy="190500"/>
            <wp:effectExtent l="19050" t="0" r="0" b="0"/>
            <wp:docPr id="145" name="Imagen 145" descr="PDF">
              <a:hlinkClick xmlns:a="http://schemas.openxmlformats.org/drawingml/2006/main" r:id="rId51"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DF">
                      <a:hlinkClick r:id="rId51" tooltip="&quot;PDF&quot;"/>
                    </pic:cNvPr>
                    <pic:cNvPicPr>
                      <a:picLocks noChangeAspect="1" noChangeArrowheads="1"/>
                    </pic:cNvPicPr>
                  </pic:nvPicPr>
                  <pic:blipFill>
                    <a:blip r:embed="rId5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Helvetica" w:eastAsia="Times New Roman" w:hAnsi="Helvetica" w:cs="Helvetica"/>
          <w:noProof/>
          <w:color w:val="0269B3"/>
          <w:sz w:val="18"/>
          <w:szCs w:val="18"/>
        </w:rPr>
        <w:drawing>
          <wp:inline distT="0" distB="0" distL="0" distR="0">
            <wp:extent cx="190500" cy="190500"/>
            <wp:effectExtent l="19050" t="0" r="0" b="0"/>
            <wp:docPr id="146" name="Imagen 146" descr="Imprimir">
              <a:hlinkClick xmlns:a="http://schemas.openxmlformats.org/drawingml/2006/main" r:id="rId53"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primir">
                      <a:hlinkClick r:id="rId53" tooltip="&quot;Imprimir&quot;"/>
                    </pic:cNvPr>
                    <pic:cNvPicPr>
                      <a:picLocks noChangeAspect="1" noChangeArrowheads="1"/>
                    </pic:cNvPicPr>
                  </pic:nvPicPr>
                  <pic:blipFill>
                    <a:blip r:embed="rId5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Helvetica" w:eastAsia="Times New Roman" w:hAnsi="Helvetica" w:cs="Helvetica"/>
          <w:noProof/>
          <w:color w:val="0269B3"/>
          <w:sz w:val="18"/>
          <w:szCs w:val="18"/>
        </w:rPr>
        <w:drawing>
          <wp:inline distT="0" distB="0" distL="0" distR="0">
            <wp:extent cx="190500" cy="190500"/>
            <wp:effectExtent l="19050" t="0" r="0" b="0"/>
            <wp:docPr id="147" name="Imagen 147" descr="E-mail">
              <a:hlinkClick xmlns:a="http://schemas.openxmlformats.org/drawingml/2006/main" r:id="rId55"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E-mail">
                      <a:hlinkClick r:id="rId55" tooltip="&quot;E-mail&quot;"/>
                    </pic:cNvPr>
                    <pic:cNvPicPr>
                      <a:picLocks noChangeAspect="1" noChangeArrowheads="1"/>
                    </pic:cNvPicPr>
                  </pic:nvPicPr>
                  <pic:blipFill>
                    <a:blip r:embed="rId56"/>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90D90" w:rsidRPr="00890D90" w:rsidRDefault="00890D90" w:rsidP="00890D90">
      <w:pPr>
        <w:shd w:val="clear" w:color="auto" w:fill="F5F5F5"/>
        <w:spacing w:after="150" w:line="195" w:lineRule="atLeast"/>
        <w:rPr>
          <w:rFonts w:ascii="Helvetica" w:eastAsia="Times New Roman" w:hAnsi="Helvetica" w:cs="Helvetica"/>
          <w:i/>
          <w:iCs/>
          <w:color w:val="444444"/>
          <w:sz w:val="15"/>
          <w:szCs w:val="15"/>
          <w:lang w:val="es-ES"/>
        </w:rPr>
      </w:pPr>
      <w:r w:rsidRPr="00890D90">
        <w:rPr>
          <w:rFonts w:ascii="Helvetica" w:eastAsia="Times New Roman" w:hAnsi="Helvetica" w:cs="Helvetica"/>
          <w:i/>
          <w:iCs/>
          <w:color w:val="444444"/>
          <w:sz w:val="15"/>
          <w:lang w:val="es-ES"/>
        </w:rPr>
        <w:t>Escrito por AdministratorLunes, 11 de Julio de 2011 10:24</w:t>
      </w:r>
    </w:p>
    <w:tbl>
      <w:tblPr>
        <w:tblW w:w="4750" w:type="pct"/>
        <w:jc w:val="center"/>
        <w:tblCellSpacing w:w="0" w:type="dxa"/>
        <w:tblCellMar>
          <w:left w:w="0" w:type="dxa"/>
          <w:right w:w="0" w:type="dxa"/>
        </w:tblCellMar>
        <w:tblLook w:val="04A0"/>
      </w:tblPr>
      <w:tblGrid>
        <w:gridCol w:w="8892"/>
      </w:tblGrid>
      <w:tr w:rsidR="00890D90" w:rsidRPr="00890D90" w:rsidTr="00890D90">
        <w:trPr>
          <w:tblCellSpacing w:w="0" w:type="dxa"/>
          <w:jc w:val="center"/>
        </w:trPr>
        <w:tc>
          <w:tcPr>
            <w:tcW w:w="0" w:type="auto"/>
            <w:vAlign w:val="center"/>
            <w:hideMark/>
          </w:tcPr>
          <w:p w:rsidR="00890D90" w:rsidRPr="00890D90" w:rsidRDefault="00890D90" w:rsidP="00890D90">
            <w:pPr>
              <w:spacing w:before="150" w:after="225" w:line="270" w:lineRule="atLeast"/>
              <w:rPr>
                <w:rFonts w:ascii="Verdana" w:eastAsia="Times New Roman" w:hAnsi="Verdana" w:cs="Times New Roman"/>
                <w:color w:val="000000"/>
                <w:sz w:val="15"/>
                <w:szCs w:val="15"/>
                <w:lang w:val="es-ES"/>
              </w:rPr>
            </w:pPr>
            <w:r w:rsidRPr="00890D90">
              <w:rPr>
                <w:rFonts w:ascii="Verdana" w:eastAsia="Times New Roman" w:hAnsi="Verdana" w:cs="Times New Roman"/>
                <w:color w:val="000000"/>
                <w:sz w:val="15"/>
                <w:lang w:val="es-ES"/>
              </w:rPr>
              <w:t>La Asamblea Legislativa aprobó, mediante Decreto Legislativo No.592 de fecha 14 de enero 2011, la nueva Ley de Supervisión y Regulación del Sistema Financiero, marco legal que regirá a la Superintendencia del Sistema Financiero como ente supervisor único, que integra las atribuciones de las Superintendencias del Sistema Financiero, Pensiones y Valores.</w:t>
            </w:r>
          </w:p>
          <w:p w:rsidR="00890D90" w:rsidRPr="00890D90" w:rsidRDefault="00890D90" w:rsidP="00890D90">
            <w:pPr>
              <w:spacing w:before="150" w:after="225" w:line="270" w:lineRule="atLeast"/>
              <w:rPr>
                <w:rFonts w:ascii="Verdana" w:eastAsia="Times New Roman" w:hAnsi="Verdana" w:cs="Times New Roman"/>
                <w:color w:val="000000"/>
                <w:sz w:val="15"/>
                <w:szCs w:val="15"/>
                <w:lang w:val="es-ES"/>
              </w:rPr>
            </w:pPr>
            <w:r w:rsidRPr="00890D90">
              <w:rPr>
                <w:rFonts w:ascii="Verdana" w:eastAsia="Times New Roman" w:hAnsi="Verdana" w:cs="Times New Roman"/>
                <w:color w:val="000000"/>
                <w:sz w:val="15"/>
                <w:lang w:val="es-ES"/>
              </w:rPr>
              <w:t>El objetivo de esta Superintendencia es preservar la estabilidad del sistema financiero, y velar por la eficiencia y transparencia del mismo; todo en concordancia con las mejores prácticas internacionales.</w:t>
            </w:r>
          </w:p>
          <w:p w:rsidR="00890D90" w:rsidRPr="00890D90" w:rsidRDefault="00890D90" w:rsidP="00890D90">
            <w:pPr>
              <w:spacing w:before="150" w:after="225" w:line="270" w:lineRule="atLeast"/>
              <w:rPr>
                <w:rFonts w:ascii="Verdana" w:eastAsia="Times New Roman" w:hAnsi="Verdana" w:cs="Times New Roman"/>
                <w:color w:val="000000"/>
                <w:sz w:val="15"/>
                <w:szCs w:val="15"/>
                <w:lang w:val="es-ES"/>
              </w:rPr>
            </w:pPr>
            <w:r w:rsidRPr="00890D90">
              <w:rPr>
                <w:rFonts w:ascii="Verdana" w:eastAsia="Times New Roman" w:hAnsi="Verdana" w:cs="Times New Roman"/>
                <w:color w:val="000000"/>
                <w:sz w:val="15"/>
                <w:lang w:val="es-ES"/>
              </w:rPr>
              <w:t>Este nuevo ente tiene la responsabilidad de supervisar la actividad individual y consolidada de las instituciones integrantes del sistema: bancos, bancos cooperativos, seguros, sociedades de ahorro y crédito, valores, pensiones, conglomerados financieros, Buros de Créditos, las Bolsas de Productos, el Régimen de Riesgos Profesionales del ISSS, entre otros, bajo un nuevo marco normativo. Dicho ente supervisor está integrado al Banco Central de Reserva, con personalidad jurídica y patrimonio propio, de duración indefinida, con autonomía administrativa y presupuestaria para el ejercicio de las atribuciones y deberes que le confiere la Ley.</w:t>
            </w:r>
          </w:p>
          <w:p w:rsidR="00890D90" w:rsidRPr="00890D90" w:rsidRDefault="00890D90" w:rsidP="00890D90">
            <w:pPr>
              <w:spacing w:before="150" w:after="225" w:line="270" w:lineRule="atLeast"/>
              <w:rPr>
                <w:rFonts w:ascii="Verdana" w:eastAsia="Times New Roman" w:hAnsi="Verdana" w:cs="Times New Roman"/>
                <w:color w:val="000000"/>
                <w:sz w:val="15"/>
                <w:szCs w:val="15"/>
                <w:lang w:val="es-ES"/>
              </w:rPr>
            </w:pPr>
            <w:r w:rsidRPr="00890D90">
              <w:rPr>
                <w:rFonts w:ascii="Verdana" w:eastAsia="Times New Roman" w:hAnsi="Verdana" w:cs="Times New Roman"/>
                <w:color w:val="000000"/>
                <w:sz w:val="15"/>
                <w:lang w:val="es-ES"/>
              </w:rPr>
              <w:t>La Superintendencia del Sistema Financiero tiene como competencia cumplir y hacer cumplir las leyes, reglamentos, normas técnicas y demás disposiciones legales aplicables al sistema financiero, monitorear preventivamente los riesgos de las instituciones integrantes, propiciar el funcionamiento eficiente, transparente y ordenado del sistema financiero, vigilar que las instituciones supervisadas realicen sus negocios, actos y operaciones de acuerdo a lo establecido en la legislación vigente, dando continuidad al eficiente trabajo de supervisión y regulación que anteriormente realizaban las Superintendencias del Sistema Financiero, Pensiones y Valores.</w:t>
            </w:r>
          </w:p>
          <w:p w:rsidR="00890D90" w:rsidRPr="00890D90" w:rsidRDefault="00890D90" w:rsidP="00890D90">
            <w:pPr>
              <w:spacing w:before="150" w:after="225" w:line="270" w:lineRule="atLeast"/>
              <w:rPr>
                <w:rFonts w:ascii="Verdana" w:eastAsia="Times New Roman" w:hAnsi="Verdana" w:cs="Times New Roman"/>
                <w:color w:val="000000"/>
                <w:sz w:val="15"/>
                <w:szCs w:val="15"/>
                <w:lang w:val="es-ES"/>
              </w:rPr>
            </w:pPr>
            <w:r w:rsidRPr="00890D90">
              <w:rPr>
                <w:rFonts w:ascii="Verdana" w:eastAsia="Times New Roman" w:hAnsi="Verdana" w:cs="Times New Roman"/>
                <w:color w:val="000000"/>
                <w:sz w:val="15"/>
                <w:lang w:val="es-ES"/>
              </w:rPr>
              <w:t>La Superintendencia del Sistema Financiero está conformada por un Consejo Directivo, por el Superintendente, nombrado por el Presidente de la República, por un periodo de cinco años, los 4 Superintendentes Adjuntos, nombrados por el Presidente de la República de ternas propuestas por el Consejo de Ministros para un período de 5 años, y por los funcionarios y empleados que la Superintendencia requiera.</w:t>
            </w:r>
          </w:p>
        </w:tc>
      </w:tr>
    </w:tbl>
    <w:p w:rsidR="00890D90" w:rsidRPr="000A0EE7" w:rsidRDefault="00890D90">
      <w:pPr>
        <w:rPr>
          <w:lang w:val="es-ES"/>
        </w:rPr>
      </w:pPr>
    </w:p>
    <w:sectPr w:rsidR="00890D90" w:rsidRPr="000A0EE7" w:rsidSect="00B72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4A70"/>
    <w:multiLevelType w:val="multilevel"/>
    <w:tmpl w:val="F52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DB2AB7"/>
    <w:multiLevelType w:val="multilevel"/>
    <w:tmpl w:val="481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265F7"/>
    <w:rsid w:val="000A0EE7"/>
    <w:rsid w:val="00890D90"/>
    <w:rsid w:val="00B72D6F"/>
    <w:rsid w:val="00F26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6F"/>
  </w:style>
  <w:style w:type="paragraph" w:styleId="Ttulo2">
    <w:name w:val="heading 2"/>
    <w:basedOn w:val="Normal"/>
    <w:link w:val="Ttulo2Car"/>
    <w:uiPriority w:val="9"/>
    <w:qFormat/>
    <w:rsid w:val="00890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65F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265F7"/>
    <w:rPr>
      <w:b/>
      <w:bCs/>
    </w:rPr>
  </w:style>
  <w:style w:type="character" w:customStyle="1" w:styleId="apple-converted-space">
    <w:name w:val="apple-converted-space"/>
    <w:basedOn w:val="Fuentedeprrafopredeter"/>
    <w:rsid w:val="00F265F7"/>
  </w:style>
  <w:style w:type="character" w:styleId="Hipervnculo">
    <w:name w:val="Hyperlink"/>
    <w:basedOn w:val="Fuentedeprrafopredeter"/>
    <w:uiPriority w:val="99"/>
    <w:unhideWhenUsed/>
    <w:rsid w:val="00F265F7"/>
    <w:rPr>
      <w:color w:val="0000FF"/>
      <w:u w:val="single"/>
    </w:rPr>
  </w:style>
  <w:style w:type="paragraph" w:styleId="Textodeglobo">
    <w:name w:val="Balloon Text"/>
    <w:basedOn w:val="Normal"/>
    <w:link w:val="TextodegloboCar"/>
    <w:uiPriority w:val="99"/>
    <w:semiHidden/>
    <w:unhideWhenUsed/>
    <w:rsid w:val="00F265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5F7"/>
    <w:rPr>
      <w:rFonts w:ascii="Tahoma" w:hAnsi="Tahoma" w:cs="Tahoma"/>
      <w:sz w:val="16"/>
      <w:szCs w:val="16"/>
    </w:rPr>
  </w:style>
  <w:style w:type="character" w:styleId="nfasis">
    <w:name w:val="Emphasis"/>
    <w:basedOn w:val="Fuentedeprrafopredeter"/>
    <w:uiPriority w:val="20"/>
    <w:qFormat/>
    <w:rsid w:val="00F265F7"/>
    <w:rPr>
      <w:i/>
      <w:iCs/>
    </w:rPr>
  </w:style>
  <w:style w:type="character" w:customStyle="1" w:styleId="style1">
    <w:name w:val="style1"/>
    <w:basedOn w:val="Fuentedeprrafopredeter"/>
    <w:rsid w:val="000A0EE7"/>
  </w:style>
  <w:style w:type="character" w:customStyle="1" w:styleId="Ttulo2Car">
    <w:name w:val="Título 2 Car"/>
    <w:basedOn w:val="Fuentedeprrafopredeter"/>
    <w:link w:val="Ttulo2"/>
    <w:uiPriority w:val="9"/>
    <w:rsid w:val="00890D90"/>
    <w:rPr>
      <w:rFonts w:ascii="Times New Roman" w:eastAsia="Times New Roman" w:hAnsi="Times New Roman" w:cs="Times New Roman"/>
      <w:b/>
      <w:bCs/>
      <w:sz w:val="36"/>
      <w:szCs w:val="36"/>
    </w:rPr>
  </w:style>
  <w:style w:type="paragraph" w:customStyle="1" w:styleId="buttonheading">
    <w:name w:val="buttonheading"/>
    <w:basedOn w:val="Normal"/>
    <w:rsid w:val="00890D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info">
    <w:name w:val="articleinfo"/>
    <w:basedOn w:val="Normal"/>
    <w:rsid w:val="00890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atedby">
    <w:name w:val="createdby"/>
    <w:basedOn w:val="Fuentedeprrafopredeter"/>
    <w:rsid w:val="00890D90"/>
  </w:style>
  <w:style w:type="character" w:customStyle="1" w:styleId="createdate">
    <w:name w:val="createdate"/>
    <w:basedOn w:val="Fuentedeprrafopredeter"/>
    <w:rsid w:val="00890D90"/>
  </w:style>
  <w:style w:type="character" w:customStyle="1" w:styleId="apple-style-span">
    <w:name w:val="apple-style-span"/>
    <w:basedOn w:val="Fuentedeprrafopredeter"/>
    <w:rsid w:val="00890D90"/>
  </w:style>
</w:styles>
</file>

<file path=word/webSettings.xml><?xml version="1.0" encoding="utf-8"?>
<w:webSettings xmlns:r="http://schemas.openxmlformats.org/officeDocument/2006/relationships" xmlns:w="http://schemas.openxmlformats.org/wordprocessingml/2006/main">
  <w:divs>
    <w:div w:id="150297844">
      <w:bodyDiv w:val="1"/>
      <w:marLeft w:val="0"/>
      <w:marRight w:val="0"/>
      <w:marTop w:val="0"/>
      <w:marBottom w:val="0"/>
      <w:divBdr>
        <w:top w:val="none" w:sz="0" w:space="0" w:color="auto"/>
        <w:left w:val="none" w:sz="0" w:space="0" w:color="auto"/>
        <w:bottom w:val="none" w:sz="0" w:space="0" w:color="auto"/>
        <w:right w:val="none" w:sz="0" w:space="0" w:color="auto"/>
      </w:divBdr>
      <w:divsChild>
        <w:div w:id="443422158">
          <w:marLeft w:val="0"/>
          <w:marRight w:val="0"/>
          <w:marTop w:val="0"/>
          <w:marBottom w:val="0"/>
          <w:divBdr>
            <w:top w:val="none" w:sz="0" w:space="0" w:color="auto"/>
            <w:left w:val="none" w:sz="0" w:space="0" w:color="auto"/>
            <w:bottom w:val="none" w:sz="0" w:space="0" w:color="auto"/>
            <w:right w:val="none" w:sz="0" w:space="0" w:color="auto"/>
          </w:divBdr>
          <w:divsChild>
            <w:div w:id="1835027237">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280109703">
      <w:bodyDiv w:val="1"/>
      <w:marLeft w:val="0"/>
      <w:marRight w:val="0"/>
      <w:marTop w:val="0"/>
      <w:marBottom w:val="0"/>
      <w:divBdr>
        <w:top w:val="none" w:sz="0" w:space="0" w:color="auto"/>
        <w:left w:val="none" w:sz="0" w:space="0" w:color="auto"/>
        <w:bottom w:val="none" w:sz="0" w:space="0" w:color="auto"/>
        <w:right w:val="none" w:sz="0" w:space="0" w:color="auto"/>
      </w:divBdr>
      <w:divsChild>
        <w:div w:id="110590985">
          <w:marLeft w:val="0"/>
          <w:marRight w:val="0"/>
          <w:marTop w:val="0"/>
          <w:marBottom w:val="0"/>
          <w:divBdr>
            <w:top w:val="none" w:sz="0" w:space="0" w:color="auto"/>
            <w:left w:val="none" w:sz="0" w:space="0" w:color="auto"/>
            <w:bottom w:val="none" w:sz="0" w:space="0" w:color="auto"/>
            <w:right w:val="none" w:sz="0" w:space="0" w:color="auto"/>
          </w:divBdr>
          <w:divsChild>
            <w:div w:id="1741174885">
              <w:marLeft w:val="0"/>
              <w:marRight w:val="0"/>
              <w:marTop w:val="0"/>
              <w:marBottom w:val="0"/>
              <w:divBdr>
                <w:top w:val="none" w:sz="0" w:space="0" w:color="auto"/>
                <w:left w:val="none" w:sz="0" w:space="0" w:color="auto"/>
                <w:bottom w:val="none" w:sz="0" w:space="0" w:color="auto"/>
                <w:right w:val="none" w:sz="0" w:space="0" w:color="auto"/>
              </w:divBdr>
            </w:div>
            <w:div w:id="310446252">
              <w:marLeft w:val="0"/>
              <w:marRight w:val="0"/>
              <w:marTop w:val="0"/>
              <w:marBottom w:val="0"/>
              <w:divBdr>
                <w:top w:val="none" w:sz="0" w:space="0" w:color="auto"/>
                <w:left w:val="none" w:sz="0" w:space="0" w:color="auto"/>
                <w:bottom w:val="none" w:sz="0" w:space="0" w:color="auto"/>
                <w:right w:val="none" w:sz="0" w:space="0" w:color="auto"/>
              </w:divBdr>
            </w:div>
            <w:div w:id="1265259342">
              <w:marLeft w:val="0"/>
              <w:marRight w:val="0"/>
              <w:marTop w:val="0"/>
              <w:marBottom w:val="0"/>
              <w:divBdr>
                <w:top w:val="none" w:sz="0" w:space="0" w:color="auto"/>
                <w:left w:val="none" w:sz="0" w:space="0" w:color="auto"/>
                <w:bottom w:val="none" w:sz="0" w:space="0" w:color="auto"/>
                <w:right w:val="none" w:sz="0" w:space="0" w:color="auto"/>
              </w:divBdr>
            </w:div>
            <w:div w:id="19859205">
              <w:marLeft w:val="0"/>
              <w:marRight w:val="0"/>
              <w:marTop w:val="0"/>
              <w:marBottom w:val="0"/>
              <w:divBdr>
                <w:top w:val="none" w:sz="0" w:space="0" w:color="auto"/>
                <w:left w:val="none" w:sz="0" w:space="0" w:color="auto"/>
                <w:bottom w:val="none" w:sz="0" w:space="0" w:color="auto"/>
                <w:right w:val="none" w:sz="0" w:space="0" w:color="auto"/>
              </w:divBdr>
            </w:div>
            <w:div w:id="1141071040">
              <w:marLeft w:val="0"/>
              <w:marRight w:val="0"/>
              <w:marTop w:val="0"/>
              <w:marBottom w:val="0"/>
              <w:divBdr>
                <w:top w:val="none" w:sz="0" w:space="0" w:color="auto"/>
                <w:left w:val="none" w:sz="0" w:space="0" w:color="auto"/>
                <w:bottom w:val="none" w:sz="0" w:space="0" w:color="auto"/>
                <w:right w:val="none" w:sz="0" w:space="0" w:color="auto"/>
              </w:divBdr>
            </w:div>
            <w:div w:id="1392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913">
      <w:bodyDiv w:val="1"/>
      <w:marLeft w:val="0"/>
      <w:marRight w:val="0"/>
      <w:marTop w:val="0"/>
      <w:marBottom w:val="0"/>
      <w:divBdr>
        <w:top w:val="none" w:sz="0" w:space="0" w:color="auto"/>
        <w:left w:val="none" w:sz="0" w:space="0" w:color="auto"/>
        <w:bottom w:val="none" w:sz="0" w:space="0" w:color="auto"/>
        <w:right w:val="none" w:sz="0" w:space="0" w:color="auto"/>
      </w:divBdr>
      <w:divsChild>
        <w:div w:id="59250233">
          <w:marLeft w:val="0"/>
          <w:marRight w:val="0"/>
          <w:marTop w:val="0"/>
          <w:marBottom w:val="0"/>
          <w:divBdr>
            <w:top w:val="none" w:sz="0" w:space="0" w:color="auto"/>
            <w:left w:val="none" w:sz="0" w:space="0" w:color="auto"/>
            <w:bottom w:val="none" w:sz="0" w:space="0" w:color="auto"/>
            <w:right w:val="none" w:sz="0" w:space="0" w:color="auto"/>
          </w:divBdr>
          <w:divsChild>
            <w:div w:id="643317762">
              <w:marLeft w:val="0"/>
              <w:marRight w:val="0"/>
              <w:marTop w:val="0"/>
              <w:marBottom w:val="0"/>
              <w:divBdr>
                <w:top w:val="none" w:sz="0" w:space="0" w:color="auto"/>
                <w:left w:val="none" w:sz="0" w:space="0" w:color="auto"/>
                <w:bottom w:val="none" w:sz="0" w:space="0" w:color="auto"/>
                <w:right w:val="none" w:sz="0" w:space="0" w:color="auto"/>
              </w:divBdr>
            </w:div>
            <w:div w:id="357707137">
              <w:marLeft w:val="0"/>
              <w:marRight w:val="0"/>
              <w:marTop w:val="0"/>
              <w:marBottom w:val="0"/>
              <w:divBdr>
                <w:top w:val="none" w:sz="0" w:space="0" w:color="auto"/>
                <w:left w:val="none" w:sz="0" w:space="0" w:color="auto"/>
                <w:bottom w:val="none" w:sz="0" w:space="0" w:color="auto"/>
                <w:right w:val="none" w:sz="0" w:space="0" w:color="auto"/>
              </w:divBdr>
            </w:div>
            <w:div w:id="921571385">
              <w:marLeft w:val="0"/>
              <w:marRight w:val="0"/>
              <w:marTop w:val="0"/>
              <w:marBottom w:val="0"/>
              <w:divBdr>
                <w:top w:val="none" w:sz="0" w:space="0" w:color="auto"/>
                <w:left w:val="none" w:sz="0" w:space="0" w:color="auto"/>
                <w:bottom w:val="none" w:sz="0" w:space="0" w:color="auto"/>
                <w:right w:val="none" w:sz="0" w:space="0" w:color="auto"/>
              </w:divBdr>
            </w:div>
            <w:div w:id="1466392185">
              <w:marLeft w:val="0"/>
              <w:marRight w:val="0"/>
              <w:marTop w:val="0"/>
              <w:marBottom w:val="0"/>
              <w:divBdr>
                <w:top w:val="none" w:sz="0" w:space="0" w:color="auto"/>
                <w:left w:val="none" w:sz="0" w:space="0" w:color="auto"/>
                <w:bottom w:val="none" w:sz="0" w:space="0" w:color="auto"/>
                <w:right w:val="none" w:sz="0" w:space="0" w:color="auto"/>
              </w:divBdr>
            </w:div>
            <w:div w:id="2068256496">
              <w:marLeft w:val="0"/>
              <w:marRight w:val="0"/>
              <w:marTop w:val="0"/>
              <w:marBottom w:val="0"/>
              <w:divBdr>
                <w:top w:val="none" w:sz="0" w:space="0" w:color="auto"/>
                <w:left w:val="none" w:sz="0" w:space="0" w:color="auto"/>
                <w:bottom w:val="none" w:sz="0" w:space="0" w:color="auto"/>
                <w:right w:val="none" w:sz="0" w:space="0" w:color="auto"/>
              </w:divBdr>
            </w:div>
            <w:div w:id="130944849">
              <w:marLeft w:val="0"/>
              <w:marRight w:val="0"/>
              <w:marTop w:val="0"/>
              <w:marBottom w:val="0"/>
              <w:divBdr>
                <w:top w:val="none" w:sz="0" w:space="0" w:color="auto"/>
                <w:left w:val="none" w:sz="0" w:space="0" w:color="auto"/>
                <w:bottom w:val="none" w:sz="0" w:space="0" w:color="auto"/>
                <w:right w:val="none" w:sz="0" w:space="0" w:color="auto"/>
              </w:divBdr>
            </w:div>
            <w:div w:id="7126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871">
      <w:bodyDiv w:val="1"/>
      <w:marLeft w:val="0"/>
      <w:marRight w:val="0"/>
      <w:marTop w:val="0"/>
      <w:marBottom w:val="0"/>
      <w:divBdr>
        <w:top w:val="none" w:sz="0" w:space="0" w:color="auto"/>
        <w:left w:val="none" w:sz="0" w:space="0" w:color="auto"/>
        <w:bottom w:val="none" w:sz="0" w:space="0" w:color="auto"/>
        <w:right w:val="none" w:sz="0" w:space="0" w:color="auto"/>
      </w:divBdr>
      <w:divsChild>
        <w:div w:id="194540214">
          <w:marLeft w:val="0"/>
          <w:marRight w:val="0"/>
          <w:marTop w:val="0"/>
          <w:marBottom w:val="0"/>
          <w:divBdr>
            <w:top w:val="none" w:sz="0" w:space="0" w:color="auto"/>
            <w:left w:val="none" w:sz="0" w:space="0" w:color="auto"/>
            <w:bottom w:val="none" w:sz="0" w:space="0" w:color="auto"/>
            <w:right w:val="none" w:sz="0" w:space="0" w:color="auto"/>
          </w:divBdr>
        </w:div>
        <w:div w:id="1306662273">
          <w:marLeft w:val="0"/>
          <w:marRight w:val="0"/>
          <w:marTop w:val="0"/>
          <w:marBottom w:val="0"/>
          <w:divBdr>
            <w:top w:val="none" w:sz="0" w:space="0" w:color="auto"/>
            <w:left w:val="none" w:sz="0" w:space="0" w:color="auto"/>
            <w:bottom w:val="none" w:sz="0" w:space="0" w:color="auto"/>
            <w:right w:val="none" w:sz="0" w:space="0" w:color="auto"/>
          </w:divBdr>
        </w:div>
      </w:divsChild>
    </w:div>
    <w:div w:id="376778761">
      <w:bodyDiv w:val="1"/>
      <w:marLeft w:val="0"/>
      <w:marRight w:val="0"/>
      <w:marTop w:val="0"/>
      <w:marBottom w:val="0"/>
      <w:divBdr>
        <w:top w:val="none" w:sz="0" w:space="0" w:color="auto"/>
        <w:left w:val="none" w:sz="0" w:space="0" w:color="auto"/>
        <w:bottom w:val="none" w:sz="0" w:space="0" w:color="auto"/>
        <w:right w:val="none" w:sz="0" w:space="0" w:color="auto"/>
      </w:divBdr>
    </w:div>
    <w:div w:id="814101996">
      <w:bodyDiv w:val="1"/>
      <w:marLeft w:val="0"/>
      <w:marRight w:val="0"/>
      <w:marTop w:val="0"/>
      <w:marBottom w:val="0"/>
      <w:divBdr>
        <w:top w:val="none" w:sz="0" w:space="0" w:color="auto"/>
        <w:left w:val="none" w:sz="0" w:space="0" w:color="auto"/>
        <w:bottom w:val="none" w:sz="0" w:space="0" w:color="auto"/>
        <w:right w:val="none" w:sz="0" w:space="0" w:color="auto"/>
      </w:divBdr>
    </w:div>
    <w:div w:id="833767907">
      <w:bodyDiv w:val="1"/>
      <w:marLeft w:val="0"/>
      <w:marRight w:val="0"/>
      <w:marTop w:val="0"/>
      <w:marBottom w:val="0"/>
      <w:divBdr>
        <w:top w:val="none" w:sz="0" w:space="0" w:color="auto"/>
        <w:left w:val="none" w:sz="0" w:space="0" w:color="auto"/>
        <w:bottom w:val="none" w:sz="0" w:space="0" w:color="auto"/>
        <w:right w:val="none" w:sz="0" w:space="0" w:color="auto"/>
      </w:divBdr>
      <w:divsChild>
        <w:div w:id="898780709">
          <w:marLeft w:val="0"/>
          <w:marRight w:val="0"/>
          <w:marTop w:val="0"/>
          <w:marBottom w:val="0"/>
          <w:divBdr>
            <w:top w:val="none" w:sz="0" w:space="0" w:color="auto"/>
            <w:left w:val="none" w:sz="0" w:space="0" w:color="auto"/>
            <w:bottom w:val="none" w:sz="0" w:space="0" w:color="auto"/>
            <w:right w:val="none" w:sz="0" w:space="0" w:color="auto"/>
          </w:divBdr>
        </w:div>
        <w:div w:id="1021932170">
          <w:marLeft w:val="0"/>
          <w:marRight w:val="0"/>
          <w:marTop w:val="0"/>
          <w:marBottom w:val="150"/>
          <w:divBdr>
            <w:top w:val="none" w:sz="0" w:space="0" w:color="auto"/>
            <w:left w:val="none" w:sz="0" w:space="0" w:color="auto"/>
            <w:bottom w:val="none" w:sz="0" w:space="0" w:color="auto"/>
            <w:right w:val="none" w:sz="0" w:space="0" w:color="auto"/>
          </w:divBdr>
          <w:divsChild>
            <w:div w:id="1616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5402">
      <w:bodyDiv w:val="1"/>
      <w:marLeft w:val="0"/>
      <w:marRight w:val="0"/>
      <w:marTop w:val="0"/>
      <w:marBottom w:val="0"/>
      <w:divBdr>
        <w:top w:val="none" w:sz="0" w:space="0" w:color="auto"/>
        <w:left w:val="none" w:sz="0" w:space="0" w:color="auto"/>
        <w:bottom w:val="none" w:sz="0" w:space="0" w:color="auto"/>
        <w:right w:val="none" w:sz="0" w:space="0" w:color="auto"/>
      </w:divBdr>
    </w:div>
    <w:div w:id="1484465013">
      <w:bodyDiv w:val="1"/>
      <w:marLeft w:val="0"/>
      <w:marRight w:val="0"/>
      <w:marTop w:val="0"/>
      <w:marBottom w:val="0"/>
      <w:divBdr>
        <w:top w:val="none" w:sz="0" w:space="0" w:color="auto"/>
        <w:left w:val="none" w:sz="0" w:space="0" w:color="auto"/>
        <w:bottom w:val="none" w:sz="0" w:space="0" w:color="auto"/>
        <w:right w:val="none" w:sz="0" w:space="0" w:color="auto"/>
      </w:divBdr>
      <w:divsChild>
        <w:div w:id="2045934653">
          <w:marLeft w:val="0"/>
          <w:marRight w:val="0"/>
          <w:marTop w:val="0"/>
          <w:marBottom w:val="0"/>
          <w:divBdr>
            <w:top w:val="none" w:sz="0" w:space="0" w:color="auto"/>
            <w:left w:val="none" w:sz="0" w:space="0" w:color="auto"/>
            <w:bottom w:val="none" w:sz="0" w:space="0" w:color="auto"/>
            <w:right w:val="none" w:sz="0" w:space="0" w:color="auto"/>
          </w:divBdr>
        </w:div>
      </w:divsChild>
    </w:div>
    <w:div w:id="1741709661">
      <w:bodyDiv w:val="1"/>
      <w:marLeft w:val="0"/>
      <w:marRight w:val="0"/>
      <w:marTop w:val="0"/>
      <w:marBottom w:val="0"/>
      <w:divBdr>
        <w:top w:val="none" w:sz="0" w:space="0" w:color="auto"/>
        <w:left w:val="none" w:sz="0" w:space="0" w:color="auto"/>
        <w:bottom w:val="none" w:sz="0" w:space="0" w:color="auto"/>
        <w:right w:val="none" w:sz="0" w:space="0" w:color="auto"/>
      </w:divBdr>
      <w:divsChild>
        <w:div w:id="1061101419">
          <w:marLeft w:val="0"/>
          <w:marRight w:val="0"/>
          <w:marTop w:val="0"/>
          <w:marBottom w:val="0"/>
          <w:divBdr>
            <w:top w:val="none" w:sz="0" w:space="0" w:color="auto"/>
            <w:left w:val="none" w:sz="0" w:space="0" w:color="auto"/>
            <w:bottom w:val="none" w:sz="0" w:space="0" w:color="auto"/>
            <w:right w:val="none" w:sz="0" w:space="0" w:color="auto"/>
          </w:divBdr>
          <w:divsChild>
            <w:div w:id="1207252429">
              <w:marLeft w:val="0"/>
              <w:marRight w:val="0"/>
              <w:marTop w:val="0"/>
              <w:marBottom w:val="0"/>
              <w:divBdr>
                <w:top w:val="none" w:sz="0" w:space="0" w:color="auto"/>
                <w:left w:val="none" w:sz="0" w:space="0" w:color="auto"/>
                <w:bottom w:val="none" w:sz="0" w:space="0" w:color="auto"/>
                <w:right w:val="none" w:sz="0" w:space="0" w:color="auto"/>
              </w:divBdr>
            </w:div>
            <w:div w:id="427433263">
              <w:marLeft w:val="0"/>
              <w:marRight w:val="0"/>
              <w:marTop w:val="0"/>
              <w:marBottom w:val="0"/>
              <w:divBdr>
                <w:top w:val="none" w:sz="0" w:space="0" w:color="auto"/>
                <w:left w:val="none" w:sz="0" w:space="0" w:color="auto"/>
                <w:bottom w:val="none" w:sz="0" w:space="0" w:color="auto"/>
                <w:right w:val="none" w:sz="0" w:space="0" w:color="auto"/>
              </w:divBdr>
            </w:div>
            <w:div w:id="642348441">
              <w:marLeft w:val="0"/>
              <w:marRight w:val="0"/>
              <w:marTop w:val="0"/>
              <w:marBottom w:val="0"/>
              <w:divBdr>
                <w:top w:val="none" w:sz="0" w:space="0" w:color="auto"/>
                <w:left w:val="none" w:sz="0" w:space="0" w:color="auto"/>
                <w:bottom w:val="none" w:sz="0" w:space="0" w:color="auto"/>
                <w:right w:val="none" w:sz="0" w:space="0" w:color="auto"/>
              </w:divBdr>
            </w:div>
            <w:div w:id="421731030">
              <w:marLeft w:val="0"/>
              <w:marRight w:val="0"/>
              <w:marTop w:val="0"/>
              <w:marBottom w:val="0"/>
              <w:divBdr>
                <w:top w:val="none" w:sz="0" w:space="0" w:color="auto"/>
                <w:left w:val="none" w:sz="0" w:space="0" w:color="auto"/>
                <w:bottom w:val="none" w:sz="0" w:space="0" w:color="auto"/>
                <w:right w:val="none" w:sz="0" w:space="0" w:color="auto"/>
              </w:divBdr>
            </w:div>
            <w:div w:id="535702110">
              <w:marLeft w:val="0"/>
              <w:marRight w:val="0"/>
              <w:marTop w:val="0"/>
              <w:marBottom w:val="0"/>
              <w:divBdr>
                <w:top w:val="none" w:sz="0" w:space="0" w:color="auto"/>
                <w:left w:val="none" w:sz="0" w:space="0" w:color="auto"/>
                <w:bottom w:val="none" w:sz="0" w:space="0" w:color="auto"/>
                <w:right w:val="none" w:sz="0" w:space="0" w:color="auto"/>
              </w:divBdr>
            </w:div>
            <w:div w:id="833103149">
              <w:marLeft w:val="0"/>
              <w:marRight w:val="0"/>
              <w:marTop w:val="0"/>
              <w:marBottom w:val="0"/>
              <w:divBdr>
                <w:top w:val="none" w:sz="0" w:space="0" w:color="auto"/>
                <w:left w:val="none" w:sz="0" w:space="0" w:color="auto"/>
                <w:bottom w:val="none" w:sz="0" w:space="0" w:color="auto"/>
                <w:right w:val="none" w:sz="0" w:space="0" w:color="auto"/>
              </w:divBdr>
              <w:divsChild>
                <w:div w:id="1578783001">
                  <w:marLeft w:val="0"/>
                  <w:marRight w:val="0"/>
                  <w:marTop w:val="0"/>
                  <w:marBottom w:val="0"/>
                  <w:divBdr>
                    <w:top w:val="none" w:sz="0" w:space="0" w:color="auto"/>
                    <w:left w:val="none" w:sz="0" w:space="0" w:color="auto"/>
                    <w:bottom w:val="none" w:sz="0" w:space="0" w:color="auto"/>
                    <w:right w:val="none" w:sz="0" w:space="0" w:color="auto"/>
                  </w:divBdr>
                </w:div>
                <w:div w:id="1304000484">
                  <w:marLeft w:val="0"/>
                  <w:marRight w:val="0"/>
                  <w:marTop w:val="0"/>
                  <w:marBottom w:val="0"/>
                  <w:divBdr>
                    <w:top w:val="none" w:sz="0" w:space="0" w:color="auto"/>
                    <w:left w:val="none" w:sz="0" w:space="0" w:color="auto"/>
                    <w:bottom w:val="none" w:sz="0" w:space="0" w:color="auto"/>
                    <w:right w:val="none" w:sz="0" w:space="0" w:color="auto"/>
                  </w:divBdr>
                </w:div>
                <w:div w:id="57017391">
                  <w:marLeft w:val="0"/>
                  <w:marRight w:val="0"/>
                  <w:marTop w:val="0"/>
                  <w:marBottom w:val="0"/>
                  <w:divBdr>
                    <w:top w:val="none" w:sz="0" w:space="0" w:color="auto"/>
                    <w:left w:val="none" w:sz="0" w:space="0" w:color="auto"/>
                    <w:bottom w:val="none" w:sz="0" w:space="0" w:color="auto"/>
                    <w:right w:val="none" w:sz="0" w:space="0" w:color="auto"/>
                  </w:divBdr>
                </w:div>
                <w:div w:id="317614915">
                  <w:marLeft w:val="0"/>
                  <w:marRight w:val="0"/>
                  <w:marTop w:val="0"/>
                  <w:marBottom w:val="0"/>
                  <w:divBdr>
                    <w:top w:val="none" w:sz="0" w:space="0" w:color="auto"/>
                    <w:left w:val="none" w:sz="0" w:space="0" w:color="auto"/>
                    <w:bottom w:val="none" w:sz="0" w:space="0" w:color="auto"/>
                    <w:right w:val="none" w:sz="0" w:space="0" w:color="auto"/>
                  </w:divBdr>
                </w:div>
                <w:div w:id="249195626">
                  <w:marLeft w:val="0"/>
                  <w:marRight w:val="0"/>
                  <w:marTop w:val="0"/>
                  <w:marBottom w:val="0"/>
                  <w:divBdr>
                    <w:top w:val="none" w:sz="0" w:space="0" w:color="auto"/>
                    <w:left w:val="none" w:sz="0" w:space="0" w:color="auto"/>
                    <w:bottom w:val="none" w:sz="0" w:space="0" w:color="auto"/>
                    <w:right w:val="none" w:sz="0" w:space="0" w:color="auto"/>
                  </w:divBdr>
                </w:div>
                <w:div w:id="994607094">
                  <w:marLeft w:val="0"/>
                  <w:marRight w:val="0"/>
                  <w:marTop w:val="0"/>
                  <w:marBottom w:val="0"/>
                  <w:divBdr>
                    <w:top w:val="none" w:sz="0" w:space="0" w:color="auto"/>
                    <w:left w:val="none" w:sz="0" w:space="0" w:color="auto"/>
                    <w:bottom w:val="none" w:sz="0" w:space="0" w:color="auto"/>
                    <w:right w:val="none" w:sz="0" w:space="0" w:color="auto"/>
                  </w:divBdr>
                </w:div>
                <w:div w:id="849949453">
                  <w:marLeft w:val="0"/>
                  <w:marRight w:val="0"/>
                  <w:marTop w:val="0"/>
                  <w:marBottom w:val="0"/>
                  <w:divBdr>
                    <w:top w:val="none" w:sz="0" w:space="0" w:color="auto"/>
                    <w:left w:val="none" w:sz="0" w:space="0" w:color="auto"/>
                    <w:bottom w:val="none" w:sz="0" w:space="0" w:color="auto"/>
                    <w:right w:val="none" w:sz="0" w:space="0" w:color="auto"/>
                  </w:divBdr>
                </w:div>
                <w:div w:id="586156010">
                  <w:marLeft w:val="0"/>
                  <w:marRight w:val="0"/>
                  <w:marTop w:val="0"/>
                  <w:marBottom w:val="0"/>
                  <w:divBdr>
                    <w:top w:val="none" w:sz="0" w:space="0" w:color="auto"/>
                    <w:left w:val="none" w:sz="0" w:space="0" w:color="auto"/>
                    <w:bottom w:val="none" w:sz="0" w:space="0" w:color="auto"/>
                    <w:right w:val="none" w:sz="0" w:space="0" w:color="auto"/>
                  </w:divBdr>
                </w:div>
                <w:div w:id="945386663">
                  <w:marLeft w:val="0"/>
                  <w:marRight w:val="0"/>
                  <w:marTop w:val="0"/>
                  <w:marBottom w:val="0"/>
                  <w:divBdr>
                    <w:top w:val="none" w:sz="0" w:space="0" w:color="auto"/>
                    <w:left w:val="none" w:sz="0" w:space="0" w:color="auto"/>
                    <w:bottom w:val="none" w:sz="0" w:space="0" w:color="auto"/>
                    <w:right w:val="none" w:sz="0" w:space="0" w:color="auto"/>
                  </w:divBdr>
                </w:div>
                <w:div w:id="11456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s://www.bves.com.sv/marco/anexos/reglamentos/Reglamento%20General%20CEDEVAL.pdf" TargetMode="External"/><Relationship Id="rId26" Type="http://schemas.openxmlformats.org/officeDocument/2006/relationships/image" Target="media/image12.jpeg"/><Relationship Id="rId39" Type="http://schemas.openxmlformats.org/officeDocument/2006/relationships/hyperlink" Target="https://www.bves.com.sv/emisoras/emisoras.php" TargetMode="External"/><Relationship Id="rId21" Type="http://schemas.openxmlformats.org/officeDocument/2006/relationships/hyperlink" Target="https://www.bves.com.sv/bolsa/bolsa_historia.htm" TargetMode="External"/><Relationship Id="rId34" Type="http://schemas.openxmlformats.org/officeDocument/2006/relationships/hyperlink" Target="https://www.bves.com.sv/emisoras/emisoras.php" TargetMode="External"/><Relationship Id="rId42" Type="http://schemas.openxmlformats.org/officeDocument/2006/relationships/image" Target="media/image17.gif"/><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hyperlink" Target="http://www.ssf.gob.sv/index.php?option=com_mailto&amp;tmpl=component&amp;link=faf9cbf4807998d453dd5935d6574456c0eeeefc" TargetMode="Externa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image" Target="media/image7.jpeg"/><Relationship Id="rId25" Type="http://schemas.openxmlformats.org/officeDocument/2006/relationships/hyperlink" Target="https://www.bves.com.sv/bolsa/bolsa_historia02.htm" TargetMode="External"/><Relationship Id="rId33" Type="http://schemas.openxmlformats.org/officeDocument/2006/relationships/hyperlink" Target="https://www.bves.com.sv/emisoras/emisoras.php" TargetMode="External"/><Relationship Id="rId38" Type="http://schemas.openxmlformats.org/officeDocument/2006/relationships/hyperlink" Target="https://www.bves.com.sv/emisoras/emisoras.php" TargetMode="External"/><Relationship Id="rId46"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hyperlink" Target="https://www.bves.com.sv/marco/anexos/reglamentos/Reglamento%20General%20BVES.pdf" TargetMode="External"/><Relationship Id="rId20" Type="http://schemas.openxmlformats.org/officeDocument/2006/relationships/image" Target="media/image9.gif"/><Relationship Id="rId29" Type="http://schemas.openxmlformats.org/officeDocument/2006/relationships/hyperlink" Target="https://www.bves.com.sv/bolsa/bolsa_historia04.htm" TargetMode="External"/><Relationship Id="rId41" Type="http://schemas.openxmlformats.org/officeDocument/2006/relationships/image" Target="media/image16.gif"/><Relationship Id="rId54"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hyperlink" Target="http://www.superval.gob.sv/" TargetMode="External"/><Relationship Id="rId11" Type="http://schemas.openxmlformats.org/officeDocument/2006/relationships/hyperlink" Target="https://www.bves.com.sv/marco/anexos/ley_decreto/Ley%20del%20Mercado%20de%20Valores.pdf" TargetMode="External"/><Relationship Id="rId24" Type="http://schemas.openxmlformats.org/officeDocument/2006/relationships/image" Target="media/image11.jpeg"/><Relationship Id="rId32" Type="http://schemas.openxmlformats.org/officeDocument/2006/relationships/image" Target="media/image15.gif"/><Relationship Id="rId37" Type="http://schemas.openxmlformats.org/officeDocument/2006/relationships/hyperlink" Target="https://www.bves.com.sv/emisoras/emisoras.php" TargetMode="External"/><Relationship Id="rId40" Type="http://schemas.openxmlformats.org/officeDocument/2006/relationships/hyperlink" Target="https://www.bves.com.sv/emisoras/emisoras.php" TargetMode="External"/><Relationship Id="rId45" Type="http://schemas.openxmlformats.org/officeDocument/2006/relationships/image" Target="media/image20.gif"/><Relationship Id="rId53" Type="http://schemas.openxmlformats.org/officeDocument/2006/relationships/hyperlink" Target="http://www.ssf.gob.sv/index.php?view=article&amp;catid=45%3Ahistoria&amp;id=374%3Ahistoria&amp;tmpl=component&amp;print=1&amp;layout=default&amp;page=&amp;option=com_content&amp;Itemid=68" TargetMode="External"/><Relationship Id="rId58" Type="http://schemas.openxmlformats.org/officeDocument/2006/relationships/theme" Target="theme/theme1.xml"/><Relationship Id="rId5" Type="http://schemas.openxmlformats.org/officeDocument/2006/relationships/hyperlink" Target="http://www.superval.gob.sv/" TargetMode="External"/><Relationship Id="rId15" Type="http://schemas.openxmlformats.org/officeDocument/2006/relationships/image" Target="media/image6.jpeg"/><Relationship Id="rId23" Type="http://schemas.openxmlformats.org/officeDocument/2006/relationships/hyperlink" Target="https://www.bves.com.sv/bolsa/bolsa_historia01.htm" TargetMode="External"/><Relationship Id="rId28" Type="http://schemas.openxmlformats.org/officeDocument/2006/relationships/image" Target="media/image13.jpeg"/><Relationship Id="rId36" Type="http://schemas.openxmlformats.org/officeDocument/2006/relationships/hyperlink" Target="https://www.bves.com.sv/emisoras/emisoras.php" TargetMode="External"/><Relationship Id="rId49" Type="http://schemas.openxmlformats.org/officeDocument/2006/relationships/image" Target="media/image24.jpeg"/><Relationship Id="rId57" Type="http://schemas.openxmlformats.org/officeDocument/2006/relationships/fontTable" Target="fontTable.xml"/><Relationship Id="rId10" Type="http://schemas.openxmlformats.org/officeDocument/2006/relationships/hyperlink" Target="https://www.bves.com.sv/marco/anexos/ley_decreto/Reglamento%20del%20Mercado%20de%20Valores.pdf" TargetMode="External"/><Relationship Id="rId19" Type="http://schemas.openxmlformats.org/officeDocument/2006/relationships/image" Target="media/image8.gif"/><Relationship Id="rId31" Type="http://schemas.openxmlformats.org/officeDocument/2006/relationships/hyperlink" Target="https://www.bves.com.sv/bolsa/anexos/productos_negocian/Portafolio%20de%20Productos.pdf" TargetMode="External"/><Relationship Id="rId44" Type="http://schemas.openxmlformats.org/officeDocument/2006/relationships/image" Target="media/image19.gif"/><Relationship Id="rId52"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bves.com.sv/marco/anexos/ley_decreto/Decreto%20742_anotaciones%20electr%F3nicas%20en%20cuenta.pdf" TargetMode="External"/><Relationship Id="rId22" Type="http://schemas.openxmlformats.org/officeDocument/2006/relationships/image" Target="media/image10.jpeg"/><Relationship Id="rId27" Type="http://schemas.openxmlformats.org/officeDocument/2006/relationships/hyperlink" Target="https://www.bves.com.sv/bolsa/bolsa_historia03.htm" TargetMode="External"/><Relationship Id="rId30" Type="http://schemas.openxmlformats.org/officeDocument/2006/relationships/image" Target="media/image14.jpeg"/><Relationship Id="rId35" Type="http://schemas.openxmlformats.org/officeDocument/2006/relationships/hyperlink" Target="https://www.bves.com.sv/emisoras/emisoras.php" TargetMode="External"/><Relationship Id="rId43" Type="http://schemas.openxmlformats.org/officeDocument/2006/relationships/image" Target="media/image18.gif"/><Relationship Id="rId48" Type="http://schemas.openxmlformats.org/officeDocument/2006/relationships/image" Target="media/image23.jpeg"/><Relationship Id="rId56" Type="http://schemas.openxmlformats.org/officeDocument/2006/relationships/image" Target="media/image28.png"/><Relationship Id="rId8" Type="http://schemas.openxmlformats.org/officeDocument/2006/relationships/image" Target="media/image2.gif"/><Relationship Id="rId51" Type="http://schemas.openxmlformats.org/officeDocument/2006/relationships/hyperlink" Target="http://www.ssf.gob.sv/index.php?view=article&amp;catid=45%3Ahistoria&amp;id=374%3Ahistoria&amp;format=pdf&amp;option=com_content&amp;Itemid=68"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5960</Words>
  <Characters>33972</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3</cp:revision>
  <dcterms:created xsi:type="dcterms:W3CDTF">2013-06-21T16:46:00Z</dcterms:created>
  <dcterms:modified xsi:type="dcterms:W3CDTF">2013-06-21T17:07:00Z</dcterms:modified>
</cp:coreProperties>
</file>