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90" w:rsidRDefault="00EB53CF" w:rsidP="00EB53CF">
      <w:pPr>
        <w:jc w:val="center"/>
        <w:rPr>
          <w:b/>
        </w:rPr>
      </w:pPr>
      <w:r w:rsidRPr="00EB53CF">
        <w:rPr>
          <w:b/>
        </w:rPr>
        <w:t>POSTURAS SOBRE DISCRIMINACION LABORAL</w:t>
      </w:r>
    </w:p>
    <w:p w:rsidR="00EB53CF" w:rsidRDefault="00EB53CF" w:rsidP="00EB53CF">
      <w:pPr>
        <w:jc w:val="center"/>
        <w:rPr>
          <w:b/>
        </w:rPr>
      </w:pPr>
    </w:p>
    <w:p w:rsidR="00EB53CF" w:rsidRPr="00EB53CF" w:rsidRDefault="00EB53CF" w:rsidP="00EB53CF">
      <w:pPr>
        <w:jc w:val="both"/>
        <w:rPr>
          <w:b/>
        </w:rPr>
      </w:pPr>
      <w:r w:rsidRPr="00EB53CF">
        <w:rPr>
          <w:b/>
        </w:rPr>
        <w:t>Primera idea</w:t>
      </w:r>
      <w:r>
        <w:rPr>
          <w:b/>
        </w:rPr>
        <w:t>:</w:t>
      </w:r>
    </w:p>
    <w:p w:rsidR="00EB53CF" w:rsidRPr="00EB53CF" w:rsidRDefault="00EB53CF" w:rsidP="00EB53CF">
      <w:pPr>
        <w:jc w:val="both"/>
      </w:pPr>
      <w:r w:rsidRPr="00EB53CF">
        <w:t>DISCRIMINACIÓN LABORAL</w:t>
      </w:r>
    </w:p>
    <w:tbl>
      <w:tblPr>
        <w:tblW w:w="0" w:type="auto"/>
        <w:tblCellSpacing w:w="0" w:type="dxa"/>
        <w:tblCellMar>
          <w:left w:w="0" w:type="dxa"/>
          <w:right w:w="0" w:type="dxa"/>
        </w:tblCellMar>
        <w:tblLook w:val="04A0" w:firstRow="1" w:lastRow="0" w:firstColumn="1" w:lastColumn="0" w:noHBand="0" w:noVBand="1"/>
      </w:tblPr>
      <w:tblGrid>
        <w:gridCol w:w="8838"/>
      </w:tblGrid>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El Código Penal establece lo siguiente:</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Artículo 314</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w:t>
            </w:r>
            <w:r w:rsidRPr="00EB53CF">
              <w:rPr>
                <w:i/>
                <w:iCs/>
              </w:rPr>
              <w:t xml:space="preserve"> "Los que produzcan una grave discriminación en el empleo, público o privado, contra alguna persona por razón de su ideología, religión o creencias, su pertenencia a una etnia, raza o nación, su sexo, orientación sexual, situación familiar, enfermedad o </w:t>
            </w:r>
            <w:proofErr w:type="spellStart"/>
            <w:r w:rsidRPr="00EB53CF">
              <w:rPr>
                <w:i/>
                <w:iCs/>
              </w:rPr>
              <w:t>mínusvalía</w:t>
            </w:r>
            <w:proofErr w:type="spellEnd"/>
            <w:r w:rsidRPr="00EB53CF">
              <w:rPr>
                <w:i/>
                <w:iCs/>
              </w:rPr>
              <w:t xml:space="preserve">, por ostentar la representación legal o sindical de los </w:t>
            </w:r>
            <w:proofErr w:type="spellStart"/>
            <w:r w:rsidRPr="00EB53CF">
              <w:rPr>
                <w:i/>
                <w:iCs/>
              </w:rPr>
              <w:t>tra</w:t>
            </w:r>
            <w:proofErr w:type="spellEnd"/>
            <w:r w:rsidRPr="00EB53CF">
              <w:rPr>
                <w:i/>
                <w:iCs/>
              </w:rPr>
              <w:t>-bajadores, por el parentesco con otros trabajadores de la empresa o por el uso de alguna de las lenguas oficiales dentro del Estado español, y no restablezcan la situación de igualdad ante la Ley tras requerimiento o sanción administrativa, reparando los daños económicos que se hayan derivado, serán castigados con la pena de prisión de seis meses a dos años o multa de seis a doce meses. "</w:t>
            </w:r>
            <w:r w:rsidRPr="00EB53CF">
              <w:t xml:space="preserve"> .</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El art. 314 del Código penal no castiga, por tanto, la mera discriminación, sino los casos de discriminación más graves, exigiendo que haya habido un previo requerimiento o sanción administrativa y que, a pesar de ello, no se haya restablecido la situación, reparando los daños económicos que se hayan derivado.</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Tantos requisitos, hacen de este delito más un delito de desobediencia que un delito de discriminación.</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xml:space="preserve">     La propia naturaleza irrenunciable del derecho a no ser discriminado excluye cualquier eficacia </w:t>
            </w:r>
            <w:proofErr w:type="spellStart"/>
            <w:r w:rsidRPr="00EB53CF">
              <w:t>justifi</w:t>
            </w:r>
            <w:proofErr w:type="spellEnd"/>
            <w:r w:rsidRPr="00EB53CF">
              <w:t>-cante del consentimiento del afectado por la discriminación.</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La acción discriminatoria puede revestir las más diversas formas, muchas de ellas disimuladas como la llamada discriminación indirecta: peor retribución a la mujer a igualdad de trabajo que los hombres, reservar determinados puestos a personas de una determinada etnia o sexo, etc. La finalidad discriminatoria debe deducirse claramente de los hechos.</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Pr="00EB53CF" w:rsidRDefault="00EB53CF" w:rsidP="00EB53CF">
            <w:pPr>
              <w:jc w:val="both"/>
            </w:pPr>
            <w:r w:rsidRPr="00EB53CF">
              <w:t>     No constituye, en cambio, discriminación la llamada discriminación positiva, mediante la que se pretende reequilibrar situaciones discriminatorias preexistentes, como el reservar una cuota obligatoria a mujeres, o a discapacitadas, a personas que acceden por primera vez a un empleo,...</w:t>
            </w:r>
          </w:p>
        </w:tc>
      </w:tr>
      <w:tr w:rsidR="00EB53CF" w:rsidRPr="00EB53CF" w:rsidTr="00EB53CF">
        <w:trPr>
          <w:tblCellSpacing w:w="0" w:type="dxa"/>
        </w:trPr>
        <w:tc>
          <w:tcPr>
            <w:tcW w:w="0" w:type="auto"/>
            <w:vAlign w:val="center"/>
            <w:hideMark/>
          </w:tcPr>
          <w:p w:rsidR="00EB53CF" w:rsidRPr="00EB53CF" w:rsidRDefault="00EB53CF" w:rsidP="00EB53CF">
            <w:pPr>
              <w:jc w:val="both"/>
            </w:pPr>
          </w:p>
        </w:tc>
      </w:tr>
      <w:tr w:rsidR="00EB53CF" w:rsidRPr="00EB53CF" w:rsidTr="00EB53CF">
        <w:trPr>
          <w:tblCellSpacing w:w="0" w:type="dxa"/>
        </w:trPr>
        <w:tc>
          <w:tcPr>
            <w:tcW w:w="0" w:type="auto"/>
            <w:vAlign w:val="center"/>
            <w:hideMark/>
          </w:tcPr>
          <w:p w:rsidR="00EB53CF" w:rsidRDefault="00EB53CF" w:rsidP="00EB53CF">
            <w:pPr>
              <w:jc w:val="both"/>
            </w:pPr>
            <w:r w:rsidRPr="00EB53CF">
              <w:t>     El delito de discriminación laboral puede darse tanto en el ámbito del empleo público, como privado.</w:t>
            </w:r>
          </w:p>
          <w:p w:rsidR="00EB53CF" w:rsidRDefault="00EB53CF" w:rsidP="00EB53CF">
            <w:pPr>
              <w:jc w:val="both"/>
            </w:pPr>
          </w:p>
          <w:p w:rsidR="00EB53CF" w:rsidRDefault="00EB53CF" w:rsidP="00EB53CF">
            <w:pPr>
              <w:jc w:val="both"/>
              <w:rPr>
                <w:b/>
              </w:rPr>
            </w:pPr>
            <w:r w:rsidRPr="00EB53CF">
              <w:rPr>
                <w:b/>
              </w:rPr>
              <w:lastRenderedPageBreak/>
              <w:t>Segunda idea</w:t>
            </w:r>
            <w:r>
              <w:rPr>
                <w:b/>
              </w:rPr>
              <w:t>:</w:t>
            </w:r>
          </w:p>
          <w:p w:rsidR="0036114A" w:rsidRPr="0036114A" w:rsidRDefault="00830202" w:rsidP="0036114A">
            <w:pPr>
              <w:jc w:val="both"/>
              <w:rPr>
                <w:b/>
              </w:rPr>
            </w:pPr>
            <w:r>
              <w:rPr>
                <w:b/>
              </w:rPr>
              <w:t>D</w:t>
            </w:r>
            <w:bookmarkStart w:id="0" w:name="_GoBack"/>
            <w:bookmarkEnd w:id="0"/>
            <w:r w:rsidR="0036114A" w:rsidRPr="0036114A">
              <w:rPr>
                <w:b/>
              </w:rPr>
              <w:t xml:space="preserve">ISCRIMINACION LABORAL </w:t>
            </w:r>
          </w:p>
          <w:p w:rsidR="0036114A" w:rsidRDefault="0036114A" w:rsidP="0036114A">
            <w:pPr>
              <w:jc w:val="both"/>
              <w:rPr>
                <w:b/>
              </w:rPr>
            </w:pPr>
            <w:r w:rsidRPr="0036114A">
              <w:t>Art. 246.-El que produjere una grave discriminación en el trabajo por razón del sexo, estado de gravidez, origen, estado civil, raza, condición social o física, ideas religiosas o políticas, adhesión o no a sindicatos y a sus acuerdos, vínculos de parentesco con otros trabajadores de la empresa, y no restableciere la situación de igualdad ante la ley, después de los requerimientos</w:t>
            </w:r>
            <w:r>
              <w:t xml:space="preserve"> </w:t>
            </w:r>
            <w:r w:rsidRPr="0036114A">
              <w:t xml:space="preserve">o sanción </w:t>
            </w:r>
            <w:r w:rsidRPr="0036114A">
              <w:rPr>
                <w:b/>
              </w:rPr>
              <w:t xml:space="preserve">administrativa, reparando los daños económicos que se hubieren derivado, será sancionado con prisión de seis meses a dos años. </w:t>
            </w:r>
          </w:p>
          <w:p w:rsidR="0076276F" w:rsidRDefault="0076276F" w:rsidP="0036114A">
            <w:pPr>
              <w:jc w:val="both"/>
              <w:rPr>
                <w:b/>
              </w:rPr>
            </w:pPr>
          </w:p>
          <w:p w:rsidR="0076276F" w:rsidRDefault="0076276F" w:rsidP="0036114A">
            <w:pPr>
              <w:jc w:val="both"/>
              <w:rPr>
                <w:b/>
              </w:rPr>
            </w:pPr>
          </w:p>
          <w:p w:rsidR="0076276F" w:rsidRDefault="0076276F" w:rsidP="0036114A">
            <w:pPr>
              <w:jc w:val="both"/>
              <w:rPr>
                <w:b/>
              </w:rPr>
            </w:pPr>
            <w:r>
              <w:rPr>
                <w:b/>
              </w:rPr>
              <w:t>Tercera idea:</w:t>
            </w:r>
          </w:p>
          <w:p w:rsidR="0076276F" w:rsidRDefault="0076276F" w:rsidP="0076276F">
            <w:pPr>
              <w:jc w:val="both"/>
              <w:rPr>
                <w:b/>
              </w:rPr>
            </w:pPr>
            <w:r w:rsidRPr="0076276F">
              <w:rPr>
                <w:b/>
              </w:rPr>
              <w:t>Constitución de la República</w:t>
            </w:r>
            <w:r>
              <w:rPr>
                <w:b/>
              </w:rPr>
              <w:t xml:space="preserve"> (el salvador)</w:t>
            </w:r>
          </w:p>
          <w:p w:rsidR="0076276F" w:rsidRDefault="0076276F" w:rsidP="0076276F">
            <w:pPr>
              <w:jc w:val="both"/>
            </w:pPr>
            <w:r w:rsidRPr="0076276F">
              <w:t>El derecho laboral debe interpretarse conforme a la constitución. Tratándose de los derechos sociales, como el de familia y del trabajo, esta Sala considera que el juzgador debe procurar por una interpretación finalista de las normas, en armonía con los principios generales del derecho, en la forma que mejor garanticen la eficacia de los derechos establecidos en la Constitución de la República y en los Tratados y convenciones internacionales ratificados por el Estado (Cfr. Argumentos del Art. 8 del Código de Familia, Diario Oficial N° 231, tomo N° 321, del 13 de diciembre de 1993). Por ello, para el caso laboral es preciso, citando a prestigiosa doctrina, “que el intérprete se aparte del formalismo que aísla al derecho de la realidad que le dio vida y se sumerja en los datos que proporcionaron al legislador las fuentes materiales, pues solamente entonces podrá aprehender el sentido auténtico de las normas y su consecuente finalidad” (Cfr. DE LA CUEVA, Mario, El nuevo derecho mexicano del trabajo, Porrúa, México, 1974, Pág. 140).</w:t>
            </w:r>
          </w:p>
          <w:p w:rsidR="00201A23" w:rsidRDefault="00201A23" w:rsidP="0076276F">
            <w:pPr>
              <w:jc w:val="both"/>
            </w:pPr>
          </w:p>
          <w:p w:rsidR="00201A23" w:rsidRDefault="00201A23" w:rsidP="00201A23">
            <w:pPr>
              <w:jc w:val="both"/>
            </w:pPr>
            <w:r>
              <w:t xml:space="preserve">1) A nivel internacional, la declaratoria de inconstitucionalidad de un convenio es limitada. (…) Otro aspecto a recordar es que nuestra Constitución, en sus arts. 145 y 149, en efecto, permite que se someta a control de constitucionalidad concentrado o difuso un tratado internacional, el cual y a tenor del el art. 144 </w:t>
            </w:r>
            <w:proofErr w:type="spellStart"/>
            <w:r>
              <w:t>Cn</w:t>
            </w:r>
            <w:proofErr w:type="spellEnd"/>
            <w:r>
              <w:t>., al entrar en vigencia, se convierte en ley de la República, por lo que su estatus jerárquico es, desde luego, inferior al de las normas constitucionales.</w:t>
            </w:r>
          </w:p>
          <w:p w:rsidR="00EB53CF" w:rsidRPr="00EB53CF" w:rsidRDefault="00201A23" w:rsidP="00201A23">
            <w:pPr>
              <w:jc w:val="both"/>
            </w:pPr>
            <w:r>
              <w:t xml:space="preserve">No es permitido alegar disposiciones de derecho interno para justificar el incumplimiento de un tratado internacional. Nada impide, pues, de acuerdo con nuestro ordenamiento, que un tratado internacional sea expulsado de éste. Ahora bien, en el Derecho Internacional los efectos de esa declaratoria son limitados, pues el Estado ya ha adquirido un compromiso frente a otros Estados o frente a la comunidad internacional, que debe cumplirse de buena fe. Y es que, además, ningún Estado puede, en el plano internacional, alegar disposiciones de Derecho interno para justificar el </w:t>
            </w:r>
            <w:r>
              <w:lastRenderedPageBreak/>
              <w:t xml:space="preserve">incumplimiento de un tratado internacional (art. 27 de la Convención </w:t>
            </w:r>
            <w:proofErr w:type="spellStart"/>
            <w:r>
              <w:t>del</w:t>
            </w:r>
            <w:proofErr w:type="spellEnd"/>
            <w:r>
              <w:t xml:space="preserve"> Viena sobre el Derecho de los Tratados). En la práctica, el Derecho interno y el Derecho Internacional viven en constante tensión: uno trata de imponerse al otro. Y lo mismo sucede entre la jurisdicción interna y los tribunales internacionales. No obstante, es obvio que, en el mundo actual, el Derecho Internacional tiene mayor importancia práctica que el Derecho interno. Ningún Estado puede ya aislarse de la comunidad internacional, ni sustraerse de sus relaciones. Por ello, cuando un Estado tiene obstáculos internos para ratificar un tratado internacional, lo más recomendable es que lo reserve o proceda a su anulación o terminación (arts. 19, 46 y 54 de la Convención de Viena), quedando así, a salvo, su responsabilidad internacional.-</w:t>
            </w:r>
          </w:p>
        </w:tc>
      </w:tr>
    </w:tbl>
    <w:p w:rsidR="00EB53CF" w:rsidRPr="00EB53CF" w:rsidRDefault="00EB53CF" w:rsidP="00EB53CF">
      <w:pPr>
        <w:jc w:val="both"/>
      </w:pPr>
    </w:p>
    <w:sectPr w:rsidR="00EB53CF" w:rsidRPr="00EB53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3CF"/>
    <w:rsid w:val="00201A23"/>
    <w:rsid w:val="0036114A"/>
    <w:rsid w:val="0076276F"/>
    <w:rsid w:val="00830202"/>
    <w:rsid w:val="00AC7790"/>
    <w:rsid w:val="00EB53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7039">
      <w:bodyDiv w:val="1"/>
      <w:marLeft w:val="0"/>
      <w:marRight w:val="0"/>
      <w:marTop w:val="0"/>
      <w:marBottom w:val="0"/>
      <w:divBdr>
        <w:top w:val="none" w:sz="0" w:space="0" w:color="auto"/>
        <w:left w:val="none" w:sz="0" w:space="0" w:color="auto"/>
        <w:bottom w:val="none" w:sz="0" w:space="0" w:color="auto"/>
        <w:right w:val="none" w:sz="0" w:space="0" w:color="auto"/>
      </w:divBdr>
      <w:divsChild>
        <w:div w:id="21376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josue</cp:lastModifiedBy>
  <cp:revision>5</cp:revision>
  <dcterms:created xsi:type="dcterms:W3CDTF">2013-02-14T01:29:00Z</dcterms:created>
  <dcterms:modified xsi:type="dcterms:W3CDTF">2013-07-17T01:01:00Z</dcterms:modified>
</cp:coreProperties>
</file>