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AA" w:rsidRP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75B0"/>
          <w:sz w:val="24"/>
          <w:szCs w:val="24"/>
        </w:rPr>
      </w:pPr>
      <w:r w:rsidRPr="003E6839">
        <w:rPr>
          <w:rFonts w:ascii="Arial" w:hAnsi="Arial" w:cs="Arial"/>
          <w:b/>
          <w:bCs/>
          <w:color w:val="3375B0"/>
          <w:sz w:val="24"/>
          <w:szCs w:val="24"/>
        </w:rPr>
        <w:t>C151 CONVENIO SOBRE LAS RELACIONES DE TRABAJO EN LA ADMINISTRACIÓN</w:t>
      </w:r>
      <w:r>
        <w:rPr>
          <w:rFonts w:ascii="Arial" w:hAnsi="Arial" w:cs="Arial"/>
          <w:b/>
          <w:bCs/>
          <w:color w:val="3375B0"/>
          <w:sz w:val="24"/>
          <w:szCs w:val="24"/>
        </w:rPr>
        <w:t xml:space="preserve"> </w:t>
      </w:r>
      <w:r w:rsidRPr="003E6839">
        <w:rPr>
          <w:rFonts w:ascii="Arial" w:hAnsi="Arial" w:cs="Arial"/>
          <w:b/>
          <w:bCs/>
          <w:color w:val="3375B0"/>
          <w:sz w:val="24"/>
          <w:szCs w:val="24"/>
        </w:rPr>
        <w:t>PÚBLICA, 1978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Convenio sobre la protección del derecho de sindicación y los procedimientos para determinar las condiciones de empleo en la</w:t>
      </w:r>
      <w:r w:rsidR="003E68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administración pública (Nota: Fecha de entrada en vigor: 25:02:1981.)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Lugar:</w:t>
      </w:r>
      <w:r w:rsidR="003E68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Ginebra</w:t>
      </w:r>
    </w:p>
    <w:p w:rsidR="00F44BAA" w:rsidRP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Sesión</w:t>
      </w:r>
      <w:r w:rsidR="00F44BAA" w:rsidRPr="003E6839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4BAA" w:rsidRPr="003E6839">
        <w:rPr>
          <w:rFonts w:ascii="Arial" w:hAnsi="Arial" w:cs="Arial"/>
          <w:color w:val="000000"/>
          <w:sz w:val="24"/>
          <w:szCs w:val="24"/>
        </w:rPr>
        <w:t>64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Fecha de adopción:</w:t>
      </w:r>
      <w:r w:rsidR="003E68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27:06:1978</w:t>
      </w:r>
    </w:p>
    <w:p w:rsidR="00F44BAA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Estatus: Instrumento actualizado que ha sido objeto de una solicitud de información.</w:t>
      </w:r>
    </w:p>
    <w:p w:rsidR="003E6839" w:rsidRP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del Trabajo, y congregada en dicha ciudad el 7 junio 1978 en su sexagésima cuarta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reunión;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Recordando las disposiciones del Convenio sobre la libertad sindical y la protección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del derecho de sindicación, 1948; del Convenio sobre el derecho de sindicación y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negociación colectiva, 1949, y del Convenio y la Recomendación sobre los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representantes de los trabajadores, 1971;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Recordando que el Convenio sobre el derecho de sindicación y de negociación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colectiva, 1949, no es aplicable a ciertas categorías de empleados públicos y que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el Convenio y la Recomendación sobre los representantes de los trabajadores,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1971, se aplican a los representantes de los trabajadores en la empresa;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Tomando nota de la considerable expansión de los servicios prestados por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administración pública en muchos países y de la necesidad de que existan sanas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relaciones laborales entre las autoridades públicas y las organizaciones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empleados públicos;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Observando la gran diversidad de los sistemas políticos, sociales y económicos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los Estados Miembros y las diferentes prácticas aplicadas por dichos Estados (por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ejemplo, en lo atinente a las funciones respectivas de las autoridades centrales y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locales; a las funciones de las autoridades federales, estatales y provinciales; a las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las empresas propiedad del Estado y de los diversos tipos de organismos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públicos autónomos o semiautónomos, o en lo que respecta a la naturaleza de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relación de empleo);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Teniendo en cuenta los problemas particulares que plantea la delimitación del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campo de aplicación de un instrumento internacional y la adopción de definiciones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 los fines del instrumento en razón de las diferencias existentes en muchos países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entre el empleo público y el empleo privado, así como las dificultades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interpretación que se han planteado a propósito de la aplicación a los funcionarios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públicos de las disposiciones pertinentes del Convenio sobre el derecho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sindicación y de negociación colectiva, 1949, y 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as observaciones por las cuales </w:t>
      </w:r>
      <w:r w:rsidRPr="003E6839">
        <w:rPr>
          <w:rFonts w:ascii="Arial" w:hAnsi="Arial" w:cs="Arial"/>
          <w:color w:val="000000"/>
          <w:sz w:val="24"/>
          <w:szCs w:val="24"/>
        </w:rPr>
        <w:t>los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órganos de control de la OIT han señalado en diversas ocasiones que ciertos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gobiernos han aplicado dichas disposiciones en forma tal que grupos numerosos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empleados públicos han quedado excluidos del campo de aplicación del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Convenio;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libertad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sindical y a los procedimientos para determinar las condiciones de empleo en el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lastRenderedPageBreak/>
        <w:t>servicio público, cuestión que constituye el quinto punto del orden del día de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presente reunión, y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convenio internacional,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adopta, con fecha veintisiete de junio de mil novecientos setenta y ocho, el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presente Convenio, que podrá ser citado como el Convenio sobre las relaciones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trabajo en la administración pública, 1978: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I. Campo de Aplicación y Definiciones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El presente Convenio deberá aplicarse a todas las personas empleadas por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administración pública, en la medida en que no les sean aplicables disposiciones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más favorables de otros convenios internacionales del trabajo.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 legislación nacional deberá determinar hasta qué punto las garantías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previstas en el presente Convenio se aplican a los empleados de alto nivel que, por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sus funciones, se considera normalmente que poseen poder decisorio 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desempeñan cargos directivos o a los empleados cuyas obligaciones son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naturaleza altamente confidencial.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3.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 legislación nacional deberá determinar asimismo hasta qué punto las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garantías previstas en el presente Convenio son aplicables a las fuerzas armadas y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 la policía.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 xml:space="preserve">A los efectos del presente Convenio, la expresión </w:t>
      </w:r>
      <w:r w:rsidRPr="003E6839">
        <w:rPr>
          <w:rFonts w:ascii="Arial" w:hAnsi="Arial" w:cs="Arial"/>
          <w:i/>
          <w:iCs/>
          <w:color w:val="000000"/>
          <w:sz w:val="24"/>
          <w:szCs w:val="24"/>
        </w:rPr>
        <w:t xml:space="preserve">empleado público </w:t>
      </w:r>
      <w:r w:rsidRPr="003E6839">
        <w:rPr>
          <w:rFonts w:ascii="Arial" w:hAnsi="Arial" w:cs="Arial"/>
          <w:color w:val="000000"/>
          <w:sz w:val="24"/>
          <w:szCs w:val="24"/>
        </w:rPr>
        <w:t>designa a toda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persona a quien se aplique el presente Convenio de conformidad con su artículo 1.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F44BAA" w:rsidRPr="000262D7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 xml:space="preserve">A los efectos del presente Convenio, la expresión </w:t>
      </w:r>
      <w:r w:rsidRPr="003E6839">
        <w:rPr>
          <w:rFonts w:ascii="Arial" w:hAnsi="Arial" w:cs="Arial"/>
          <w:i/>
          <w:iCs/>
          <w:color w:val="000000"/>
          <w:sz w:val="24"/>
          <w:szCs w:val="24"/>
        </w:rPr>
        <w:t>organización de empleados</w:t>
      </w:r>
      <w:r w:rsidR="000262D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i/>
          <w:iCs/>
          <w:color w:val="000000"/>
          <w:sz w:val="24"/>
          <w:szCs w:val="24"/>
        </w:rPr>
        <w:t xml:space="preserve">públicos </w:t>
      </w:r>
      <w:r w:rsidRPr="003E6839">
        <w:rPr>
          <w:rFonts w:ascii="Arial" w:hAnsi="Arial" w:cs="Arial"/>
          <w:color w:val="000000"/>
          <w:sz w:val="24"/>
          <w:szCs w:val="24"/>
        </w:rPr>
        <w:t>designa a toda organización, cualquiera que sea su composición, que</w:t>
      </w:r>
      <w:r w:rsidR="000262D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tenga por objeto fomentar y defender los intereses de los empleados públicos.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II. Protección del Derecho de Sindicación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Los empleados públicos gozarán de protección adecuada contra todo acto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discriminación antisindical en relación con su empleo.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Dicha protección se ejercerá especialmente contra todo acto que tenga por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objeto: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a)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sujetar el empleo del empleado público a la condición de que no se afilie a una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organización de empleados públicos o a que deje de ser miembro de ella;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b)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despedir a un empleado público, o perjudicarlo de cualquier otra forma, a causa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su afiliación a una organización de empleados públicos o de su participación en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las actividades normales de tal organización.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lastRenderedPageBreak/>
        <w:t>Artículo 5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Las organizaciones de empleados públicos gozarán de completa independencia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respecto de las autoridades públicas.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Las organizaciones de empleados públicos gozarán de adecuada protección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contra todo acto de injerencia de una autoridad pública en su constitución,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funcionamiento o administración.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3.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Se consideran actos de injerencia a los efectos de este artículo principalmente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los destinados a fomentar la constitución de organizaciones de empleados públicos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dominadas por la autoridad pública, o a sostener económicamente, o en otra forma,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organizaciones de empleados públicos con objeto de colocar estas organizaciones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bajo el control de la autoridad pública.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III. Facilidades que Deben Concederse a las Organizaciones de Empleados</w:t>
      </w:r>
      <w:r w:rsidR="003E68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b/>
          <w:color w:val="000000"/>
          <w:sz w:val="24"/>
          <w:szCs w:val="24"/>
        </w:rPr>
        <w:t>Públicos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Deberán concederse a los representantes de las organizaciones reconocidas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empleados públicos facilidades apropiadas para permitirles el desempeño rápido y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eficaz de sus funciones durante sus horas de trabajo o fuera de ellas.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 concesión de tales facilidades no deberá perjudicar el funcionamiento eficaz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la administración o servicio interesado.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3.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 naturaleza y el alcance de estas facilidades se determinarán de acuerdo con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los métodos mencionados en el artículo 7 del presente Convenio o por cualquier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otro medio apropiado.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IV. Procedimientos para la Determinación de las Condiciones de Empleo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Deberán adoptarse, de ser necesario, medidas adecuadas a las condiciones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nacionales para estimular y fomentar el pleno desarrollo y utilización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procedimientos de negociación entre las autoridades públicas competentes y las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organizaciones de empleados públicos acerca de las condiciones de empleo, o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cualesquiera otros métodos que permitan a los representantes de los empleados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públicos participar en la determinación de dichas condiciones.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V. Solución de Conflictos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La solución de los conflictos que se planteen con motivo de la determinación de las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condiciones de empleo se deberá tratar de lograr, de manera apropiada a las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condiciones nacionales, por medio de la negociación entre las partes o mediante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procedimientos independientes e imparciales, tales como la mediación,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conciliación y el arbitraje, establecidos de modo que inspiren la confianza de los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interesados.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VI. Derechos Civiles y Políticos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Los empleados públicos, al igual que los demás trabajadores, gozarán de los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derechos civiles y políticos esenciales para el ejercicio normal de la libertad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lastRenderedPageBreak/>
        <w:t>sindical, a reserva solamente de las obligaciones que se deriven de su condición y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la naturaleza de sus funciones.</w:t>
      </w:r>
    </w:p>
    <w:p w:rsidR="003E6839" w:rsidRDefault="003E6839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Parte VII. Disposiciones Finales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registro, al Director General de la Oficina Internacional del Trabajo.</w:t>
      </w:r>
    </w:p>
    <w:p w:rsidR="000262D7" w:rsidRDefault="000262D7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0262D7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Internacional del Trabajo cuyas ratificaciones haya registrado el Director General.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dos Miembros hayan sido registradas por el Director General.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3.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doce meses después de la fecha en que haya sido registrada su ratificación.</w:t>
      </w:r>
    </w:p>
    <w:p w:rsidR="000262D7" w:rsidRDefault="000262D7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expiración de un período de diez años, a partir de la fecha en que se haya puesto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inicialmente en vigor, mediante un acta comunicada, para su registro, al Director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General de la Oficina Internacional del Trabajo. La denuncia no surtirá efecto hasta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un año después de la fecha en que se haya registrado.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después de la expiración del período de diez años mencionado en el párrafo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precedente, no haga uso del derecho de denuncia previsto en este artículo quedará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obligado durante un nuevo período de diez años, y en lo sucesivo podrá denunciar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este Convenio a la expiración de cada período de diez años, en las condiciones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previstas en este artículo.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Miembros de la Organización Internacional del Trabajo el registro de cuantas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ratificaciones, declaraciones y denuncias le comuniquen los Miembros de la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Organización.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ratificación que le haya sido comunicada, el Director General llamará la atención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los Miembros de la Organización sobre la f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echa en que entrará en vigor el </w:t>
      </w:r>
      <w:r w:rsidRPr="003E6839">
        <w:rPr>
          <w:rFonts w:ascii="Arial" w:hAnsi="Arial" w:cs="Arial"/>
          <w:color w:val="000000"/>
          <w:sz w:val="24"/>
          <w:szCs w:val="24"/>
        </w:rPr>
        <w:t>presente</w:t>
      </w:r>
      <w:r w:rsidR="003E68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Convenio.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General de las Naciones Unidas, a los efectos del registro y de conformidad con el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artículo 102 de la Carta de las Naciones Unidas, una información completa sobre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todas las ratificaciones, declaraciones y actas de denuncia que haya registrado de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acuerdo con los artículos precedentes.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lastRenderedPageBreak/>
        <w:t>Artículo 15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Internacional del Trabajo presentará a la Conferencia una memoria sobre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aplicación del Convenio, y considerará la conveniencia de incluir en el orden del día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 la Conferencia la cuestión de su revisión total o parcial.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16</w:t>
      </w:r>
      <w:bookmarkStart w:id="0" w:name="_GoBack"/>
      <w:bookmarkEnd w:id="0"/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1.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revisión total o parcial del presente, y a menos que el nuevo convenio contenga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disposiciones en contrario: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a)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denuncia inmediata de este Convenio, no obstante las disposiciones contenidas en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el artículo 12, siempre que el nuevo convenio revisor haya entrado en vigor;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b)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Convenio cesará de estar abierto a la ratificación por los Miembros.</w:t>
      </w: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62D7">
        <w:rPr>
          <w:rFonts w:ascii="Arial" w:hAnsi="Arial" w:cs="Arial"/>
          <w:b/>
          <w:color w:val="000000"/>
          <w:sz w:val="24"/>
          <w:szCs w:val="24"/>
        </w:rPr>
        <w:t>2.</w:t>
      </w:r>
      <w:r w:rsidRPr="003E6839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actuales, para los Miembros que lo hayan ratificado y no ratifiquen el convenio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revisor.</w:t>
      </w:r>
    </w:p>
    <w:p w:rsidR="004727C8" w:rsidRDefault="004727C8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4BAA" w:rsidRPr="003E6839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6839">
        <w:rPr>
          <w:rFonts w:ascii="Arial" w:hAnsi="Arial" w:cs="Arial"/>
          <w:b/>
          <w:color w:val="000000"/>
          <w:sz w:val="24"/>
          <w:szCs w:val="24"/>
        </w:rPr>
        <w:t>Artículo 17</w:t>
      </w:r>
    </w:p>
    <w:p w:rsidR="006121F8" w:rsidRPr="000262D7" w:rsidRDefault="00F44BAA" w:rsidP="00943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839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</w:t>
      </w:r>
      <w:r w:rsidR="000262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6839">
        <w:rPr>
          <w:rFonts w:ascii="Arial" w:hAnsi="Arial" w:cs="Arial"/>
          <w:color w:val="000000"/>
          <w:sz w:val="24"/>
          <w:szCs w:val="24"/>
        </w:rPr>
        <w:t>auténticas</w:t>
      </w:r>
    </w:p>
    <w:sectPr w:rsidR="006121F8" w:rsidRPr="00026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26" w:rsidRDefault="006B1126" w:rsidP="004727C8">
      <w:pPr>
        <w:spacing w:after="0" w:line="240" w:lineRule="auto"/>
      </w:pPr>
      <w:r>
        <w:separator/>
      </w:r>
    </w:p>
  </w:endnote>
  <w:endnote w:type="continuationSeparator" w:id="0">
    <w:p w:rsidR="006B1126" w:rsidRDefault="006B1126" w:rsidP="0047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C8" w:rsidRDefault="004727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868902"/>
      <w:docPartObj>
        <w:docPartGallery w:val="Page Numbers (Bottom of Page)"/>
        <w:docPartUnique/>
      </w:docPartObj>
    </w:sdtPr>
    <w:sdtEndPr>
      <w:rPr>
        <w:b/>
      </w:rPr>
    </w:sdtEndPr>
    <w:sdtContent>
      <w:p w:rsidR="004727C8" w:rsidRPr="004727C8" w:rsidRDefault="004727C8">
        <w:pPr>
          <w:pStyle w:val="Piedepgina"/>
          <w:rPr>
            <w:b/>
          </w:rPr>
        </w:pPr>
        <w:r w:rsidRPr="004727C8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44177E" wp14:editId="0945DF3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7C8" w:rsidRDefault="004727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43CE0" w:rsidRPr="00943CE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727C8" w:rsidRDefault="004727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43CE0" w:rsidRPr="00943CE0">
                          <w:rPr>
                            <w:noProof/>
                            <w:color w:val="4F81BD" w:themeColor="accent1"/>
                            <w:lang w:val="es-ES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727C8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C8" w:rsidRDefault="004727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26" w:rsidRDefault="006B1126" w:rsidP="004727C8">
      <w:pPr>
        <w:spacing w:after="0" w:line="240" w:lineRule="auto"/>
      </w:pPr>
      <w:r>
        <w:separator/>
      </w:r>
    </w:p>
  </w:footnote>
  <w:footnote w:type="continuationSeparator" w:id="0">
    <w:p w:rsidR="006B1126" w:rsidRDefault="006B1126" w:rsidP="0047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C8" w:rsidRDefault="004727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C8" w:rsidRDefault="004727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C8" w:rsidRDefault="004727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DC"/>
    <w:rsid w:val="000262D7"/>
    <w:rsid w:val="003E6839"/>
    <w:rsid w:val="004727C8"/>
    <w:rsid w:val="006121F8"/>
    <w:rsid w:val="006B1126"/>
    <w:rsid w:val="0091776C"/>
    <w:rsid w:val="00943CE0"/>
    <w:rsid w:val="00BF40DC"/>
    <w:rsid w:val="00F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7C8"/>
  </w:style>
  <w:style w:type="paragraph" w:styleId="Piedepgina">
    <w:name w:val="footer"/>
    <w:basedOn w:val="Normal"/>
    <w:link w:val="PiedepginaCar"/>
    <w:uiPriority w:val="99"/>
    <w:unhideWhenUsed/>
    <w:rsid w:val="00472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7C8"/>
  </w:style>
  <w:style w:type="paragraph" w:styleId="Piedepgina">
    <w:name w:val="footer"/>
    <w:basedOn w:val="Normal"/>
    <w:link w:val="PiedepginaCar"/>
    <w:uiPriority w:val="99"/>
    <w:unhideWhenUsed/>
    <w:rsid w:val="00472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1757</Words>
  <Characters>9668</Characters>
  <Application>Microsoft Office Word</Application>
  <DocSecurity>0</DocSecurity>
  <Lines>80</Lines>
  <Paragraphs>22</Paragraphs>
  <ScaleCrop>false</ScaleCrop>
  <Company>REGGNETWORK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2013-01-30T17:03:00Z</dcterms:created>
  <dcterms:modified xsi:type="dcterms:W3CDTF">2013-01-30T22:46:00Z</dcterms:modified>
</cp:coreProperties>
</file>