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DC" w:rsidRPr="00C86C67" w:rsidRDefault="006877D3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C86C67">
        <w:rPr>
          <w:rFonts w:ascii="Arial" w:hAnsi="Arial" w:cs="Arial"/>
          <w:b/>
          <w:bCs/>
          <w:color w:val="0000FF"/>
          <w:sz w:val="24"/>
          <w:szCs w:val="24"/>
        </w:rPr>
        <w:t>C98 CONVENIO SOBRE EL DERECHO DE SINDICACIÓN Y DE NEGOCIACIÓN</w:t>
      </w:r>
    </w:p>
    <w:p w:rsidR="002357DC" w:rsidRPr="00C86C67" w:rsidRDefault="006877D3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C86C67">
        <w:rPr>
          <w:rFonts w:ascii="Arial" w:hAnsi="Arial" w:cs="Arial"/>
          <w:b/>
          <w:bCs/>
          <w:color w:val="0000FF"/>
          <w:sz w:val="24"/>
          <w:szCs w:val="24"/>
        </w:rPr>
        <w:t>COLECTIVA, 1949</w:t>
      </w:r>
    </w:p>
    <w:p w:rsidR="002357DC" w:rsidRPr="006877D3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77D3">
        <w:rPr>
          <w:rFonts w:ascii="Arial" w:hAnsi="Arial" w:cs="Arial"/>
          <w:color w:val="000000"/>
          <w:sz w:val="18"/>
          <w:szCs w:val="18"/>
        </w:rPr>
        <w:t>Convenio relativo a la aplicación de los principios del derecho de sindicación y de negociación colectiva (Nota: Fecha de entrada en vigor: 18:07:1951.)</w:t>
      </w:r>
    </w:p>
    <w:p w:rsidR="002357DC" w:rsidRPr="006877D3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77D3">
        <w:rPr>
          <w:rFonts w:ascii="Arial" w:hAnsi="Arial" w:cs="Arial"/>
          <w:color w:val="000000"/>
          <w:sz w:val="18"/>
          <w:szCs w:val="18"/>
        </w:rPr>
        <w:t>Lugar:</w:t>
      </w:r>
      <w:r w:rsidR="006877D3" w:rsidRPr="00687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6877D3">
        <w:rPr>
          <w:rFonts w:ascii="Arial" w:hAnsi="Arial" w:cs="Arial"/>
          <w:color w:val="000000"/>
          <w:sz w:val="18"/>
          <w:szCs w:val="18"/>
        </w:rPr>
        <w:t>Ginebra</w:t>
      </w:r>
    </w:p>
    <w:p w:rsidR="002357DC" w:rsidRPr="006877D3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77D3">
        <w:rPr>
          <w:rFonts w:ascii="Arial" w:hAnsi="Arial" w:cs="Arial"/>
          <w:color w:val="000000"/>
          <w:sz w:val="18"/>
          <w:szCs w:val="18"/>
        </w:rPr>
        <w:t>Fecha de adopción:</w:t>
      </w:r>
      <w:r w:rsidR="006877D3" w:rsidRPr="00687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6877D3">
        <w:rPr>
          <w:rFonts w:ascii="Arial" w:hAnsi="Arial" w:cs="Arial"/>
          <w:color w:val="000000"/>
          <w:sz w:val="18"/>
          <w:szCs w:val="18"/>
        </w:rPr>
        <w:t>01:07:1949</w:t>
      </w:r>
    </w:p>
    <w:p w:rsidR="002357DC" w:rsidRPr="006877D3" w:rsidRDefault="006877D3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77D3">
        <w:rPr>
          <w:rFonts w:ascii="Arial" w:hAnsi="Arial" w:cs="Arial"/>
          <w:color w:val="000000"/>
          <w:sz w:val="18"/>
          <w:szCs w:val="18"/>
        </w:rPr>
        <w:t>Sesión</w:t>
      </w:r>
      <w:r w:rsidR="002357DC" w:rsidRPr="006877D3">
        <w:rPr>
          <w:rFonts w:ascii="Arial" w:hAnsi="Arial" w:cs="Arial"/>
          <w:color w:val="000000"/>
          <w:sz w:val="18"/>
          <w:szCs w:val="18"/>
        </w:rPr>
        <w:t xml:space="preserve"> de la Conferencia:</w:t>
      </w:r>
      <w:r w:rsidRPr="006877D3">
        <w:rPr>
          <w:rFonts w:ascii="Arial" w:hAnsi="Arial" w:cs="Arial"/>
          <w:color w:val="000000"/>
          <w:sz w:val="18"/>
          <w:szCs w:val="18"/>
        </w:rPr>
        <w:t xml:space="preserve"> </w:t>
      </w:r>
      <w:r w:rsidR="002357DC" w:rsidRPr="006877D3">
        <w:rPr>
          <w:rFonts w:ascii="Arial" w:hAnsi="Arial" w:cs="Arial"/>
          <w:color w:val="000000"/>
          <w:sz w:val="18"/>
          <w:szCs w:val="18"/>
        </w:rPr>
        <w:t>32</w:t>
      </w:r>
    </w:p>
    <w:p w:rsidR="002357DC" w:rsidRPr="006877D3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877D3">
        <w:rPr>
          <w:rFonts w:ascii="Arial" w:hAnsi="Arial" w:cs="Arial"/>
          <w:color w:val="000000"/>
          <w:sz w:val="18"/>
          <w:szCs w:val="18"/>
        </w:rPr>
        <w:t xml:space="preserve">Sujeto: </w:t>
      </w:r>
      <w:r w:rsidRPr="006877D3">
        <w:rPr>
          <w:rFonts w:ascii="Arial" w:hAnsi="Arial" w:cs="Arial"/>
          <w:b/>
          <w:bCs/>
          <w:color w:val="000000"/>
          <w:sz w:val="18"/>
          <w:szCs w:val="18"/>
        </w:rPr>
        <w:t>Libertad sindical, negociación colectiva y relaciones laborales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77D3">
        <w:rPr>
          <w:rFonts w:ascii="Arial" w:hAnsi="Arial" w:cs="Arial"/>
          <w:color w:val="000000"/>
          <w:sz w:val="18"/>
          <w:szCs w:val="18"/>
        </w:rPr>
        <w:t>Estatus: Instrumento actualizado Este instrumento hace parte de los convenios fundamentales</w:t>
      </w:r>
      <w:r w:rsidRPr="00C86C67">
        <w:rPr>
          <w:rFonts w:ascii="Arial" w:hAnsi="Arial" w:cs="Arial"/>
          <w:color w:val="000000"/>
          <w:sz w:val="24"/>
          <w:szCs w:val="24"/>
        </w:rPr>
        <w:t>.</w:t>
      </w:r>
    </w:p>
    <w:p w:rsidR="006877D3" w:rsidRDefault="006877D3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Trabajo, y congregada en dicha ciudad el 8 junio 1949 en su trigésima segunda reunión;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aplicación de los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principios del derecho de sindicación y de negociación colectiva, cuestión que constituye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el cuarto punto del orden del día de la reunión, y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internacional,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adopta, con fecha primero de julio de mil novecientos cuarenta y nueve, el siguiente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Convenio, que podrá ser citado como el Convenio sobre el derecho de sindicación y de</w:t>
      </w:r>
      <w:r w:rsidR="006877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negociación colectiva, 1949:</w:t>
      </w:r>
    </w:p>
    <w:p w:rsidR="006877D3" w:rsidRDefault="006877D3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6877D3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77D3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77D3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Los trabajadores deberán gozar de adecuada protección contra todo acto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discriminación tendiente a menoscabar la libertad sindical en relación con su empleo.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Dicha protección deberá ejercerse especialmente contra todo acto que tenga por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objeto: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sujetar el empleo de un trabajador a la condición de que no se afilie a un sindicato o 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la de dejar de ser miembro de un sindicato;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b)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despedir a un trabajador o perjudicarlo en cualquier otra forma a causa de su afiliación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sindical o de su participación en actividades sindicales fuera de las horas de trabajo o,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con el consentimiento del empleador, durante las horas de trabajo.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Las organizaciones de trabajadores y de empleadores deberán gozar de adecuada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protección contra todo acto de injerencia de unas respecto de las otras, ya se realice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directamente o por medio de sus agentes o miembros, en su constitución, funcionamiento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o administración.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Se consideran actos de injerencia, en el sentido del presente artículo, principalmente,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las medidas que tiendan a fomentar la constitución de organizaciones de trabajadores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dominadas por un empleador o una organización de empleadores, o a sostener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económicamente, o en otra forma, organizaciones de trabajadores, con objeto de colocar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estas organizaciones bajo el control de un empleador o de una organización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empleadores.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lastRenderedPageBreak/>
        <w:t>Artículo 3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Deberán crearse organismos adecuados a las condiciones nacionales, cuando ello sea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necesario, para garantizar el respeto al derecho de sindicación definido en los artículos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precedentes.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Deberán adoptarse medidas adecuadas a las condiciones nacionales, cuando ello sea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necesario, para estimular y fomentar entre los empleadores y las organizaciones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empleadores, por una parte, y las organizaciones de trabajadores, por otra, el pleno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desarrollo y uso de procedimientos de negociación voluntaria, con objeto de reglamentar,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por medio de contratos colectivos, las condiciones de empleo.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 legislación nacional deberá determinar el alcance de las garantías previstas en el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presente Convenio en lo que se refiere a su aplicación a las fuerzas armadas y a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policía.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De acuerdo con los principios establecidos en el párrafo 8 del artículo 19 de la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Constitución de la Organización Internacional del Trabajo, la ratificación de este Convenio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por un Miembro no podrá considerarse que menoscaba en modo alguno las leyes,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sentencias, costumbres o acuerdos ya existentes, que concedan a los miembros de las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fuerzas armadas y de la policía las garantías prescritas en este Convenio.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El presente Convenio no trata de la situación de los funcionarios públicos en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administración del Estado y no deberá interpretarse, en modo alguno, en menoscabo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sus derechos o de su estatuto.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Director General de la Oficina Internacional del Trabajo.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Internacional del Trabajo cuyas ratificaciones haya registrado el Director General.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Miembros hayan sido registradas por el Director General.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3.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meses después de la fecha en que haya sido registrada su ratificación.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Trabajo, de acuerdo con el párrafo 2 del artículo 35 de la Constitución de la Organización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Internacional del Trabajo, deberán indicar: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los territorios respecto de los cuales el Miembro interesado se obliga a que las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disposiciones del Convenio sean aplicadas sin modificaciones;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lastRenderedPageBreak/>
        <w:t>b)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sean aplicadas con modificaciones, junto con los detalles de dichas modificaciones;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c)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los territorios respecto de los cuales es inaplicable el Convenio y los motivos por los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cuales es inaplicable;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d)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los territorios respecto de los cuales reserva su decisión en espera de un examen más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detenido de su situación.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Las obligaciones a que se refieren los apartados a) y b) del párrafo 1 de este artículo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se considerarán parte integrante de la ratificación y producirán sus mismos efectos.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3.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Todo Miembro podrá renunciar, total o parcialmente, por medio de una nueva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declaración, a cualquier reserva formulada en su primera declaración en virtud de los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apartados b), c) o d) del párrafo 1 de este artículo.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4.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 de conformidad con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las disposiciones del artículo 11, todo Miembro podrá comunicar al Director General una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declaración por la que modifique, en cualquier otro respecto, los términos de cualquier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declaración anterior y en la que indique la situación en territorios determinados.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Trabajo, de conformidad con los párrafos 4 y 5 del artículo 35 de la Constitución de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Organización Internacional del Trabajo, deberán indicar si las disposiciones del Convenio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serán aplicadas en el territorio interesado con modificaciones o sin ellas; cuando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declaración indique que las disposiciones del Convenio serán aplicadas con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modificaciones, deberá especificar en qué consisten dichas modificaciones.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El Miembro, los Miembros o la autoridad internacional interesados podrán renunciar,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total o parcialmente, por medio de una declaración ulterior, al derecho a invocar una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modificación indicada en cualquier otra declaración anterior.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3.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puede ser denunciado de conformidad con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las disposiciones del artículo 11, el Miembro, los Miembros o la autoridad internacional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interesados podrán comunicar al Director General una declaración por la que modifiquen,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en cualquier otro respecto, los términos de cualquier declaración anterior y en la que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indiquen la situación en lo que se refiere a la aplicación del Convenio.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un período de diez años, a partir de la fecha en que se haya puesto inicialmente en vigor,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mediante un acta comunicada, para su registro, al Director General de la Oficina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Internacional del Trabajo. La denuncia no surtirá efecto hasta un año después de la fecha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en que se haya registrado.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 la expiración del período de diez años mencionado en el párrafo precedente, no haga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uso del derecho de denuncia previsto en este artículo quedará obligado durante un nuevo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período de diez años, y en lo sucesivo podrá </w:t>
      </w:r>
      <w:r w:rsidRPr="00C86C67">
        <w:rPr>
          <w:rFonts w:ascii="Arial" w:hAnsi="Arial" w:cs="Arial"/>
          <w:color w:val="000000"/>
          <w:sz w:val="24"/>
          <w:szCs w:val="24"/>
        </w:rPr>
        <w:lastRenderedPageBreak/>
        <w:t>denunciar este Convenio a la expiración de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cada período de diez años, en las condiciones previstas en este artículo.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Miembros de la Organización Internacional del Trabajo el registro de cuantas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ratificaciones, declaraciones y denuncias le comuniquen los Miembros de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Organización.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le haya sido comunicada, el Director General llamará la atención de los Miembros de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Organización sobre la fecha en que entrará en vigor el presente Convenio.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General de las Naciones Unidas, a los efectos del registro y de conformidad con el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artículo 102 de la Carta de las Naciones Unidas, una información completa sobre todas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las ratificaciones, declaraciones y actas de denuncia que haya registrado de acuerdo con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los artículos precedentes.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Internacional del Trabajo presentará a la Conferencia General una memoria sobre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aplicación del Convenio y considerará la conveniencia de incluir en el orden del día de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Conferencia la cuestión de su revisión total o parcial.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1.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total o parcial del presente, y a menos que el nuevo convenio contenga disposiciones en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contrario: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denuncia inmediata de este Convenio, no obstante las disposiciones contenidas en el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artículo 11, siempre que el nuevo convenio revisor haya entrado en vigor;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b)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Convenio cesará de estar abierto a la ratificación por los Miembros.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2.</w:t>
      </w:r>
      <w:r w:rsidRPr="00C86C67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</w:t>
      </w:r>
      <w:r w:rsidR="009351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6C67">
        <w:rPr>
          <w:rFonts w:ascii="Arial" w:hAnsi="Arial" w:cs="Arial"/>
          <w:color w:val="000000"/>
          <w:sz w:val="24"/>
          <w:szCs w:val="24"/>
        </w:rPr>
        <w:t>para las Miembros que lo hayan ratificado y no ratifiquen el convenio revisor.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351CE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86C67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p w:rsidR="009351CE" w:rsidRDefault="009351CE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7DC" w:rsidRPr="00C86C67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86C67">
        <w:rPr>
          <w:rFonts w:ascii="Arial" w:hAnsi="Arial" w:cs="Arial"/>
          <w:b/>
          <w:bCs/>
          <w:color w:val="000000"/>
          <w:sz w:val="24"/>
          <w:szCs w:val="24"/>
        </w:rPr>
        <w:t>Cross references</w:t>
      </w: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51CE">
        <w:rPr>
          <w:rFonts w:ascii="Arial" w:hAnsi="Arial" w:cs="Arial"/>
          <w:color w:val="000000"/>
          <w:sz w:val="20"/>
          <w:szCs w:val="20"/>
        </w:rPr>
        <w:t>CONSTITUCION:</w:t>
      </w:r>
      <w:r w:rsidR="009351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9351CE">
        <w:rPr>
          <w:rFonts w:ascii="Arial" w:hAnsi="Arial" w:cs="Arial"/>
          <w:color w:val="000000"/>
          <w:sz w:val="20"/>
          <w:szCs w:val="20"/>
        </w:rPr>
        <w:t>19 artículo 19 de la Constitución de la Organización Internacional del Trabajo</w:t>
      </w:r>
    </w:p>
    <w:p w:rsidR="002357DC" w:rsidRPr="009351CE" w:rsidRDefault="002357DC" w:rsidP="001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51CE">
        <w:rPr>
          <w:rFonts w:ascii="Arial" w:hAnsi="Arial" w:cs="Arial"/>
          <w:color w:val="000000"/>
          <w:sz w:val="20"/>
          <w:szCs w:val="20"/>
        </w:rPr>
        <w:t>CONSTITUCION:</w:t>
      </w:r>
      <w:r w:rsidR="009351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9351CE">
        <w:rPr>
          <w:rFonts w:ascii="Arial" w:hAnsi="Arial" w:cs="Arial"/>
          <w:color w:val="000000"/>
          <w:sz w:val="20"/>
          <w:szCs w:val="20"/>
        </w:rPr>
        <w:t>35 artículo 35 de la Constitución de la Organización Internacional del Trabajo</w:t>
      </w:r>
      <w:bookmarkStart w:id="0" w:name="_GoBack"/>
      <w:bookmarkEnd w:id="0"/>
    </w:p>
    <w:sectPr w:rsidR="002357DC" w:rsidRPr="00935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FB" w:rsidRDefault="002D3CFB" w:rsidP="00C86C67">
      <w:pPr>
        <w:spacing w:after="0" w:line="240" w:lineRule="auto"/>
      </w:pPr>
      <w:r>
        <w:separator/>
      </w:r>
    </w:p>
  </w:endnote>
  <w:endnote w:type="continuationSeparator" w:id="0">
    <w:p w:rsidR="002D3CFB" w:rsidRDefault="002D3CFB" w:rsidP="00C8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67" w:rsidRDefault="00C86C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338534"/>
      <w:docPartObj>
        <w:docPartGallery w:val="Page Numbers (Bottom of Page)"/>
        <w:docPartUnique/>
      </w:docPartObj>
    </w:sdtPr>
    <w:sdtEndPr>
      <w:rPr>
        <w:b/>
      </w:rPr>
    </w:sdtEndPr>
    <w:sdtContent>
      <w:p w:rsidR="00C86C67" w:rsidRPr="00C86C67" w:rsidRDefault="00C86C67">
        <w:pPr>
          <w:pStyle w:val="Piedepgina"/>
          <w:rPr>
            <w:b/>
          </w:rPr>
        </w:pPr>
        <w:r w:rsidRPr="00C86C6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D4DFFC" wp14:editId="43A19F6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86C67" w:rsidRDefault="00C86C67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07702" w:rsidRPr="00107702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C86C67" w:rsidRDefault="00C86C67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07702" w:rsidRPr="00107702">
                          <w:rPr>
                            <w:noProof/>
                            <w:color w:val="4F81BD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C86C67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67" w:rsidRDefault="00C86C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FB" w:rsidRDefault="002D3CFB" w:rsidP="00C86C67">
      <w:pPr>
        <w:spacing w:after="0" w:line="240" w:lineRule="auto"/>
      </w:pPr>
      <w:r>
        <w:separator/>
      </w:r>
    </w:p>
  </w:footnote>
  <w:footnote w:type="continuationSeparator" w:id="0">
    <w:p w:rsidR="002D3CFB" w:rsidRDefault="002D3CFB" w:rsidP="00C8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67" w:rsidRDefault="00C86C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67" w:rsidRDefault="00C86C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67" w:rsidRDefault="00C86C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52"/>
    <w:rsid w:val="000B738F"/>
    <w:rsid w:val="00107702"/>
    <w:rsid w:val="002357DC"/>
    <w:rsid w:val="002D3CFB"/>
    <w:rsid w:val="006877D3"/>
    <w:rsid w:val="006D426D"/>
    <w:rsid w:val="009351CE"/>
    <w:rsid w:val="00A95739"/>
    <w:rsid w:val="00AC2252"/>
    <w:rsid w:val="00C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C67"/>
  </w:style>
  <w:style w:type="paragraph" w:styleId="Piedepgina">
    <w:name w:val="footer"/>
    <w:basedOn w:val="Normal"/>
    <w:link w:val="PiedepginaCar"/>
    <w:uiPriority w:val="99"/>
    <w:unhideWhenUsed/>
    <w:rsid w:val="00C86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C67"/>
  </w:style>
  <w:style w:type="paragraph" w:styleId="Piedepgina">
    <w:name w:val="footer"/>
    <w:basedOn w:val="Normal"/>
    <w:link w:val="PiedepginaCar"/>
    <w:uiPriority w:val="99"/>
    <w:unhideWhenUsed/>
    <w:rsid w:val="00C86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1606</Words>
  <Characters>8837</Characters>
  <Application>Microsoft Office Word</Application>
  <DocSecurity>0</DocSecurity>
  <Lines>73</Lines>
  <Paragraphs>20</Paragraphs>
  <ScaleCrop>false</ScaleCrop>
  <Company>REGGNETWORK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2013-01-30T16:45:00Z</dcterms:created>
  <dcterms:modified xsi:type="dcterms:W3CDTF">2013-01-30T22:37:00Z</dcterms:modified>
</cp:coreProperties>
</file>