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07" w:rsidRPr="004E1537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  <w:r w:rsidRPr="004E1537">
        <w:rPr>
          <w:rFonts w:ascii="Arial" w:hAnsi="Arial" w:cs="Arial"/>
          <w:b/>
          <w:bCs/>
          <w:color w:val="0000FF"/>
          <w:sz w:val="24"/>
          <w:szCs w:val="24"/>
        </w:rPr>
        <w:t>C88 CONVENIO SOBRE EL SERVICIO DEL EMPLEO, 1948</w:t>
      </w: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B21FB">
        <w:rPr>
          <w:rFonts w:ascii="Arial" w:hAnsi="Arial" w:cs="Arial"/>
          <w:color w:val="000000"/>
          <w:sz w:val="18"/>
          <w:szCs w:val="18"/>
        </w:rPr>
        <w:t>Convenio relativo a la organización del servicio del empleo (Nota: Fecha de entrada en vigor: 10:08:1950.)</w:t>
      </w: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B21FB">
        <w:rPr>
          <w:rFonts w:ascii="Arial" w:hAnsi="Arial" w:cs="Arial"/>
          <w:color w:val="000000"/>
          <w:sz w:val="18"/>
          <w:szCs w:val="18"/>
        </w:rPr>
        <w:t>Lugar:(San Francisco)</w:t>
      </w: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B21FB">
        <w:rPr>
          <w:rFonts w:ascii="Arial" w:hAnsi="Arial" w:cs="Arial"/>
          <w:color w:val="000000"/>
          <w:sz w:val="18"/>
          <w:szCs w:val="18"/>
        </w:rPr>
        <w:t>Fecha de adopción:</w:t>
      </w:r>
      <w:r w:rsidR="00B4392C" w:rsidRPr="00EB21FB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1FB">
        <w:rPr>
          <w:rFonts w:ascii="Arial" w:hAnsi="Arial" w:cs="Arial"/>
          <w:color w:val="000000"/>
          <w:sz w:val="18"/>
          <w:szCs w:val="18"/>
        </w:rPr>
        <w:t>09:07:1948</w:t>
      </w:r>
    </w:p>
    <w:p w:rsidR="00AA0207" w:rsidRPr="004E1537" w:rsidRDefault="00B4392C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color w:val="000000"/>
          <w:sz w:val="18"/>
          <w:szCs w:val="18"/>
        </w:rPr>
        <w:t>Sesión</w:t>
      </w:r>
      <w:r w:rsidR="00AA0207" w:rsidRPr="00EB21FB">
        <w:rPr>
          <w:rFonts w:ascii="Arial" w:hAnsi="Arial" w:cs="Arial"/>
          <w:color w:val="000000"/>
          <w:sz w:val="18"/>
          <w:szCs w:val="18"/>
        </w:rPr>
        <w:t xml:space="preserve"> de la Conferencia:</w:t>
      </w:r>
      <w:r w:rsidRPr="00EB21FB">
        <w:rPr>
          <w:rFonts w:ascii="Arial" w:hAnsi="Arial" w:cs="Arial"/>
          <w:color w:val="000000"/>
          <w:sz w:val="18"/>
          <w:szCs w:val="18"/>
        </w:rPr>
        <w:t xml:space="preserve"> </w:t>
      </w:r>
      <w:r w:rsidR="00AA0207" w:rsidRPr="00EB21FB">
        <w:rPr>
          <w:rFonts w:ascii="Arial" w:hAnsi="Arial" w:cs="Arial"/>
          <w:color w:val="000000"/>
          <w:sz w:val="18"/>
          <w:szCs w:val="18"/>
        </w:rPr>
        <w:t>31</w:t>
      </w:r>
    </w:p>
    <w:p w:rsidR="00B4392C" w:rsidRDefault="00B4392C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21FB">
        <w:rPr>
          <w:rFonts w:ascii="Arial" w:hAnsi="Arial" w:cs="Arial"/>
          <w:color w:val="000000"/>
          <w:sz w:val="20"/>
          <w:szCs w:val="20"/>
        </w:rPr>
        <w:t>La Conferencia General de la Organización Internacional del Trabajo:</w:t>
      </w: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21FB">
        <w:rPr>
          <w:rFonts w:ascii="Arial" w:hAnsi="Arial" w:cs="Arial"/>
          <w:color w:val="000000"/>
          <w:sz w:val="20"/>
          <w:szCs w:val="20"/>
        </w:rPr>
        <w:t>Convocada en San Francisco por el Consejo de Administración de la Oficina Internacional del Trabajo, y</w:t>
      </w:r>
      <w:r w:rsidR="00107C8D" w:rsidRPr="00EB21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21FB">
        <w:rPr>
          <w:rFonts w:ascii="Arial" w:hAnsi="Arial" w:cs="Arial"/>
          <w:color w:val="000000"/>
          <w:sz w:val="20"/>
          <w:szCs w:val="20"/>
        </w:rPr>
        <w:t>congregada en dicha ciudad el 17 junio 1948 en su trigésima primera reunión;</w:t>
      </w:r>
    </w:p>
    <w:p w:rsidR="00AA0207" w:rsidRPr="00EB21FB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B21FB">
        <w:rPr>
          <w:rFonts w:ascii="Arial" w:hAnsi="Arial" w:cs="Arial"/>
          <w:color w:val="000000"/>
          <w:sz w:val="20"/>
          <w:szCs w:val="20"/>
        </w:rPr>
        <w:t>Después de haber decidido adoptar diversas proposiciones relativas a la organización del servicio del</w:t>
      </w:r>
      <w:r w:rsidR="00107C8D" w:rsidRPr="00EB21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21FB">
        <w:rPr>
          <w:rFonts w:ascii="Arial" w:hAnsi="Arial" w:cs="Arial"/>
          <w:color w:val="000000"/>
          <w:sz w:val="20"/>
          <w:szCs w:val="20"/>
        </w:rPr>
        <w:t>empleo, cuestión que está comprendida en el cuarto punto del orden del día de la reunión, y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color w:val="000000"/>
          <w:sz w:val="20"/>
          <w:szCs w:val="20"/>
        </w:rPr>
        <w:t>Después de haber decidido que dichas proposiciones revistan la forma de un convenio internacional,</w:t>
      </w:r>
      <w:r w:rsidR="00107C8D" w:rsidRPr="00EB21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21FB">
        <w:rPr>
          <w:rFonts w:ascii="Arial" w:hAnsi="Arial" w:cs="Arial"/>
          <w:color w:val="000000"/>
          <w:sz w:val="20"/>
          <w:szCs w:val="20"/>
        </w:rPr>
        <w:t>adopta, con fecha nueve de julio de mil novecientos cuarenta y ocho, el siguiente Convenio, que podrá</w:t>
      </w:r>
      <w:r w:rsidR="00107C8D" w:rsidRPr="00EB21FB">
        <w:rPr>
          <w:rFonts w:ascii="Arial" w:hAnsi="Arial" w:cs="Arial"/>
          <w:color w:val="000000"/>
          <w:sz w:val="20"/>
          <w:szCs w:val="20"/>
        </w:rPr>
        <w:t xml:space="preserve"> </w:t>
      </w:r>
      <w:r w:rsidRPr="00EB21FB">
        <w:rPr>
          <w:rFonts w:ascii="Arial" w:hAnsi="Arial" w:cs="Arial"/>
          <w:color w:val="000000"/>
          <w:sz w:val="20"/>
          <w:szCs w:val="20"/>
        </w:rPr>
        <w:t>ser citado como el Convenio sobre el servicio del empleo, 1948</w:t>
      </w:r>
      <w:r w:rsidRPr="004E1537">
        <w:rPr>
          <w:rFonts w:ascii="Arial" w:hAnsi="Arial" w:cs="Arial"/>
          <w:color w:val="000000"/>
          <w:sz w:val="24"/>
          <w:szCs w:val="24"/>
        </w:rPr>
        <w:t>:</w:t>
      </w:r>
    </w:p>
    <w:p w:rsidR="00107C8D" w:rsidRDefault="00107C8D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de la Organización Internacional del Trabajo para el cual esté en vigor el presente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Convenio deberá mantener o garantizar el mantenimiento de un servicio público y gratuito del empleo.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 función esencial del servicio del empleo, en cooperación, cuando fuere necesario, con otros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organismos interesados, públicos y privados, deberá ser la de lograr la mejor organización posible del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mercado del empleo, como parte integrante del programa nacional destinado a mantener y garantizar 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sistema del empleo para todos y a desarrollar y utilizar los recursos de la producción.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2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El servicio del empleo deberá consistir en un sistema nacional de oficinas del empleo, sujeto al control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una autoridad nacional.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3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El servicio del empleo deberá comprender una red de oficinas locales y, si ello fuere oportuno,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oficinas regionales, en número suficiente para satisfacer las necesidades de cada una de las regiones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geográficas del país y convenientemente situadas para los empleadores y los trabajadores.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 organización de esa red de oficinas: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deberá ser objeto de un examen general: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cuando se hayan producido cambios importantes en la distribución de la actividad económica y de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población trabajadora;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cuando la autoridad competente considere conveniente un examen general para apreciar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experiencia adquirida durante un período de prueba;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deberá revisarse cada vez que dicho examen haya puesto de manifiesto la necesidad de una revisión.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4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Se deberán celebrar los acuerdos necesarios, por intermedio de comisiones consultivas, para obtener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la cooperación de representantes de los empleadores y de los trabajadores en la organización y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funcionamiento del servicio del empleo, así como en el desarrollo del programa del servicio del empleo.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lastRenderedPageBreak/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Estos acuerdos deberán prever la creación de una o varias comisiones nacionales consultivas y, si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fuere necesario, la creación de comisiones regionales y locales.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Los representantes de los empleadores y de los trabajadores en esas comisiones deberán ser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designados, en número igual, previa consulta a las organizaciones representativas de empleadores y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trabajadores, allí donde dichas organizaciones existan.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5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La política general del servicio del empleo, cuando se trate de dirigir a los trabajadores hacia los empleos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disponibles, deberá fijarse, previa consulta a los representantes de los empleadores y de los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trabajadores, por intermedio de las comisiones consultivas previstas en el artículo 4.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6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El servicio del empleo deberá estar organizado de suerte que garantice la eficacia de la contratación y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la colocación de los trabajadores, y a estos efectos deberá: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ayudar a los trabajadores a encontrar un empleo conveniente, y a los empleadores a contratar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trabajadores apropiados a las necesidades de las empresas, y más especialmente deberá,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conformidad con las reglas formuladas de acuerdo con un plan nacional: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llevar un registro de las personas que soliciten empleo; tomar nota de sus aptitudes profesionales,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su experiencia y de sus deseos; interrogarlas a los efectos de su empleo; evaluar, si fuere necesario, sus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aptitudes físicas y profesionales, y ayudarlas a obtener, cuando fuere oportuno, los medios necesarios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para su orientación o readaptación profesionales;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obtener de los empleadores una información detallada de los empleos vacantes que hayan notificado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al servicio, y de las condiciones que deban cumplir los trabajadores solicitados para ocupar estos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empleos;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iii)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dirigir hacia los empleos vacantes a los candidatos que posean las aptitudes profesionales y físicas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exigidas;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iv)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organizar la compensación de las ofertas y demandas de empleo de una oficina con otra, cuando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oficina consultada en primer lugar no pueda colocar convenientemente a los candidatos o cubrir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adecuadamente las vacantes, o cuando otras circunstancias lo justifiquen;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tomar las medidas pertinentes para: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facilitar la movilidad profesional, a fin de ajustar la oferta de la mano de obra a las posibilidades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empleo en las diversas profesiones;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facilitar la movilidad geográfica de la mano de obra, a fin de ayudar a que los trabajadores se trasladen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 las regiones que ofrezcan posibilidades de obtener un empleo conveniente;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iii)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facilitar los traslados temporales de trabajadores de una región a otra, a fin de atenuar el desequilibrio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local y momentáneo entre la oferta y la demanda de mano de obra;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iv)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facilitar cualquier traslado de trabajadores, de un país a otro, que haya sido convenido por los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gobiernos interesados;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c)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recoger y analizar, en colaboración, si fuere oportuno, con otras autoridades, y con los empleadores y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los sindicatos, toda la información disponible sobre la </w:t>
      </w:r>
      <w:r w:rsidRPr="004E1537">
        <w:rPr>
          <w:rFonts w:ascii="Arial" w:hAnsi="Arial" w:cs="Arial"/>
          <w:color w:val="000000"/>
          <w:sz w:val="24"/>
          <w:szCs w:val="24"/>
        </w:rPr>
        <w:lastRenderedPageBreak/>
        <w:t>situación del mercado del empleo y su probable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evolución, tanto en lo que se refiere al país en general como respecto a las diferentes industrias,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profesiones o regiones, y poner sistemática y rápidamente dicha información a disposición de las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autoridades públicas, de las organizaciones interesadas de trabajadores y de empleadores y del público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en general;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d)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colaborar en la administración del seguro y de la asistencia de desempleo y en la aplicación de otras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medidas destinadas a ayudar a los desempleados;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e)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ayudar, siempre que fuere necesario, a otros organismos públicos o privados en la elaboración de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planes sociales y económicos que puedan influir de modo favorable en la situación del empleo.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7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Se deberán tomar medidas para: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facilitar, dentro de las diferentes oficinas del empleo, la especialización por profesiones y por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industrias, tales como la agricultura y todas las demás ramas de actividad donde dicha especialización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pueda ser útil; y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satisfacer adecuadamente las necesidades de categorías especiales de solicitantes de empleo, tales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como los inválidos.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8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Se deberán tomar y perfeccionar medidas especiales para los menores en el campo de los servicios del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empleo y de la orientación profesional.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9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El personal del servicio del empleo deberá estar compuesto de funcionarios públicos cuya situación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jurídica y cuyas condiciones de servicio los independicen de los cambios de gobierno y de cualquier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influencia exterior indebida y que, a reserva de las necesidades del servicio, les garanticen la estabilidad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 su empleo.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A reserva de las condiciones a las que la legislación nacional sujete la contratación de funcionarios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públicos, el personal del servicio del empleo será contratado teniéndose únicamente en cuenta la aptitud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del candidato para el desempeño de sus funciones.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 autoridad competente determinará la forma de comprobar sus aptitudes.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4.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El personal del servicio del empleo deberá recibir formación adecuada para el desempeño de sus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funciones.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10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El servicio del empleo y, si fuere necesario, otras autoridades públicas deberán tomar todas las medidas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posibles, en colaboración con las organizaciones de empleadores y de trabajadores y con otros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organismos interesados, para estimular la utilización máxima voluntaria del servicio del empleo por los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empleadores y los trabajadores.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11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Las autoridades competentes deberán tomar todas las medidas necesarias para lograr una cooperación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eficaz entre el servicio público del empleo y las agencias privadas de colocación sin fines lucrativos.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lastRenderedPageBreak/>
        <w:t>Artículo 12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Cuando el territorio de un Miembro comprenda vastas regiones en las que, a causa de la diseminación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 la población o del estado de su desarrollo económico, la autoridad competente estime impracticable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aplicar las disposiciones del presente Convenio, dicha autoridad podrá exceptuar a esas regiones de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aplicación del Convenio, de una manera general o con las excepciones que juzgue apropiadas respecto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 ciertas empresas o determinados trabajos.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deberá indicar en la primera memoria anual sobre la aplicación del presente Convenio,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que habrá de presentar en virtud del artículo 22 de la Constitución de la Organización Internacional del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Trabajo, toda región respecto de la cual se proponga invocar las disposiciones del presente artículo y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deberá expresar los motivos que lo induzcan a acogerse a dichas disposiciones. Ningún Miembro podrá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invocar ulteriormente las disposiciones de este artículo, salvo con respecto a las regiones así indicadas.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que invoque las disposiciones del presente artículo deberá indicar, en las memorias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anuales posteriores, las regiones respecto de las cuales renuncie al derecho a invocar dichas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disposiciones.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13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Respecto de los territorios mencionados en el artículo 35 de la Constitución de la Organización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Internacional del Trabajo, enmendada por el Instrumento de enmienda a la Constitución de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Organización Internacional del Trabajo, 1946, excepción hecha de los territorios a que se refieren los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párrafos 4 y 5 de dicho artículo, tal como quedó enmendado, todo Miembro de la Organización que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ratifique el presente Convenio deberá comunicar al Director General de la Oficina Internacional del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Trabajo, en el plazo más breve posible después de su ratificación, una declaración en la que manifieste: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 sean aplicadas sin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modificaciones;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los territorios respecto de los cuales se obliga a que las disposiciones del Convenio sean aplicadas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 modificaciones, junto con los detalles de dichas modificaciones;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c)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los territorios respecto de los cuales es inaplicable el Convenio y los motivos por los que es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inaplicable;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d)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los territorios respecto de los cuales reserva su decisión.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Las obligaciones a que se refieren los apartados a) y b) del párrafo 1 de este artículo se considerarán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parte integrante de la ratificación y producirán sus mismos efectos.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podrá renunciar, total o parcialmente, por medio de una nueva declaración, a cualquier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reserva formulada en su primera declaración en virtud de los apartados b), c) o d) del párrafo 1 de este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artículo.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4.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denunciado, de conformidad con las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disposiciones del artículo 17, todo Miembro podrá comunicar al Director General una declaración por la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que modifique, en cualquier otro respecto, los términos de cualquier declaración anterior y en la que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indique la situación en territorios determinados.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lastRenderedPageBreak/>
        <w:t>Artículo 14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07C8D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Cuando las cuestiones tratadas en el presente Convenio sean de la competencia de las autoridades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 un territorio no metropolitano, el Miembro responsable de las relaciones internacionales de ese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territorio, de acuerdo con el gobierno del territorio, podrá comunicar al Director General de la Oficina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Internacional del Trabajo una declaración p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or la que acepte, en nombre del </w:t>
      </w:r>
      <w:r w:rsidRPr="004E1537">
        <w:rPr>
          <w:rFonts w:ascii="Arial" w:hAnsi="Arial" w:cs="Arial"/>
          <w:color w:val="000000"/>
          <w:sz w:val="24"/>
          <w:szCs w:val="24"/>
        </w:rPr>
        <w:t>territorio, las obligaciones del</w:t>
      </w:r>
      <w:r w:rsidR="00107C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presente Convenio.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Podrán comunicar al Director General de la Oficina Internacional del Trabajo una declaración por la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que se acepten las obligaciones de este Convenio: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dos o más Miembros de la Organización, respecto de cualquier territorio que esté bajo su autoridad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común; o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toda autoridad internacional responsable de la administración de cualquier territorio, en virtud de las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disposiciones de la Carta de las Naciones Unidas o de cualquier otra disposición en vigor, respecto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dicho territorio.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Las declaraciones comunicadas al Director General de la Oficina Internacional del Trabajo,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conformidad con los párrafos precedentes de este artículo, deberán indicar si las disposiciones del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Convenio serán aplicadas en el territorio interesado con modificaciones o sin ellas; cuando la declaración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indique que las disposiciones del Convenio serán aplic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adas con modificaciones, deberá </w:t>
      </w:r>
      <w:r w:rsidRPr="004E1537">
        <w:rPr>
          <w:rFonts w:ascii="Arial" w:hAnsi="Arial" w:cs="Arial"/>
          <w:color w:val="000000"/>
          <w:sz w:val="24"/>
          <w:szCs w:val="24"/>
        </w:rPr>
        <w:t>especificar en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qué consisten dichas modificaciones.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4.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El Miembro, los Miembros o la autoridad internacional interesados podrán renunciar, total 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parcialmente, por medio de una declaración ulterior, al derecho a invocar una modificación indicada en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cualquier otra declaración anterior.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5.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Durante los períodos en que este Convenio pueda ser denunciado de conformidad con las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disposiciones del artículo 17, el Miembro, los Miembros o la autoridad internacional interesados podrán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comunicar al Director General una declaración por la que modifiquen, en cualquier otro aspecto, los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términos de cualquier declaración anterior y en la que indiquen la situación en lo que se refiere a la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aplicación del Convenio.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15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Las ratificaciones formales del presente Convenio serán comunicadas, para su registro, al Director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General de la Oficina Internacional del Trabajo.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16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Este Convenio obligará únicamente a aquellos Miembros de la Organización Internacional del Trabajo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cuyas ratificaciones haya registrado el Director General.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Entrará en vigor doce meses después de la fecha en que las ratificaciones de dos Miembros hayan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sido registradas por el Director General.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3.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Desde dicho momento, este Convenio entrará en vigor, para cada Miembro, doce meses después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la fecha en que haya sido registrada su ratificación.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17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podrá denunciarlo a la expiración de un período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diez años, a partir de la fecha en que se haya puesto inicialmente en vigor, mediante un acta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comunicada, para su registro, al Director General de la Oficina Internacional del Trabajo. La denuncia no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surtirá efecto hasta un año después de la fecha en que se haya registrado.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lastRenderedPageBreak/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Todo Miembro que haya ratificado este Convenio y que, en el plazo de un año después de la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expiración del período de diez años mencionado en el párrafo precedente, no haga uso del derecho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denuncia previsto en este artículo quedará obligado durante un nuevo período de diez años, y en lo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sucesivo podrá denunciar este Convenio a la expiración de cada período de diez años, en las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condiciones previstas en este artículo.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18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El Director General de la Oficina Internacional del Trabajo notificará a todos los Miembros de la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Organización Internacional del Trabajo el registro de cuantas ratificaciones, declaraciones y denuncias le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comuniquen los Miembros de la Organización.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Al notificar a los Miembros de la Organización el registro de la segunda ratificación que le haya sido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comunicada, el Director General llamará la atención de los Miembros de la Organización sobre la fecha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en que entrará en vigor el presente Convenio.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19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El Director General de la Oficina Internacional del Trabajo comunicará al Secretario General de las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Naciones Unidas, a los efectos del registro y de conformidad con el artículo 102 de la Carta de las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Naciones Unidas, una información completa sobre todas las ratificaciones, declaraciones y actas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denuncia que haya registrado de acuerdo con los artículos precedentes.</w:t>
      </w: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20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A la expiración de cada período de diez años, a partir de la fecha en que este Convenio entre en vigor, el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Consejo de Administración de la Oficina Internacional del Trabajo deberá presentar a la Conferencia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General una memoria sobre la aplicación de este Convenio, y deberá considerar la conveniencia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incluir en el orden del día de la Conferencia la cuestión de la revisión total o parcial del mismo.</w:t>
      </w:r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21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1.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En caso de que la Conferencia adopte un nuevo convenio que implique una revisión total o parcial del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presente, y a menos que el nuevo convenio contenga disposiciones en contrario: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a)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la ratificación, por un Miembro, del nuevo Convenio revisor implicará, ipso jure, la denuncia inmediata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de este Convenio, no obstante las disposiciones contenidas en el artículo 17, siempre que el nuevo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convenio revisor haya entrado en vigor;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b)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a partir de la fecha en que entre en vigor el nuevo convenio revisor, el presente Convenio cesará de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estar abierto a la ratificación por los Miembros.</w:t>
      </w:r>
    </w:p>
    <w:p w:rsidR="00AA0207" w:rsidRPr="004E1537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EB21FB">
        <w:rPr>
          <w:rFonts w:ascii="Arial" w:hAnsi="Arial" w:cs="Arial"/>
          <w:b/>
          <w:color w:val="000000"/>
          <w:sz w:val="24"/>
          <w:szCs w:val="24"/>
        </w:rPr>
        <w:t>2.</w:t>
      </w:r>
      <w:r w:rsidRPr="004E1537">
        <w:rPr>
          <w:rFonts w:ascii="Arial" w:hAnsi="Arial" w:cs="Arial"/>
          <w:color w:val="000000"/>
          <w:sz w:val="24"/>
          <w:szCs w:val="24"/>
        </w:rPr>
        <w:t xml:space="preserve"> Este Convenio continuará en vigor en todo caso, en su forma y contenido actuales, para los Miembros</w:t>
      </w:r>
      <w:r w:rsidR="00EB21F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537">
        <w:rPr>
          <w:rFonts w:ascii="Arial" w:hAnsi="Arial" w:cs="Arial"/>
          <w:color w:val="000000"/>
          <w:sz w:val="24"/>
          <w:szCs w:val="24"/>
        </w:rPr>
        <w:t>que lo hayan ratificado y no ratifiquen el convenio revisor.</w:t>
      </w:r>
      <w:bookmarkStart w:id="0" w:name="_GoBack"/>
      <w:bookmarkEnd w:id="0"/>
    </w:p>
    <w:p w:rsidR="00EB21FB" w:rsidRDefault="00EB21FB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A0207" w:rsidRPr="00B4392C" w:rsidRDefault="00AA0207" w:rsidP="001272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B4392C">
        <w:rPr>
          <w:rFonts w:ascii="Arial" w:hAnsi="Arial" w:cs="Arial"/>
          <w:b/>
          <w:color w:val="000000"/>
          <w:sz w:val="24"/>
          <w:szCs w:val="24"/>
        </w:rPr>
        <w:t>Artículo 22</w:t>
      </w:r>
    </w:p>
    <w:p w:rsidR="00CB70AA" w:rsidRPr="004E1537" w:rsidRDefault="00AA0207" w:rsidP="00127245">
      <w:pPr>
        <w:jc w:val="both"/>
        <w:rPr>
          <w:rFonts w:ascii="Arial" w:hAnsi="Arial" w:cs="Arial"/>
          <w:sz w:val="24"/>
          <w:szCs w:val="24"/>
        </w:rPr>
      </w:pPr>
      <w:r w:rsidRPr="004E1537">
        <w:rPr>
          <w:rFonts w:ascii="Arial" w:hAnsi="Arial" w:cs="Arial"/>
          <w:color w:val="000000"/>
          <w:sz w:val="24"/>
          <w:szCs w:val="24"/>
        </w:rPr>
        <w:t>Las versiones inglesa y francesa del texto de este Convenio son igualmente auténticas.</w:t>
      </w:r>
    </w:p>
    <w:sectPr w:rsidR="00CB70AA" w:rsidRPr="004E15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FA9" w:rsidRDefault="00987FA9" w:rsidP="004E1537">
      <w:pPr>
        <w:spacing w:after="0" w:line="240" w:lineRule="auto"/>
      </w:pPr>
      <w:r>
        <w:separator/>
      </w:r>
    </w:p>
  </w:endnote>
  <w:endnote w:type="continuationSeparator" w:id="0">
    <w:p w:rsidR="00987FA9" w:rsidRDefault="00987FA9" w:rsidP="004E1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37" w:rsidRDefault="004E153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98832"/>
      <w:docPartObj>
        <w:docPartGallery w:val="Page Numbers (Bottom of Page)"/>
        <w:docPartUnique/>
      </w:docPartObj>
    </w:sdtPr>
    <w:sdtEndPr>
      <w:rPr>
        <w:b/>
      </w:rPr>
    </w:sdtEndPr>
    <w:sdtContent>
      <w:p w:rsidR="004E1537" w:rsidRPr="004E1537" w:rsidRDefault="004E1537">
        <w:pPr>
          <w:pStyle w:val="Piedepgina"/>
          <w:rPr>
            <w:b/>
          </w:rPr>
        </w:pPr>
        <w:r w:rsidRPr="004E1537">
          <w:rPr>
            <w:rFonts w:asciiTheme="majorHAnsi" w:eastAsiaTheme="majorEastAsia" w:hAnsiTheme="majorHAnsi" w:cstheme="majorBidi"/>
            <w:b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AA29CF" wp14:editId="7012D43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606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E1537" w:rsidRDefault="004E1537">
                              <w:pPr>
                                <w:jc w:val="center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27245" w:rsidRPr="00127245">
                                <w:rPr>
                                  <w:noProof/>
                                  <w:color w:val="4F81BD" w:themeColor="accent1"/>
                                  <w:lang w:val="es-ES"/>
                                </w:rPr>
                                <w:t>5</w:t>
                              </w:r>
                              <w:r>
                                <w:rPr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forma 13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xm2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BT8Zt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4E1537" w:rsidRDefault="004E1537">
                        <w:pPr>
                          <w:jc w:val="center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27245" w:rsidRPr="00127245">
                          <w:rPr>
                            <w:noProof/>
                            <w:color w:val="4F81BD" w:themeColor="accent1"/>
                            <w:lang w:val="es-ES"/>
                          </w:rPr>
                          <w:t>5</w:t>
                        </w:r>
                        <w:r>
                          <w:rPr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4E1537">
          <w:rPr>
            <w:b/>
          </w:rPr>
          <w:t>SMCH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37" w:rsidRDefault="004E153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FA9" w:rsidRDefault="00987FA9" w:rsidP="004E1537">
      <w:pPr>
        <w:spacing w:after="0" w:line="240" w:lineRule="auto"/>
      </w:pPr>
      <w:r>
        <w:separator/>
      </w:r>
    </w:p>
  </w:footnote>
  <w:footnote w:type="continuationSeparator" w:id="0">
    <w:p w:rsidR="00987FA9" w:rsidRDefault="00987FA9" w:rsidP="004E1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37" w:rsidRDefault="004E153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37" w:rsidRDefault="004E153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537" w:rsidRDefault="004E15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B82"/>
    <w:rsid w:val="00107C8D"/>
    <w:rsid w:val="00127245"/>
    <w:rsid w:val="003C4B82"/>
    <w:rsid w:val="004E1537"/>
    <w:rsid w:val="0064302A"/>
    <w:rsid w:val="00987FA9"/>
    <w:rsid w:val="00AA0207"/>
    <w:rsid w:val="00B4392C"/>
    <w:rsid w:val="00BD04FF"/>
    <w:rsid w:val="00CB70AA"/>
    <w:rsid w:val="00EB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37"/>
  </w:style>
  <w:style w:type="paragraph" w:styleId="Piedepgina">
    <w:name w:val="footer"/>
    <w:basedOn w:val="Normal"/>
    <w:link w:val="PiedepginaCar"/>
    <w:uiPriority w:val="99"/>
    <w:unhideWhenUsed/>
    <w:rsid w:val="004E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537"/>
  </w:style>
  <w:style w:type="paragraph" w:styleId="Piedepgina">
    <w:name w:val="footer"/>
    <w:basedOn w:val="Normal"/>
    <w:link w:val="PiedepginaCar"/>
    <w:uiPriority w:val="99"/>
    <w:unhideWhenUsed/>
    <w:rsid w:val="004E15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2610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REGGNETWORK</Company>
  <LinksUpToDate>false</LinksUpToDate>
  <CharactersWithSpaces>16933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10</cp:revision>
  <dcterms:created xsi:type="dcterms:W3CDTF">2013-01-30T17:25:00Z</dcterms:created>
  <dcterms:modified xsi:type="dcterms:W3CDTF">2013-01-30T22:37:00Z</dcterms:modified>
</cp:coreProperties>
</file>