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C5" w:rsidRPr="00BE04FC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BE04FC">
        <w:rPr>
          <w:rFonts w:ascii="Arial" w:hAnsi="Arial" w:cs="Arial"/>
          <w:b/>
          <w:bCs/>
          <w:color w:val="0000FF"/>
          <w:sz w:val="24"/>
          <w:szCs w:val="24"/>
        </w:rPr>
        <w:t>C77 CONVENIO SOBRE EL EXAMEN MÉDICO DE LOS MENORES (INDUSTRIA),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BE04FC">
        <w:rPr>
          <w:rFonts w:ascii="Arial" w:hAnsi="Arial" w:cs="Arial"/>
          <w:b/>
          <w:bCs/>
          <w:color w:val="0000FF"/>
          <w:sz w:val="24"/>
          <w:szCs w:val="24"/>
        </w:rPr>
        <w:t>1946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Convenio relativo al examen médico de aptitud para el empleo de los menores en la industria (Nota: Fecha de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entrada en vigor: 29:12:1950.)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Lugar: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Montreal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Fecha de adopción: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09:10:1946</w:t>
      </w:r>
    </w:p>
    <w:p w:rsidR="000024C5" w:rsidRPr="00BE04FC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Sesión</w:t>
      </w:r>
      <w:r w:rsidR="000024C5" w:rsidRPr="00BE04FC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024C5" w:rsidRPr="00BE04FC">
        <w:rPr>
          <w:rFonts w:ascii="Arial" w:hAnsi="Arial" w:cs="Arial"/>
          <w:color w:val="000000"/>
          <w:sz w:val="24"/>
          <w:szCs w:val="24"/>
        </w:rPr>
        <w:t>29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Convocada en Montreal por el Consejo de Administración de la Oficina Internacional del Trabajo, y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congregada en dicha ciudad el 19 septiembre 1946 en su vigésima novena reunión;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al examen médico de aptitud para el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empleo de los menores en la industria, cuestión que está incluida en el tercer punto del orden del día de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la reunión, y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adopta, con fecha nueve de octubre de mil novecientos cuarenta y seis, el siguiente Convenio, que podrá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ser citado como el Convenio sobre el examen médico de los menores (industria), 1946: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Parte I. Disposiciones Generales</w:t>
      </w: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Este Convenio se aplica a los menores que estén empleados o que trabajen en empresas industriales,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públicas o privadas, o en conexión con su funcionamiento.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A los efectos del presente Convenio, se consideran </w:t>
      </w:r>
      <w:r w:rsidRPr="00BE04FC">
        <w:rPr>
          <w:rFonts w:ascii="Arial" w:hAnsi="Arial" w:cs="Arial"/>
          <w:i/>
          <w:iCs/>
          <w:color w:val="000000"/>
          <w:sz w:val="24"/>
          <w:szCs w:val="24"/>
        </w:rPr>
        <w:t>empresas industriales</w:t>
      </w:r>
      <w:r w:rsidRPr="00BE04FC">
        <w:rPr>
          <w:rFonts w:ascii="Arial" w:hAnsi="Arial" w:cs="Arial"/>
          <w:color w:val="000000"/>
          <w:sz w:val="24"/>
          <w:szCs w:val="24"/>
        </w:rPr>
        <w:t>, principalmente: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minas, canteras e industrias extractivas de cualquier clase;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empresas en las cuales se manufacturen, modifiquen, limpien, reparen, adornen, terminen,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preparen para la venta, destruyan o demuelan productos, o en las cuales las materias sufran una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transformación, comprendidas las empresas dedicadas a la construcción de buques, o a la producción,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transformación y transmisión de electricidad o de cualquier clase de fuerza motriz;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c)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empresas de edificación e ingeniería civil, comprendidas las obras de construcción, reparación,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conservación, modificación y demolición;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d)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empresas de transporte de personas o mercancías por carretera, ferrocarril, vía de agua interior o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vía aérea, comprendida la manipulación de mercancías en los muelles, embarcaderos, almacenes o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aeropuertos.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autoridad competente determinará la línea de demarcación entre la industria, por una parte, y la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agricultura, el comercio y los demás trabajos no industriales, por otra.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personas menores de dieciocho años no podrán ser admitidas al empleo en empresas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industriales, a menos que después de un minucioso examen médico se las haya declarado aptas para el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trabajo en que vayan a ser empleadas.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El examen médico de aptitud para el empleo deberá ser efectuado por un médico calificado,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reconocido por la autoridad competente, y deberá ser atestado por medio de un certificado médico, o por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una anotación inscrita en el permiso de empleo o en la cartilla de trabajo.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El documento que pruebe la aptitud para el empleo podrá: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prescribir condiciones determinadas de empleo;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lastRenderedPageBreak/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expedirse para un trabajo determinado o para un grupo de trabajos u ocupaciones que entrañen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riesgos similares para la salud y que hayan sido clasificados en un grupo por la autoridad encargada de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aplicar la legislación relativa al examen médico de aptitud para el empleo.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4.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legislación nacional determinará la autoridad competente para expedir el documento que pruebe la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aptitud para el empleo y definirá las condiciones que deberán observarse para extenderlo y entregarlo.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aptitud de los menores para el empleo que estén ejerciendo deberá estar sujeta a la inspección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médica hasta que hayan alcanzado la edad de dieciocho años.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El empleo continuo de una persona menor de dieciocho años deberá estar sujeto a la repetición del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examen médico a intervalos que no excedan de un año.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legislación nacional deberá: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determinar las circunstancias especiales en las que, además del examen anual, deberá repetirse el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examen médico, o efectuarse con más frecuencia, a fin de garantizar una vigilancia eficaz en relación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 los riesgos que presenta el trabajo y con el estado de salud del menor tal como ha sido revelado por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los exámenes anteriores; o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facultar a la autoridad competente para que pueda exigir la repetición del examen médico en casos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excepcionales.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Con respecto a los trabajos que entrañen grandes riesgos para la salud, deberá exigirse el examen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médico de aptitud para el empleo y su repetición periódica hasta la edad de veintiún años, como mínimo.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legislación nacional deberá determinar los trabajos o categorías de trabajo en los que se exigirá un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examen médico de aptitud hasta la edad de veintiún años, como mínimo, o deberá facultar a una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autoridad apropiada para que los determine.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Los exámenes médicos exigidos por los artículos anteriores no deberán ocasionar gasto alguno a los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menores o a sus padres.</w:t>
      </w: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autoridad competente deberá dictar medidas apropiadas para la orientación profesional y la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readaptación física y profesional de los menores cuyo examen médico haya revelado una ineptitud para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ciertos tipos de trabajo, anomalías o deficiencias.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autoridad competente determinará la naturaleza y el alcance de estas medidas; a estos efectos,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deberá establecerse una colaboración entre los servicios del trabajo, los servicios médicos, los servicios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 educación y los servicios sociales y deberá mantenerse un enlace efectivo entre estos servicios para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poner en práctica estas medidas.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legislación nacional podrá prever que a los menores cuya aptitud para el empleo no haya sido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claramente reconocida se les entreguen: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permisos de trabajo o certificados médicos temporales, válidos para un período limitado, a cuya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expiración el joven trabajador deberá someterse a un nuevo examen;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permisos o certificados que impongan condiciones de trabajo especiales.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lastRenderedPageBreak/>
        <w:t>Artículo 7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El empleador deberá archivar, y mantener a disposición de los inspectores del trabajo, el certificado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médico de aptitud para el empleo, o el permiso de trabajo o cartilla de trabajo que pruebe que no hay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objeción médica al empleo, de conformidad con lo que prescriba la legislación nacional.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legislación nacional determinará los demás métodos de vigilancia que deban adoptarse para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garantizar la estricta aplicación del presente Convenio.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Parte II. Disposiciones Especiales para Ciertos Países</w:t>
      </w: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Cuando el territorio de un Miembro comprenda vastas regiones en las que, a causa de la diseminación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 la población o del estado de su desarrollo económico, la autoridad competente estime impracticable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aplicar las disposiciones del presente Convenio, dicha autoridad podrá exceptuar a esas regiones de la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aplicación del Convenio, de una manera general o con las excepciones que juzgue apropiadas respecto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 ciertas empresas o determinados trabajos.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deberá indicar en la primera memoria anual sobre la aplicación del presente Convenio,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que habrá de presentar en virtud del artículo 22 de la Constitución de la Organización Internacional del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Trabajo, toda región respecto de la cual se proponga invocar las disposiciones del presente artículo.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Ningún Miembro podrá invocar ulteriormente las disposiciones de este artículo, salvo con respecto a las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regiones así indicadas.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que invoque las disposiciones del presente artículo deberá indicar en las memorias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anuales posteriores las regiones respecto de las cuales renuncie al derecho a invocar dichas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disposiciones.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que con anterioridad a la fecha en que haya adoptado una legislación que permita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ratificar el presente Convenio no posea legislación sobre el examen médico de aptitud para el empleo de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menores en la industria podrá, mediante una declaración anexa a su ratificación, sustituir la edad de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dieciocho años, prescrita por los artículos 2 y 3, por una edad inferior a dieciocho años, pero en ningún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caso inferior a dieciséis, y la edad de veintiún años, prescrita por el artículo 4, por una edad inferior a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veintiún años, pero en ningún caso inferior a diecinueve.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que haya formulado una declaración de esta índole podrá anularla en cualquier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momento mediante una declaración ulterior.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para el que esté en vigor una declaración formulada de conformidad con el párrafo 1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del presente artículo deberá indicar, en las memorias anuales subsiguientes sobre la aplicación del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presente Convenio, el alcance logrado por cualquier progreso tendiente a la aplicación total de las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disposiciones del Convenio.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disposiciones de la parte I del presente Convenio se aplican a la India, a reserva de las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modificaciones establecidas por el presente artículo: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dichas disposiciones se aplican a todos los territorios en los que el Poder Legislativo de la India tenga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competencia para aplicarlas;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lastRenderedPageBreak/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serán consideradas </w:t>
      </w:r>
      <w:r w:rsidRPr="00BE04FC">
        <w:rPr>
          <w:rFonts w:ascii="Arial" w:hAnsi="Arial" w:cs="Arial"/>
          <w:i/>
          <w:iCs/>
          <w:color w:val="000000"/>
          <w:sz w:val="24"/>
          <w:szCs w:val="24"/>
        </w:rPr>
        <w:t>empresas industriales</w:t>
      </w:r>
      <w:r w:rsidRPr="00BE04FC">
        <w:rPr>
          <w:rFonts w:ascii="Arial" w:hAnsi="Arial" w:cs="Arial"/>
          <w:color w:val="000000"/>
          <w:sz w:val="24"/>
          <w:szCs w:val="24"/>
        </w:rPr>
        <w:t>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i)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fábricas, de acuerdo con la definición que de ellas establece la ley de fábricas de la India (</w:t>
      </w:r>
      <w:proofErr w:type="spellStart"/>
      <w:r w:rsidRPr="00BE04FC">
        <w:rPr>
          <w:rFonts w:ascii="Arial" w:hAnsi="Arial" w:cs="Arial"/>
          <w:color w:val="000000"/>
          <w:sz w:val="24"/>
          <w:szCs w:val="24"/>
        </w:rPr>
        <w:t>Indian</w:t>
      </w:r>
      <w:proofErr w:type="spellEnd"/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04FC">
        <w:rPr>
          <w:rFonts w:ascii="Arial" w:hAnsi="Arial" w:cs="Arial"/>
          <w:color w:val="000000"/>
          <w:sz w:val="24"/>
          <w:szCs w:val="24"/>
        </w:rPr>
        <w:t>Factories</w:t>
      </w:r>
      <w:proofErr w:type="spellEnd"/>
      <w:r w:rsidRPr="00BE04F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04FC">
        <w:rPr>
          <w:rFonts w:ascii="Arial" w:hAnsi="Arial" w:cs="Arial"/>
          <w:color w:val="000000"/>
          <w:sz w:val="24"/>
          <w:szCs w:val="24"/>
        </w:rPr>
        <w:t>Act</w:t>
      </w:r>
      <w:proofErr w:type="spellEnd"/>
      <w:r w:rsidRPr="00BE04FC">
        <w:rPr>
          <w:rFonts w:ascii="Arial" w:hAnsi="Arial" w:cs="Arial"/>
          <w:color w:val="000000"/>
          <w:sz w:val="24"/>
          <w:szCs w:val="24"/>
        </w:rPr>
        <w:t>);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ii)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minas, de acuerdo con la definición que de ellas establece la ley de minas de la India (</w:t>
      </w:r>
      <w:proofErr w:type="spellStart"/>
      <w:r w:rsidRPr="00BE04FC">
        <w:rPr>
          <w:rFonts w:ascii="Arial" w:hAnsi="Arial" w:cs="Arial"/>
          <w:color w:val="000000"/>
          <w:sz w:val="24"/>
          <w:szCs w:val="24"/>
        </w:rPr>
        <w:t>Indian</w:t>
      </w:r>
      <w:proofErr w:type="spellEnd"/>
      <w:r w:rsidRPr="00BE04FC">
        <w:rPr>
          <w:rFonts w:ascii="Arial" w:hAnsi="Arial" w:cs="Arial"/>
          <w:color w:val="000000"/>
          <w:sz w:val="24"/>
          <w:szCs w:val="24"/>
        </w:rPr>
        <w:t xml:space="preserve"> Minas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04FC">
        <w:rPr>
          <w:rFonts w:ascii="Arial" w:hAnsi="Arial" w:cs="Arial"/>
          <w:color w:val="000000"/>
          <w:sz w:val="24"/>
          <w:szCs w:val="24"/>
        </w:rPr>
        <w:t>Act</w:t>
      </w:r>
      <w:proofErr w:type="spellEnd"/>
      <w:r w:rsidRPr="00BE04FC">
        <w:rPr>
          <w:rFonts w:ascii="Arial" w:hAnsi="Arial" w:cs="Arial"/>
          <w:color w:val="000000"/>
          <w:sz w:val="24"/>
          <w:szCs w:val="24"/>
        </w:rPr>
        <w:t>);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iii)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los ferrocarriles; y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iv)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todos los empleos comprendidos en la ley de 1938 sobre el empleo de los niños;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c)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los artículos 2 y 3 se aplican a las personas menores de dieciséis años;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d)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en el artículo 4, las palabras </w:t>
      </w:r>
      <w:r w:rsidRPr="00BF360B">
        <w:rPr>
          <w:rFonts w:ascii="Arial" w:hAnsi="Arial" w:cs="Arial"/>
          <w:b/>
          <w:color w:val="000000"/>
          <w:sz w:val="24"/>
          <w:szCs w:val="24"/>
        </w:rPr>
        <w:t>"diecinueve años"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60B">
        <w:rPr>
          <w:rFonts w:ascii="Arial" w:hAnsi="Arial" w:cs="Arial"/>
          <w:color w:val="000000"/>
          <w:sz w:val="24"/>
          <w:szCs w:val="24"/>
          <w:u w:val="single"/>
        </w:rPr>
        <w:t>sustituirán a las palabras "veintiún años"</w:t>
      </w:r>
      <w:r w:rsidRPr="00BE04FC">
        <w:rPr>
          <w:rFonts w:ascii="Arial" w:hAnsi="Arial" w:cs="Arial"/>
          <w:color w:val="000000"/>
          <w:sz w:val="24"/>
          <w:szCs w:val="24"/>
        </w:rPr>
        <w:t>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e)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los párrafos 1 y 2 del artículo 6 no se aplican a la India.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Las disposiciones del párrafo 1 de este artículo podrán enmendarse de conformidad con el siguiente</w:t>
      </w:r>
      <w:r w:rsidR="009801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procedimiento: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Conferencia Internacional del Trabajo podrá, en cualquier reunión en la que la cuestión figure en el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orden del día, adoptar, por una mayoría de dos tercios, proyectos de enmienda al párrafo 1 del presente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artículo;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estos proyectos de enmienda deberán someterse, en el plazo de un año o, en la concurrencia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circunstancias excepcionales, en un plazo de dieciocho meses después de clausurada la reunión de la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Conferencia, a la autoridad o autoridades competentes de la India para que se dicten las leyes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correspondientes o se adopten otras medidas;</w:t>
      </w:r>
    </w:p>
    <w:p w:rsidR="00BF360B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c)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si la India obtiene el consentimiento de la autoridad o de las autoridades competentes, comunicará la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ratificación formal de la enmienda, para su registro, al Director General de la Oficina Internacional del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Trabajo; 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d)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una vez ratificado el proyecto de enmienda por la India, entrará en vigor como enmienda al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presente Convenio.</w:t>
      </w:r>
    </w:p>
    <w:p w:rsidR="00980131" w:rsidRDefault="00980131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Parte III. Disposiciones Finales</w:t>
      </w: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Ninguna de las disposiciones del presente Convenio menoscabará en modo alguno las leyes,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sentencias, costumbres o acuerdos celebrados entre empleadores y trabajadores que garanticen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condiciones más favorables que las prescritas en este Convenio.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3.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diez años, a partir de la fecha en que se haya puesto inicialmente en vigor, </w:t>
      </w:r>
      <w:r w:rsidRPr="00BE04FC">
        <w:rPr>
          <w:rFonts w:ascii="Arial" w:hAnsi="Arial" w:cs="Arial"/>
          <w:color w:val="000000"/>
          <w:sz w:val="24"/>
          <w:szCs w:val="24"/>
        </w:rPr>
        <w:lastRenderedPageBreak/>
        <w:t>mediante un acta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denuncia previsto en este artículo quedará obligado durante un período de diez años, y en lo sucesivo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podrá denunciar este Convenio a la expiración de cada período de diez años, en las condiciones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previstas en este artículo.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 y denuncias le comuniquen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los Miembros de la Organización.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 y actas de denuncia que haya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registrado de acuerdo con los artículos precedentes.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17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A la expiración de cada período de diez años, a partir de la fecha en que este Convenio entre en vigor, el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Consejo de Administración de la Oficina Internacional del Trabajo deberá presentar a la Conferencia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General una memoria sobre la aplicación de este Convenio, y deberá considerar la conveniencia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incluir en el orden del día de la Conferencia la cuestión de la revisión total o parcial del mismo.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1.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a)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14, siempre que el nuevo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b)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0024C5" w:rsidRPr="00BE04FC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360B">
        <w:rPr>
          <w:rFonts w:ascii="Arial" w:hAnsi="Arial" w:cs="Arial"/>
          <w:b/>
          <w:color w:val="000000"/>
          <w:sz w:val="24"/>
          <w:szCs w:val="24"/>
        </w:rPr>
        <w:t>2.</w:t>
      </w:r>
      <w:r w:rsidRPr="00BE04FC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BF36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4FC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BF360B" w:rsidRDefault="00BF360B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024C5" w:rsidRPr="00980131" w:rsidRDefault="000024C5" w:rsidP="00E6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0131">
        <w:rPr>
          <w:rFonts w:ascii="Arial" w:hAnsi="Arial" w:cs="Arial"/>
          <w:b/>
          <w:color w:val="000000"/>
          <w:sz w:val="24"/>
          <w:szCs w:val="24"/>
        </w:rPr>
        <w:t>Artículo 19</w:t>
      </w:r>
      <w:bookmarkStart w:id="0" w:name="_GoBack"/>
      <w:bookmarkEnd w:id="0"/>
    </w:p>
    <w:p w:rsidR="004B2AA7" w:rsidRPr="00BE04FC" w:rsidRDefault="000024C5" w:rsidP="00E60FE0">
      <w:pPr>
        <w:jc w:val="both"/>
        <w:rPr>
          <w:rFonts w:ascii="Arial" w:hAnsi="Arial" w:cs="Arial"/>
          <w:sz w:val="24"/>
          <w:szCs w:val="24"/>
        </w:rPr>
      </w:pPr>
      <w:r w:rsidRPr="00BE04FC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4B2AA7" w:rsidRPr="00BE04FC" w:rsidSect="00E60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64" w:rsidRDefault="00936E64" w:rsidP="00BE04FC">
      <w:pPr>
        <w:spacing w:after="0" w:line="240" w:lineRule="auto"/>
      </w:pPr>
      <w:r>
        <w:separator/>
      </w:r>
    </w:p>
  </w:endnote>
  <w:endnote w:type="continuationSeparator" w:id="0">
    <w:p w:rsidR="00936E64" w:rsidRDefault="00936E64" w:rsidP="00BE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C" w:rsidRDefault="00BE04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5555"/>
      <w:docPartObj>
        <w:docPartGallery w:val="Page Numbers (Bottom of Page)"/>
        <w:docPartUnique/>
      </w:docPartObj>
    </w:sdtPr>
    <w:sdtEndPr>
      <w:rPr>
        <w:b/>
      </w:rPr>
    </w:sdtEndPr>
    <w:sdtContent>
      <w:p w:rsidR="00BE04FC" w:rsidRPr="00BE04FC" w:rsidRDefault="00BE04FC">
        <w:pPr>
          <w:pStyle w:val="Piedepgina"/>
          <w:rPr>
            <w:b/>
          </w:rPr>
        </w:pPr>
        <w:r w:rsidRPr="00BE04FC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A42C72" wp14:editId="1D49D40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04FC" w:rsidRDefault="00BE04F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60FE0" w:rsidRPr="00E60FE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BE04FC" w:rsidRDefault="00BE04F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60FE0" w:rsidRPr="00E60FE0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BE04FC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C" w:rsidRDefault="00BE04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64" w:rsidRDefault="00936E64" w:rsidP="00BE04FC">
      <w:pPr>
        <w:spacing w:after="0" w:line="240" w:lineRule="auto"/>
      </w:pPr>
      <w:r>
        <w:separator/>
      </w:r>
    </w:p>
  </w:footnote>
  <w:footnote w:type="continuationSeparator" w:id="0">
    <w:p w:rsidR="00936E64" w:rsidRDefault="00936E64" w:rsidP="00BE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C" w:rsidRDefault="00BE04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C" w:rsidRDefault="00BE04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C" w:rsidRDefault="00BE0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90"/>
    <w:rsid w:val="000024C5"/>
    <w:rsid w:val="001C2190"/>
    <w:rsid w:val="004B2AA7"/>
    <w:rsid w:val="00936E64"/>
    <w:rsid w:val="00980131"/>
    <w:rsid w:val="00AE2C1B"/>
    <w:rsid w:val="00B406A7"/>
    <w:rsid w:val="00BE04FC"/>
    <w:rsid w:val="00BF360B"/>
    <w:rsid w:val="00E6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4FC"/>
  </w:style>
  <w:style w:type="paragraph" w:styleId="Piedepgina">
    <w:name w:val="footer"/>
    <w:basedOn w:val="Normal"/>
    <w:link w:val="PiedepginaCar"/>
    <w:uiPriority w:val="99"/>
    <w:unhideWhenUsed/>
    <w:rsid w:val="00BE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4FC"/>
  </w:style>
  <w:style w:type="paragraph" w:styleId="Piedepgina">
    <w:name w:val="footer"/>
    <w:basedOn w:val="Normal"/>
    <w:link w:val="PiedepginaCar"/>
    <w:uiPriority w:val="99"/>
    <w:unhideWhenUsed/>
    <w:rsid w:val="00BE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2200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2013-01-30T17:10:00Z</dcterms:created>
  <dcterms:modified xsi:type="dcterms:W3CDTF">2013-01-30T22:36:00Z</dcterms:modified>
</cp:coreProperties>
</file>