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DC0" w:rsidRDefault="00406146">
      <w:r>
        <w:rPr>
          <w:rFonts w:ascii="Arial" w:hAnsi="Arial" w:cs="Arial"/>
          <w:color w:val="000000"/>
          <w:sz w:val="20"/>
          <w:szCs w:val="20"/>
          <w:shd w:val="clear" w:color="auto" w:fill="F7F7F7"/>
        </w:rPr>
        <w:t>T</w:t>
      </w:r>
      <w:bookmarkStart w:id="0" w:name="_GoBack"/>
      <w:bookmarkEnd w:id="0"/>
      <w:r>
        <w:rPr>
          <w:rFonts w:ascii="Arial" w:hAnsi="Arial" w:cs="Arial"/>
          <w:color w:val="000000"/>
          <w:sz w:val="20"/>
          <w:szCs w:val="20"/>
          <w:shd w:val="clear" w:color="auto" w:fill="F7F7F7"/>
        </w:rPr>
        <w:t>ÍTULO VI. OBLIGACIONES Y DERECHOS ENTRE LOS CÓNYUGES.</w:t>
      </w:r>
      <w:r>
        <w:rPr>
          <w:color w:val="000000"/>
          <w:sz w:val="27"/>
          <w:szCs w:val="27"/>
        </w:rPr>
        <w:br/>
      </w:r>
      <w:r>
        <w:rPr>
          <w:color w:val="000000"/>
          <w:sz w:val="27"/>
          <w:szCs w:val="27"/>
        </w:rPr>
        <w:br/>
      </w:r>
      <w:r>
        <w:rPr>
          <w:rFonts w:ascii="Arial" w:hAnsi="Arial" w:cs="Arial"/>
          <w:color w:val="000000"/>
          <w:sz w:val="20"/>
          <w:szCs w:val="20"/>
          <w:shd w:val="clear" w:color="auto" w:fill="F7F7F7"/>
        </w:rPr>
        <w:t>Art. 182. “Los cónyuges están obligados a guardarse fidelidad, a socorrerse y a ayudarse mutuamente en todas las circunstancias de la vida.</w:t>
      </w:r>
      <w:r>
        <w:rPr>
          <w:color w:val="000000"/>
          <w:sz w:val="27"/>
          <w:szCs w:val="27"/>
        </w:rPr>
        <w:br/>
      </w:r>
      <w:r>
        <w:rPr>
          <w:color w:val="000000"/>
          <w:sz w:val="27"/>
          <w:szCs w:val="27"/>
        </w:rPr>
        <w:br/>
      </w:r>
      <w:r>
        <w:rPr>
          <w:rFonts w:ascii="Arial" w:hAnsi="Arial" w:cs="Arial"/>
          <w:color w:val="000000"/>
          <w:sz w:val="20"/>
          <w:szCs w:val="20"/>
          <w:shd w:val="clear" w:color="auto" w:fill="F7F7F7"/>
        </w:rPr>
        <w:t>El marido debe protección a la mujer, y la mujer obediencia al marido”</w:t>
      </w:r>
      <w:r>
        <w:rPr>
          <w:color w:val="000000"/>
          <w:sz w:val="27"/>
          <w:szCs w:val="27"/>
        </w:rPr>
        <w:br/>
      </w:r>
      <w:r>
        <w:rPr>
          <w:color w:val="000000"/>
          <w:sz w:val="27"/>
          <w:szCs w:val="27"/>
        </w:rPr>
        <w:br/>
      </w:r>
      <w:r>
        <w:rPr>
          <w:rFonts w:ascii="Arial" w:hAnsi="Arial" w:cs="Arial"/>
          <w:color w:val="000000"/>
          <w:sz w:val="20"/>
          <w:szCs w:val="20"/>
          <w:shd w:val="clear" w:color="auto" w:fill="F7F7F7"/>
        </w:rPr>
        <w:t>Art. 183.- “El marido tiene derecho para obligar a su mujer a vivir con el y a seguirle donde quiera que traslade su residencia.</w:t>
      </w:r>
      <w:r>
        <w:rPr>
          <w:color w:val="000000"/>
          <w:sz w:val="27"/>
          <w:szCs w:val="27"/>
        </w:rPr>
        <w:br/>
      </w:r>
      <w:r>
        <w:rPr>
          <w:color w:val="000000"/>
          <w:sz w:val="27"/>
          <w:szCs w:val="27"/>
        </w:rPr>
        <w:br/>
      </w:r>
      <w:r>
        <w:rPr>
          <w:rFonts w:ascii="Arial" w:hAnsi="Arial" w:cs="Arial"/>
          <w:color w:val="000000"/>
          <w:sz w:val="20"/>
          <w:szCs w:val="20"/>
          <w:shd w:val="clear" w:color="auto" w:fill="F7F7F7"/>
        </w:rPr>
        <w:t>Este derecho no podrá hacerse valer coactivamente, pero el marido puede negarse a alimentar a la esposa que se niegue sin justa causa a vivir con el. La mujer, por su parte, tiene derecho a que el marido la reciba en su casa.</w:t>
      </w:r>
      <w:r>
        <w:rPr>
          <w:color w:val="000000"/>
          <w:sz w:val="27"/>
          <w:szCs w:val="27"/>
        </w:rPr>
        <w:br/>
      </w:r>
      <w:r>
        <w:rPr>
          <w:color w:val="000000"/>
          <w:sz w:val="27"/>
          <w:szCs w:val="27"/>
        </w:rPr>
        <w:br/>
      </w:r>
      <w:r>
        <w:rPr>
          <w:rFonts w:ascii="Arial" w:hAnsi="Arial" w:cs="Arial"/>
          <w:color w:val="000000"/>
          <w:sz w:val="20"/>
          <w:szCs w:val="20"/>
          <w:shd w:val="clear" w:color="auto" w:fill="F7F7F7"/>
        </w:rPr>
        <w:t>En los casos de este artículo el Juez procederá sumariamente”.</w:t>
      </w:r>
      <w:r>
        <w:rPr>
          <w:color w:val="000000"/>
          <w:sz w:val="27"/>
          <w:szCs w:val="27"/>
        </w:rPr>
        <w:br/>
      </w:r>
      <w:r>
        <w:rPr>
          <w:color w:val="000000"/>
          <w:sz w:val="27"/>
          <w:szCs w:val="27"/>
        </w:rPr>
        <w:br/>
      </w:r>
      <w:r>
        <w:rPr>
          <w:rFonts w:ascii="Arial" w:hAnsi="Arial" w:cs="Arial"/>
          <w:color w:val="000000"/>
          <w:sz w:val="20"/>
          <w:szCs w:val="20"/>
          <w:shd w:val="clear" w:color="auto" w:fill="F7F7F7"/>
        </w:rPr>
        <w:t>Art. 184.- “El marido debe suministrar a la mujer lo necesario, según sus facultades, y la mujer tendrá igual obligación respecto al marido, si este careciere de bienes.”</w:t>
      </w:r>
      <w:r>
        <w:rPr>
          <w:color w:val="000000"/>
          <w:sz w:val="27"/>
          <w:szCs w:val="27"/>
        </w:rPr>
        <w:br/>
      </w:r>
      <w:r>
        <w:rPr>
          <w:color w:val="000000"/>
          <w:sz w:val="27"/>
          <w:szCs w:val="27"/>
        </w:rPr>
        <w:br/>
      </w:r>
      <w:r>
        <w:rPr>
          <w:rFonts w:ascii="Arial" w:hAnsi="Arial" w:cs="Arial"/>
          <w:color w:val="000000"/>
          <w:sz w:val="20"/>
          <w:szCs w:val="20"/>
          <w:shd w:val="clear" w:color="auto" w:fill="F7F7F7"/>
        </w:rPr>
        <w:t>Art. 185.- “Los que traten de contraer matrimonio, pueden antes de celebrarlo, arreglas en las capitulaciones matrimoniales todo lo concerniente a la propiedad y administración de sus bienes. Este convenio deberá constar en escritura pública o privada debidamente registrada, de acuerdo con el artículo 1587. Las capitulaciones matrimoniales pueden modificarse después de celebrado el matrimonio; pero las alteraciones no producirán efecto contra terceros, sino después de inscrita la nueva escritura y de haberse enunciad en el periódico oficial que los cónyuges han alterado sus capitulaciones”.</w:t>
      </w:r>
      <w:r>
        <w:rPr>
          <w:color w:val="000000"/>
          <w:sz w:val="27"/>
          <w:szCs w:val="27"/>
        </w:rPr>
        <w:br/>
      </w:r>
      <w:r>
        <w:rPr>
          <w:color w:val="000000"/>
          <w:sz w:val="27"/>
          <w:szCs w:val="27"/>
        </w:rPr>
        <w:br/>
      </w:r>
      <w:r>
        <w:rPr>
          <w:rFonts w:ascii="Arial" w:hAnsi="Arial" w:cs="Arial"/>
          <w:color w:val="000000"/>
          <w:sz w:val="20"/>
          <w:szCs w:val="20"/>
          <w:shd w:val="clear" w:color="auto" w:fill="F7F7F7"/>
        </w:rPr>
        <w:t>Art. 86.- “A falta de capitulaciones matrimoniales, cada cónyuge conservará la propiedad exclusiva y la libre administración de los bienes que tenia al contraer matrimonio, de los que adquiera durante el que cualquier título y de los frutos de unos y otros.”</w:t>
      </w:r>
      <w:r>
        <w:rPr>
          <w:color w:val="000000"/>
          <w:sz w:val="27"/>
          <w:szCs w:val="27"/>
        </w:rPr>
        <w:br/>
      </w:r>
      <w:r>
        <w:rPr>
          <w:color w:val="000000"/>
          <w:sz w:val="27"/>
          <w:szCs w:val="27"/>
        </w:rPr>
        <w:br/>
      </w:r>
      <w:r>
        <w:rPr>
          <w:rFonts w:ascii="Arial" w:hAnsi="Arial" w:cs="Arial"/>
          <w:color w:val="000000"/>
          <w:sz w:val="20"/>
          <w:szCs w:val="20"/>
          <w:shd w:val="clear" w:color="auto" w:fill="F7F7F7"/>
        </w:rPr>
        <w:t>Art. 187. “Si el matrimonio se hubiere celebrado bajo el régimen de la comunidad de bienes, la sociedad conyugal se disolverá.</w:t>
      </w:r>
      <w:r>
        <w:rPr>
          <w:color w:val="000000"/>
          <w:sz w:val="27"/>
          <w:szCs w:val="27"/>
        </w:rPr>
        <w:br/>
      </w:r>
      <w:r>
        <w:rPr>
          <w:color w:val="000000"/>
          <w:sz w:val="27"/>
          <w:szCs w:val="27"/>
        </w:rPr>
        <w:br/>
      </w:r>
      <w:r>
        <w:rPr>
          <w:rFonts w:ascii="Arial" w:hAnsi="Arial" w:cs="Arial"/>
          <w:color w:val="000000"/>
          <w:sz w:val="20"/>
          <w:szCs w:val="20"/>
          <w:shd w:val="clear" w:color="auto" w:fill="F7F7F7"/>
        </w:rPr>
        <w:t>1) Por expiración del plazo estipulado para su duración.</w:t>
      </w:r>
      <w:r>
        <w:rPr>
          <w:color w:val="000000"/>
          <w:sz w:val="27"/>
          <w:szCs w:val="27"/>
        </w:rPr>
        <w:br/>
      </w:r>
      <w:r>
        <w:rPr>
          <w:color w:val="000000"/>
          <w:sz w:val="27"/>
          <w:szCs w:val="27"/>
        </w:rPr>
        <w:br/>
      </w:r>
      <w:r>
        <w:rPr>
          <w:rFonts w:ascii="Arial" w:hAnsi="Arial" w:cs="Arial"/>
          <w:color w:val="000000"/>
          <w:sz w:val="20"/>
          <w:szCs w:val="20"/>
          <w:shd w:val="clear" w:color="auto" w:fill="F7F7F7"/>
        </w:rPr>
        <w:t>2) Por la muerte real o presunta de uno de los cónyuges</w:t>
      </w:r>
      <w:r>
        <w:rPr>
          <w:rStyle w:val="apple-converted-space"/>
          <w:rFonts w:ascii="Arial" w:hAnsi="Arial" w:cs="Arial"/>
          <w:color w:val="000000"/>
          <w:sz w:val="20"/>
          <w:szCs w:val="20"/>
          <w:shd w:val="clear" w:color="auto" w:fill="F7F7F7"/>
        </w:rPr>
        <w:t> </w:t>
      </w:r>
      <w:r>
        <w:rPr>
          <w:color w:val="000000"/>
          <w:sz w:val="27"/>
          <w:szCs w:val="27"/>
        </w:rPr>
        <w:br/>
      </w:r>
      <w:r>
        <w:rPr>
          <w:color w:val="000000"/>
          <w:sz w:val="27"/>
          <w:szCs w:val="27"/>
        </w:rPr>
        <w:br/>
      </w:r>
      <w:r>
        <w:rPr>
          <w:rFonts w:ascii="Arial" w:hAnsi="Arial" w:cs="Arial"/>
          <w:color w:val="000000"/>
          <w:sz w:val="20"/>
          <w:szCs w:val="20"/>
          <w:shd w:val="clear" w:color="auto" w:fill="F7F7F7"/>
        </w:rPr>
        <w:t>3) Por la sentencia ejecutoriada de divorcio absoluto o de nulidad de matrimonio, y</w:t>
      </w:r>
      <w:r>
        <w:rPr>
          <w:color w:val="000000"/>
          <w:sz w:val="27"/>
          <w:szCs w:val="27"/>
        </w:rPr>
        <w:br/>
      </w:r>
      <w:r>
        <w:rPr>
          <w:color w:val="000000"/>
          <w:sz w:val="27"/>
          <w:szCs w:val="27"/>
        </w:rPr>
        <w:br/>
      </w:r>
      <w:r>
        <w:rPr>
          <w:rFonts w:ascii="Arial" w:hAnsi="Arial" w:cs="Arial"/>
          <w:color w:val="000000"/>
          <w:sz w:val="20"/>
          <w:szCs w:val="20"/>
          <w:shd w:val="clear" w:color="auto" w:fill="F7F7F7"/>
        </w:rPr>
        <w:t>4) Por descuido, insolvencia o malversación del cónyuge encargado de la administración. En este último caso, la disolución deberá ser declarada por el Juez, previo el juicio correspondiente.”</w:t>
      </w:r>
      <w:r>
        <w:rPr>
          <w:color w:val="000000"/>
          <w:sz w:val="27"/>
          <w:szCs w:val="27"/>
        </w:rPr>
        <w:br/>
      </w:r>
      <w:r>
        <w:rPr>
          <w:color w:val="000000"/>
          <w:sz w:val="27"/>
          <w:szCs w:val="27"/>
        </w:rPr>
        <w:br/>
      </w:r>
      <w:r>
        <w:rPr>
          <w:rFonts w:ascii="Arial" w:hAnsi="Arial" w:cs="Arial"/>
          <w:color w:val="000000"/>
          <w:sz w:val="20"/>
          <w:szCs w:val="20"/>
          <w:shd w:val="clear" w:color="auto" w:fill="F7F7F7"/>
        </w:rPr>
        <w:lastRenderedPageBreak/>
        <w:t>Art. 188. “Disuelta la sociedad conyugal, se entregarán a cada cónyuge o a sus herederos los bienes que hubiere introducido al matrimonio y los que después hubiere adquirido particularmente por cualquier título, debiendo comprobarse la propiedad exclusiva con las capitulaciones matrimoniales o con el respectivo instrumento de adquisición. Los demás bienes se reputarán comunes y se distribuirán por mitad entre ambos cónyuges. Es permitido renunciar en las capitulaciones a las ventajas de esta distribución”.</w:t>
      </w:r>
      <w:r>
        <w:rPr>
          <w:color w:val="000000"/>
          <w:sz w:val="27"/>
          <w:szCs w:val="27"/>
        </w:rPr>
        <w:br/>
      </w:r>
      <w:r>
        <w:rPr>
          <w:color w:val="000000"/>
          <w:sz w:val="27"/>
          <w:szCs w:val="27"/>
        </w:rPr>
        <w:br/>
      </w:r>
      <w:r>
        <w:rPr>
          <w:rFonts w:ascii="Arial" w:hAnsi="Arial" w:cs="Arial"/>
          <w:color w:val="000000"/>
          <w:sz w:val="20"/>
          <w:szCs w:val="20"/>
          <w:shd w:val="clear" w:color="auto" w:fill="F7F7F7"/>
        </w:rPr>
        <w:t>Art. 189. “Los cónyuges podrán contratar entre sí, y la mujer no necesita autorización de marido ni el Juez para celebrar toda clase de contratos ni para comparecer en juicio. Esta disposición es aplicable a los matrimonios contraídos de conformidad con las leyes anteriores”.</w:t>
      </w:r>
      <w:r>
        <w:rPr>
          <w:color w:val="000000"/>
          <w:sz w:val="27"/>
          <w:szCs w:val="27"/>
        </w:rPr>
        <w:br/>
      </w:r>
      <w:r>
        <w:rPr>
          <w:color w:val="000000"/>
          <w:sz w:val="27"/>
          <w:szCs w:val="27"/>
        </w:rPr>
        <w:br/>
      </w:r>
      <w:r>
        <w:rPr>
          <w:rFonts w:ascii="Arial" w:hAnsi="Arial" w:cs="Arial"/>
          <w:color w:val="000000"/>
          <w:sz w:val="20"/>
          <w:szCs w:val="20"/>
          <w:shd w:val="clear" w:color="auto" w:fill="F7F7F7"/>
        </w:rPr>
        <w:t>Art. 190. “La sociedad conyugal de los matrimonios contraídos según la legislación anterior, se regirán por ella respecto de los bienes que constituían antes del 24 de agosto de 1902, pero los cónyuges pueden hacer cesar dicha sociedad mediante escritura de división del haber social que se inscribirá en el Registro de la Propiedad cuando se refiera a bienes raíces”.</w:t>
      </w:r>
      <w:r>
        <w:rPr>
          <w:color w:val="000000"/>
          <w:sz w:val="27"/>
          <w:szCs w:val="27"/>
        </w:rPr>
        <w:br/>
      </w:r>
      <w:r>
        <w:rPr>
          <w:color w:val="000000"/>
          <w:sz w:val="27"/>
          <w:szCs w:val="27"/>
        </w:rPr>
        <w:br/>
      </w:r>
      <w:r>
        <w:rPr>
          <w:rFonts w:ascii="Arial" w:hAnsi="Arial" w:cs="Arial"/>
          <w:color w:val="000000"/>
          <w:sz w:val="20"/>
          <w:szCs w:val="20"/>
          <w:shd w:val="clear" w:color="auto" w:fill="F7F7F7"/>
        </w:rPr>
        <w:t>Art. 191. “En caso de comunidad, los gastos de alimentos y demás de la familia serán a cargo de la sociedad conyugal, y en el estado de administración separada, dichos gastos corresponden en primer lugar al marido y subsidiariamente a la mujer. Ninguno de los cónyuges tendrá derecho a pedir que se le reembolse lo que hubiere invertido en los gastos de la familia común”.</w:t>
      </w:r>
      <w:r>
        <w:rPr>
          <w:color w:val="000000"/>
          <w:sz w:val="27"/>
          <w:szCs w:val="27"/>
        </w:rPr>
        <w:br/>
      </w:r>
      <w:r>
        <w:rPr>
          <w:color w:val="000000"/>
          <w:sz w:val="27"/>
          <w:szCs w:val="27"/>
        </w:rPr>
        <w:br/>
      </w:r>
      <w:r>
        <w:rPr>
          <w:rFonts w:ascii="Arial" w:hAnsi="Arial" w:cs="Arial"/>
          <w:color w:val="000000"/>
          <w:sz w:val="20"/>
          <w:szCs w:val="20"/>
          <w:shd w:val="clear" w:color="auto" w:fill="F7F7F7"/>
        </w:rPr>
        <w:t>Art. 192.- “La sociedad conyugal de los matrimonios que se contraigan después del 24 de agosto de 1902, se regirán por las respectivas capitulaciones matrimoniales, y en todo lo que no estuviere expresamente estipulado, se observarán en lo aplicable las reglas del contrato de sociedad”.</w:t>
      </w:r>
      <w:r>
        <w:rPr>
          <w:color w:val="000000"/>
          <w:sz w:val="27"/>
          <w:szCs w:val="27"/>
        </w:rPr>
        <w:br/>
      </w:r>
      <w:r>
        <w:rPr>
          <w:color w:val="000000"/>
          <w:sz w:val="27"/>
          <w:szCs w:val="27"/>
        </w:rPr>
        <w:br/>
      </w:r>
      <w:r>
        <w:rPr>
          <w:rFonts w:ascii="Arial" w:hAnsi="Arial" w:cs="Arial"/>
          <w:color w:val="000000"/>
          <w:sz w:val="20"/>
          <w:szCs w:val="20"/>
          <w:shd w:val="clear" w:color="auto" w:fill="F7F7F7"/>
        </w:rPr>
        <w:t>Otros artículos que se refieren al régimen patrimonial del matrimonio son los Art. 100, 150, 160, 174, 1586, 1587, 1588 y 1589 del Código Civil.</w:t>
      </w:r>
    </w:p>
    <w:sectPr w:rsidR="00BB1D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146"/>
    <w:rsid w:val="00406146"/>
    <w:rsid w:val="00BB1DC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4061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406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3564</Characters>
  <Application>Microsoft Office Word</Application>
  <DocSecurity>0</DocSecurity>
  <Lines>29</Lines>
  <Paragraphs>8</Paragraphs>
  <ScaleCrop>false</ScaleCrop>
  <Company>Hewlett-Packard Company</Company>
  <LinksUpToDate>false</LinksUpToDate>
  <CharactersWithSpaces>4204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dc:creator>
  <cp:lastModifiedBy>Ana´s</cp:lastModifiedBy>
  <cp:revision>1</cp:revision>
  <dcterms:created xsi:type="dcterms:W3CDTF">2013-09-26T01:27:00Z</dcterms:created>
  <dcterms:modified xsi:type="dcterms:W3CDTF">2013-09-26T01:27:00Z</dcterms:modified>
</cp:coreProperties>
</file>