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833E5" w:rsidRPr="00A22C60" w:rsidRDefault="00E833E5" w:rsidP="00E833E5">
      <w:pPr>
        <w:jc w:val="center"/>
        <w:rPr>
          <w:b/>
          <w:sz w:val="28"/>
          <w:szCs w:val="28"/>
        </w:rPr>
      </w:pPr>
    </w:p>
    <w:p w:rsidR="00102F9A" w:rsidRDefault="00102F9A" w:rsidP="009C27B1">
      <w:pPr>
        <w:spacing w:line="360" w:lineRule="auto"/>
        <w:jc w:val="both"/>
        <w:rPr>
          <w:rFonts w:ascii="Arial" w:hAnsi="Arial" w:cs="Arial"/>
          <w:b/>
          <w:sz w:val="32"/>
          <w:szCs w:val="32"/>
        </w:rPr>
      </w:pPr>
      <w:r>
        <w:rPr>
          <w:rFonts w:ascii="Arial" w:hAnsi="Arial" w:cs="Arial"/>
          <w:b/>
          <w:sz w:val="32"/>
          <w:szCs w:val="32"/>
        </w:rPr>
        <w:br w:type="page"/>
      </w:r>
      <w:bookmarkStart w:id="0" w:name="_GoBack"/>
      <w:bookmarkEnd w:id="0"/>
    </w:p>
    <w:p w:rsidR="00825A99" w:rsidRDefault="00253F1D" w:rsidP="00253F1D">
      <w:pPr>
        <w:jc w:val="center"/>
        <w:rPr>
          <w:rFonts w:ascii="Arial" w:hAnsi="Arial" w:cs="Arial"/>
          <w:b/>
          <w:sz w:val="32"/>
          <w:szCs w:val="32"/>
        </w:rPr>
      </w:pPr>
      <w:r>
        <w:rPr>
          <w:rFonts w:ascii="Arial" w:hAnsi="Arial" w:cs="Arial"/>
          <w:b/>
          <w:sz w:val="32"/>
          <w:szCs w:val="32"/>
        </w:rPr>
        <w:lastRenderedPageBreak/>
        <w:t>PRINCIPIOS DE LA PRUEBA.</w:t>
      </w:r>
    </w:p>
    <w:p w:rsidR="00253F1D" w:rsidRDefault="00253F1D" w:rsidP="00253F1D">
      <w:pPr>
        <w:jc w:val="center"/>
        <w:rPr>
          <w:rFonts w:ascii="Arial" w:hAnsi="Arial" w:cs="Arial"/>
          <w:b/>
          <w:sz w:val="32"/>
          <w:szCs w:val="32"/>
        </w:rPr>
      </w:pPr>
    </w:p>
    <w:p w:rsidR="00253F1D" w:rsidRPr="00AC25A9" w:rsidRDefault="00253F1D" w:rsidP="00AC25A9">
      <w:pPr>
        <w:spacing w:line="360" w:lineRule="auto"/>
        <w:jc w:val="both"/>
        <w:rPr>
          <w:rFonts w:ascii="Arial" w:hAnsi="Arial" w:cs="Arial"/>
          <w:sz w:val="24"/>
          <w:szCs w:val="24"/>
        </w:rPr>
      </w:pPr>
      <w:r w:rsidRPr="00AC25A9">
        <w:rPr>
          <w:rFonts w:ascii="Arial" w:hAnsi="Arial" w:cs="Arial"/>
          <w:sz w:val="24"/>
          <w:szCs w:val="24"/>
        </w:rPr>
        <w:t>Al referirnos a los principios en términos generales se toma en cuenta todas aquellas figuras jurídicas capaces de fijar los lineamientos precisos sobre los cuales se desenvuelve el proceso judicial. Algunos de ellos se refieren a las formas de los actos procesales, se refiere al modo por el cual se han de exteriorizar las voluntades creadoras del acto procesal.</w:t>
      </w:r>
      <w:r w:rsidR="00633F5E">
        <w:rPr>
          <w:rStyle w:val="Refdenotaalpie"/>
          <w:rFonts w:ascii="Arial" w:hAnsi="Arial" w:cs="Arial"/>
          <w:sz w:val="24"/>
          <w:szCs w:val="24"/>
        </w:rPr>
        <w:footnoteReference w:id="1"/>
      </w:r>
    </w:p>
    <w:p w:rsidR="00162999" w:rsidRPr="00AC25A9" w:rsidRDefault="00253F1D" w:rsidP="00AC25A9">
      <w:pPr>
        <w:spacing w:line="360" w:lineRule="auto"/>
        <w:jc w:val="both"/>
        <w:rPr>
          <w:rFonts w:ascii="Arial" w:hAnsi="Arial" w:cs="Arial"/>
          <w:sz w:val="24"/>
          <w:szCs w:val="24"/>
        </w:rPr>
      </w:pPr>
      <w:r w:rsidRPr="00AC25A9">
        <w:rPr>
          <w:rFonts w:ascii="Arial" w:hAnsi="Arial" w:cs="Arial"/>
          <w:sz w:val="24"/>
          <w:szCs w:val="24"/>
        </w:rPr>
        <w:t xml:space="preserve">Estos principios no necesariamente se encuentran en la constitución, sin embargo, de las normas constitucionales se derivan los contenidos que cada uno reside. Los principios nos dan pautas necesarias a efecto de saber conducir la actividad tanto de las partes como del juzgador durante el desenvolvimiento o sustanciación del proceso. Todos ellos están encaminados a demostrar que existen mecanismos idóneos que pueden </w:t>
      </w:r>
      <w:r w:rsidR="00162999" w:rsidRPr="00AC25A9">
        <w:rPr>
          <w:rFonts w:ascii="Arial" w:hAnsi="Arial" w:cs="Arial"/>
          <w:sz w:val="24"/>
          <w:szCs w:val="24"/>
        </w:rPr>
        <w:t>permitir una mejor administración de justicia, siempre que se haga un uso racional y adecuado de las formas procedimentales.</w:t>
      </w:r>
    </w:p>
    <w:p w:rsidR="00162999" w:rsidRPr="00AC25A9" w:rsidRDefault="00162999" w:rsidP="00AC25A9">
      <w:pPr>
        <w:spacing w:line="360" w:lineRule="auto"/>
        <w:jc w:val="both"/>
        <w:rPr>
          <w:rFonts w:ascii="Arial" w:hAnsi="Arial" w:cs="Arial"/>
          <w:sz w:val="24"/>
          <w:szCs w:val="24"/>
        </w:rPr>
      </w:pPr>
      <w:r w:rsidRPr="00AC25A9">
        <w:rPr>
          <w:rFonts w:ascii="Arial" w:hAnsi="Arial" w:cs="Arial"/>
          <w:sz w:val="24"/>
          <w:szCs w:val="24"/>
        </w:rPr>
        <w:t>Para el saber de la prueba judicial sobre los principios existen tres criterios:</w:t>
      </w:r>
    </w:p>
    <w:p w:rsidR="00253F1D" w:rsidRPr="00AC25A9" w:rsidRDefault="00162999" w:rsidP="00AC25A9">
      <w:pPr>
        <w:pStyle w:val="Prrafodelista"/>
        <w:numPr>
          <w:ilvl w:val="0"/>
          <w:numId w:val="1"/>
        </w:numPr>
        <w:spacing w:line="360" w:lineRule="auto"/>
        <w:jc w:val="both"/>
        <w:rPr>
          <w:rFonts w:ascii="Arial" w:hAnsi="Arial" w:cs="Arial"/>
          <w:sz w:val="24"/>
          <w:szCs w:val="24"/>
        </w:rPr>
      </w:pPr>
      <w:r w:rsidRPr="00AC25A9">
        <w:rPr>
          <w:rFonts w:ascii="Arial" w:hAnsi="Arial" w:cs="Arial"/>
          <w:sz w:val="24"/>
          <w:szCs w:val="24"/>
        </w:rPr>
        <w:t>Existe el criterio objetivo que mira a la prueba desde el punto de vista del hecho o de la actividad que prueba, es decir, el testimonio, la inspección del juez, el documento, declaración de la parte, el hecho que constituye el indicio. Se considera la prueba como el hecho o actividad que sirve para llevarle al juez el convencimiento sobre los hechos que interesan al proceso.</w:t>
      </w:r>
    </w:p>
    <w:p w:rsidR="00162999" w:rsidRPr="00AC25A9" w:rsidRDefault="00162999" w:rsidP="00AC25A9">
      <w:pPr>
        <w:pStyle w:val="Prrafodelista"/>
        <w:numPr>
          <w:ilvl w:val="0"/>
          <w:numId w:val="1"/>
        </w:numPr>
        <w:spacing w:line="360" w:lineRule="auto"/>
        <w:jc w:val="both"/>
        <w:rPr>
          <w:rFonts w:ascii="Arial" w:hAnsi="Arial" w:cs="Arial"/>
          <w:sz w:val="24"/>
          <w:szCs w:val="24"/>
        </w:rPr>
      </w:pPr>
      <w:r w:rsidRPr="00AC25A9">
        <w:rPr>
          <w:rFonts w:ascii="Arial" w:hAnsi="Arial" w:cs="Arial"/>
          <w:sz w:val="24"/>
          <w:szCs w:val="24"/>
        </w:rPr>
        <w:t>Se toma en cuenta de tipo subjetivo que ya no mira lo instrumental, la prueba viene a ser el convencimiento del juez sobre los hechos y así se utiliza este</w:t>
      </w:r>
      <w:r w:rsidR="00F46E47" w:rsidRPr="00AC25A9">
        <w:rPr>
          <w:rFonts w:ascii="Arial" w:hAnsi="Arial" w:cs="Arial"/>
          <w:sz w:val="24"/>
          <w:szCs w:val="24"/>
        </w:rPr>
        <w:t xml:space="preserve"> criterio, cuando se dice que en un proceso hubo prueba porque el juez se declaró convencido de los hechos, o que en un proceso no hay prueba porque a pesar de que se hayan llevado testimonios, documentos e inspecciones, el juez no se considera convenido por ellos.</w:t>
      </w:r>
    </w:p>
    <w:p w:rsidR="00F46E47" w:rsidRPr="00AC25A9" w:rsidRDefault="00F46E47" w:rsidP="00AC25A9">
      <w:pPr>
        <w:pStyle w:val="Prrafodelista"/>
        <w:numPr>
          <w:ilvl w:val="0"/>
          <w:numId w:val="1"/>
        </w:numPr>
        <w:spacing w:line="360" w:lineRule="auto"/>
        <w:jc w:val="both"/>
        <w:rPr>
          <w:rFonts w:ascii="Arial" w:hAnsi="Arial" w:cs="Arial"/>
          <w:sz w:val="24"/>
          <w:szCs w:val="24"/>
        </w:rPr>
      </w:pPr>
      <w:r w:rsidRPr="00AC25A9">
        <w:rPr>
          <w:rFonts w:ascii="Arial" w:hAnsi="Arial" w:cs="Arial"/>
          <w:sz w:val="24"/>
          <w:szCs w:val="24"/>
        </w:rPr>
        <w:lastRenderedPageBreak/>
        <w:t>Existe el criterio mixto que contempla el instrumento de la convicción, dándose le concepto de prueba un sentido más global, más completo que lo hace comprensible en su integridad.</w:t>
      </w:r>
      <w:r w:rsidR="00633F5E">
        <w:rPr>
          <w:rStyle w:val="Refdenotaalpie"/>
          <w:rFonts w:ascii="Arial" w:hAnsi="Arial" w:cs="Arial"/>
          <w:sz w:val="24"/>
          <w:szCs w:val="24"/>
        </w:rPr>
        <w:footnoteReference w:id="2"/>
      </w:r>
    </w:p>
    <w:p w:rsidR="00F46E47" w:rsidRPr="00AC25A9" w:rsidRDefault="00F46E47" w:rsidP="00AC25A9">
      <w:pPr>
        <w:spacing w:line="360" w:lineRule="auto"/>
        <w:jc w:val="both"/>
        <w:rPr>
          <w:rFonts w:ascii="Arial" w:hAnsi="Arial" w:cs="Arial"/>
          <w:sz w:val="24"/>
          <w:szCs w:val="24"/>
        </w:rPr>
      </w:pPr>
      <w:r w:rsidRPr="00AC25A9">
        <w:rPr>
          <w:rFonts w:ascii="Arial" w:hAnsi="Arial" w:cs="Arial"/>
          <w:sz w:val="24"/>
          <w:szCs w:val="24"/>
        </w:rPr>
        <w:t>La prueba se presenta como aquellos hechos mediante los cuales se le producen al juez el convencimiento sobre los hechos mediante los cuales se investigan en el proceso, pro aquellos medios que la ley autorice.</w:t>
      </w:r>
    </w:p>
    <w:p w:rsidR="00AC25A9" w:rsidRDefault="00F46E47" w:rsidP="00AC25A9">
      <w:pPr>
        <w:spacing w:line="360" w:lineRule="auto"/>
        <w:jc w:val="both"/>
        <w:rPr>
          <w:rFonts w:ascii="Arial" w:hAnsi="Arial" w:cs="Arial"/>
          <w:sz w:val="24"/>
          <w:szCs w:val="24"/>
        </w:rPr>
      </w:pPr>
      <w:r w:rsidRPr="00AC25A9">
        <w:rPr>
          <w:rFonts w:ascii="Arial" w:hAnsi="Arial" w:cs="Arial"/>
          <w:sz w:val="24"/>
          <w:szCs w:val="24"/>
        </w:rPr>
        <w:t xml:space="preserve">Estos principios generales no son puramente teóricos, por el </w:t>
      </w:r>
      <w:r w:rsidR="007B6E82" w:rsidRPr="00AC25A9">
        <w:rPr>
          <w:rFonts w:ascii="Arial" w:hAnsi="Arial" w:cs="Arial"/>
          <w:sz w:val="24"/>
          <w:szCs w:val="24"/>
        </w:rPr>
        <w:t>contrario,</w:t>
      </w:r>
      <w:r w:rsidRPr="00AC25A9">
        <w:rPr>
          <w:rFonts w:ascii="Arial" w:hAnsi="Arial" w:cs="Arial"/>
          <w:sz w:val="24"/>
          <w:szCs w:val="24"/>
        </w:rPr>
        <w:t xml:space="preserve"> son el material básico para ilustrar el criterio del juez o del </w:t>
      </w:r>
      <w:r w:rsidR="00801FE9" w:rsidRPr="00AC25A9">
        <w:rPr>
          <w:rFonts w:ascii="Arial" w:hAnsi="Arial" w:cs="Arial"/>
          <w:sz w:val="24"/>
          <w:szCs w:val="24"/>
        </w:rPr>
        <w:t>abogado</w:t>
      </w:r>
      <w:r w:rsidRPr="00AC25A9">
        <w:rPr>
          <w:rFonts w:ascii="Arial" w:hAnsi="Arial" w:cs="Arial"/>
          <w:sz w:val="24"/>
          <w:szCs w:val="24"/>
        </w:rPr>
        <w:t xml:space="preserve"> en la</w:t>
      </w:r>
      <w:r w:rsidR="00801FE9" w:rsidRPr="00AC25A9">
        <w:rPr>
          <w:rFonts w:ascii="Arial" w:hAnsi="Arial" w:cs="Arial"/>
          <w:sz w:val="24"/>
          <w:szCs w:val="24"/>
        </w:rPr>
        <w:t xml:space="preserve"> práctica de judicial, interpretando mejor el medio de prueba particular, el derecho de probar en general, la situación probatoria de cada proceso.</w:t>
      </w:r>
    </w:p>
    <w:p w:rsidR="007B6E82" w:rsidRDefault="007B6E82" w:rsidP="00AC25A9">
      <w:pPr>
        <w:spacing w:line="360" w:lineRule="auto"/>
        <w:jc w:val="both"/>
        <w:rPr>
          <w:rFonts w:ascii="Arial" w:hAnsi="Arial" w:cs="Arial"/>
          <w:sz w:val="24"/>
          <w:szCs w:val="24"/>
        </w:rPr>
      </w:pPr>
      <w:r w:rsidRPr="00AC25A9">
        <w:rPr>
          <w:rFonts w:ascii="Arial" w:hAnsi="Arial" w:cs="Arial"/>
          <w:sz w:val="24"/>
          <w:szCs w:val="24"/>
        </w:rPr>
        <w:t>Estos principios se manifiestan en:</w:t>
      </w:r>
    </w:p>
    <w:p w:rsidR="00AC25A9" w:rsidRPr="00AC25A9" w:rsidRDefault="00AC25A9" w:rsidP="00AC25A9">
      <w:pPr>
        <w:spacing w:line="360" w:lineRule="auto"/>
        <w:jc w:val="both"/>
        <w:rPr>
          <w:rFonts w:ascii="Arial" w:hAnsi="Arial" w:cs="Arial"/>
          <w:sz w:val="24"/>
          <w:szCs w:val="24"/>
        </w:rPr>
      </w:pPr>
    </w:p>
    <w:p w:rsidR="007B6E82" w:rsidRPr="00AC25A9" w:rsidRDefault="007B6E82" w:rsidP="00AC25A9">
      <w:pPr>
        <w:pStyle w:val="Prrafodelista"/>
        <w:numPr>
          <w:ilvl w:val="0"/>
          <w:numId w:val="2"/>
        </w:numPr>
        <w:spacing w:line="360" w:lineRule="auto"/>
        <w:jc w:val="both"/>
        <w:rPr>
          <w:rFonts w:ascii="Arial" w:hAnsi="Arial" w:cs="Arial"/>
          <w:b/>
          <w:bCs/>
          <w:sz w:val="24"/>
          <w:szCs w:val="24"/>
        </w:rPr>
      </w:pPr>
      <w:r w:rsidRPr="00AC25A9">
        <w:rPr>
          <w:rFonts w:ascii="Arial" w:hAnsi="Arial" w:cs="Arial"/>
          <w:b/>
          <w:bCs/>
          <w:sz w:val="24"/>
          <w:szCs w:val="24"/>
        </w:rPr>
        <w:t>PRINCIPIO DE APORTACIÓN</w:t>
      </w:r>
    </w:p>
    <w:p w:rsidR="007B6E82" w:rsidRPr="00AC25A9" w:rsidRDefault="007B6E82" w:rsidP="00AC25A9">
      <w:pPr>
        <w:spacing w:line="360" w:lineRule="auto"/>
        <w:jc w:val="both"/>
        <w:rPr>
          <w:rFonts w:ascii="Arial" w:hAnsi="Arial" w:cs="Arial"/>
          <w:sz w:val="24"/>
          <w:szCs w:val="24"/>
        </w:rPr>
      </w:pPr>
      <w:r w:rsidRPr="00AC25A9">
        <w:rPr>
          <w:rFonts w:ascii="Arial" w:hAnsi="Arial" w:cs="Arial"/>
          <w:sz w:val="24"/>
          <w:szCs w:val="24"/>
        </w:rPr>
        <w:t>Se trata más bien más bien de una manifestación especial del principio dispositivo ya que se refiere a la introducción tanto de los hechos que constituirán el objeto de debate por las partes como los diferentes medios probatorios que fundamentarán a los mismos.</w:t>
      </w:r>
    </w:p>
    <w:p w:rsidR="007B6E82" w:rsidRPr="00AC25A9" w:rsidRDefault="007B6E82" w:rsidP="00AC25A9">
      <w:pPr>
        <w:spacing w:line="360" w:lineRule="auto"/>
        <w:jc w:val="both"/>
        <w:rPr>
          <w:rFonts w:ascii="Arial" w:hAnsi="Arial" w:cs="Arial"/>
          <w:sz w:val="24"/>
          <w:szCs w:val="24"/>
        </w:rPr>
      </w:pPr>
      <w:r w:rsidRPr="00AC25A9">
        <w:rPr>
          <w:rFonts w:ascii="Arial" w:hAnsi="Arial" w:cs="Arial"/>
          <w:sz w:val="24"/>
          <w:szCs w:val="24"/>
        </w:rPr>
        <w:t xml:space="preserve">Cortez Domínguez explica que el principio de aportación hace referencia a que la ley asigna a las partes la facultad de reunir y traer al proceso el material de hecho limitando la función del juez a recibirlo y valorarlo después, de la forma en que el juez no puede fundamentar sus decisiones en otros hechos distintos de igual forma no puede prescindir de lo que las partes sometan a su juicio. </w:t>
      </w:r>
    </w:p>
    <w:p w:rsidR="007B6E82" w:rsidRPr="00AC25A9" w:rsidRDefault="007B6E82" w:rsidP="00AC25A9">
      <w:pPr>
        <w:spacing w:line="360" w:lineRule="auto"/>
        <w:jc w:val="both"/>
        <w:rPr>
          <w:rFonts w:ascii="Arial" w:hAnsi="Arial" w:cs="Arial"/>
          <w:sz w:val="24"/>
          <w:szCs w:val="24"/>
        </w:rPr>
      </w:pPr>
      <w:r w:rsidRPr="00AC25A9">
        <w:rPr>
          <w:rFonts w:ascii="Arial" w:hAnsi="Arial" w:cs="Arial"/>
          <w:sz w:val="24"/>
          <w:szCs w:val="24"/>
        </w:rPr>
        <w:t xml:space="preserve">Nuestro CPCM, en su artículo 7 regula este principio realizando una división o desglose del principio dispositivo en los artículos 6 y 7 siendo este último complemento del primero al señalar que son las partes los que deben introducir los medios probatorios pertinentes para probar sus pretensiones y que precisamente </w:t>
      </w:r>
      <w:r w:rsidRPr="00AC25A9">
        <w:rPr>
          <w:rFonts w:ascii="Arial" w:hAnsi="Arial" w:cs="Arial"/>
          <w:sz w:val="24"/>
          <w:szCs w:val="24"/>
        </w:rPr>
        <w:lastRenderedPageBreak/>
        <w:t>dicha actividad debe recaer exclusivamente sobre el tema de decisión consagrando además el mismo artículo la facultad del juez para ordenar diligencia para mejor proveer, aspectos del principio dispositivo.</w:t>
      </w:r>
      <w:r w:rsidRPr="00AC25A9">
        <w:rPr>
          <w:rStyle w:val="Refdenotaalpie"/>
          <w:rFonts w:ascii="Arial" w:hAnsi="Arial" w:cs="Arial"/>
          <w:sz w:val="24"/>
          <w:szCs w:val="24"/>
        </w:rPr>
        <w:footnoteReference w:id="3"/>
      </w:r>
    </w:p>
    <w:p w:rsidR="007B6E82" w:rsidRPr="00AC25A9" w:rsidRDefault="007B6E82" w:rsidP="00AC25A9">
      <w:pPr>
        <w:spacing w:line="360" w:lineRule="auto"/>
        <w:jc w:val="both"/>
        <w:rPr>
          <w:rFonts w:ascii="Arial" w:hAnsi="Arial" w:cs="Arial"/>
          <w:b/>
          <w:bCs/>
          <w:sz w:val="24"/>
          <w:szCs w:val="24"/>
        </w:rPr>
      </w:pPr>
      <w:r w:rsidRPr="00AC25A9">
        <w:rPr>
          <w:rFonts w:ascii="Arial" w:hAnsi="Arial" w:cs="Arial"/>
          <w:b/>
          <w:bCs/>
          <w:sz w:val="24"/>
          <w:szCs w:val="24"/>
        </w:rPr>
        <w:t>En qué momento se manifiesta:</w:t>
      </w:r>
    </w:p>
    <w:p w:rsidR="007B6E82" w:rsidRPr="00AC25A9" w:rsidRDefault="007B6E82" w:rsidP="00AC25A9">
      <w:pPr>
        <w:spacing w:line="360" w:lineRule="auto"/>
        <w:jc w:val="both"/>
        <w:rPr>
          <w:rFonts w:ascii="Arial" w:hAnsi="Arial" w:cs="Arial"/>
          <w:sz w:val="24"/>
          <w:szCs w:val="24"/>
        </w:rPr>
      </w:pPr>
      <w:r w:rsidRPr="00AC25A9">
        <w:rPr>
          <w:rFonts w:ascii="Arial" w:hAnsi="Arial" w:cs="Arial"/>
          <w:sz w:val="24"/>
          <w:szCs w:val="24"/>
        </w:rPr>
        <w:t xml:space="preserve">Este principio se manifiesta en diferentes momentos </w:t>
      </w:r>
    </w:p>
    <w:p w:rsidR="007B6E82" w:rsidRPr="00AC25A9" w:rsidRDefault="007B6E82" w:rsidP="00AC25A9">
      <w:pPr>
        <w:spacing w:line="360" w:lineRule="auto"/>
        <w:jc w:val="both"/>
        <w:rPr>
          <w:rFonts w:ascii="Arial" w:hAnsi="Arial" w:cs="Arial"/>
          <w:sz w:val="24"/>
          <w:szCs w:val="24"/>
        </w:rPr>
      </w:pPr>
      <w:r w:rsidRPr="00AC25A9">
        <w:rPr>
          <w:rFonts w:ascii="Arial" w:hAnsi="Arial" w:cs="Arial"/>
          <w:sz w:val="24"/>
          <w:szCs w:val="24"/>
        </w:rPr>
        <w:t xml:space="preserve">En las alegaciones iniciales. En el art 276 nos explica todos los eventos que debe de llevar una demanda específicamente en su numeral 9° nos dice textualmente: </w:t>
      </w:r>
      <w:r w:rsidRPr="00AC25A9">
        <w:rPr>
          <w:rFonts w:ascii="Arial" w:hAnsi="Arial" w:cs="Arial"/>
          <w:b/>
          <w:bCs/>
          <w:sz w:val="24"/>
          <w:szCs w:val="24"/>
        </w:rPr>
        <w:t xml:space="preserve">El ofrecimiento y determinación de la prueba </w:t>
      </w:r>
      <w:r w:rsidRPr="00AC25A9">
        <w:rPr>
          <w:rFonts w:ascii="Arial" w:hAnsi="Arial" w:cs="Arial"/>
          <w:sz w:val="24"/>
          <w:szCs w:val="24"/>
        </w:rPr>
        <w:t>claramente nos damos cuenta que para iniciar una demanda necesitamos ofrecer las pruebas necesarias para fundamentar los hechos que se plantean en las mismas, este artículo está relacionado estrechamente con el artículo 7 del CPCM. El artículo 288 y 289 nos dice el momento en donde esté principio por primera vez en una demanda ya que son los documentos relacionados a los hechos las primeras pruebas las que se presentan para iniciar el proceso, acreditando los presupuestos procesales y el valor de la cosa litigiosa para efectos de competencia y procedimiento.</w:t>
      </w:r>
    </w:p>
    <w:p w:rsidR="007B6E82" w:rsidRPr="00AC25A9" w:rsidRDefault="007B6E82" w:rsidP="00AC25A9">
      <w:pPr>
        <w:spacing w:line="360" w:lineRule="auto"/>
        <w:jc w:val="both"/>
        <w:rPr>
          <w:rFonts w:ascii="Arial" w:hAnsi="Arial" w:cs="Arial"/>
          <w:sz w:val="24"/>
          <w:szCs w:val="24"/>
        </w:rPr>
      </w:pPr>
      <w:r w:rsidRPr="00AC25A9">
        <w:rPr>
          <w:rFonts w:ascii="Arial" w:hAnsi="Arial" w:cs="Arial"/>
          <w:sz w:val="24"/>
          <w:szCs w:val="24"/>
        </w:rPr>
        <w:t>La audiencia preparatoria durante este momento el juez examina todos los documentos presentados por las partes y las admite o las rechaza de</w:t>
      </w:r>
    </w:p>
    <w:p w:rsidR="007B6E82" w:rsidRPr="00AC25A9" w:rsidRDefault="007B6E82" w:rsidP="00AC25A9">
      <w:pPr>
        <w:spacing w:line="360" w:lineRule="auto"/>
        <w:jc w:val="both"/>
        <w:rPr>
          <w:rFonts w:ascii="Arial" w:hAnsi="Arial" w:cs="Arial"/>
          <w:sz w:val="24"/>
          <w:szCs w:val="24"/>
        </w:rPr>
      </w:pPr>
      <w:r w:rsidRPr="00AC25A9">
        <w:rPr>
          <w:rFonts w:ascii="Arial" w:hAnsi="Arial" w:cs="Arial"/>
          <w:sz w:val="24"/>
          <w:szCs w:val="24"/>
        </w:rPr>
        <w:t xml:space="preserve">La oferta y la proposición este depende ya si se dad el allanamiento o la conciliación se termina el proceso, pero si más partes deciden seguir adelante con el proceso dependiendo el rumbo que éste tome o si hay nuevos acontecimientos se deben presentar también las pruebas correspondientes para acreditar estos hechos </w:t>
      </w:r>
    </w:p>
    <w:p w:rsidR="007B6E82" w:rsidRPr="00AC25A9" w:rsidRDefault="007B6E82" w:rsidP="00AC25A9">
      <w:pPr>
        <w:spacing w:line="360" w:lineRule="auto"/>
        <w:jc w:val="both"/>
        <w:rPr>
          <w:rFonts w:ascii="Arial" w:hAnsi="Arial" w:cs="Arial"/>
          <w:sz w:val="24"/>
          <w:szCs w:val="24"/>
        </w:rPr>
      </w:pPr>
      <w:r w:rsidRPr="00AC25A9">
        <w:rPr>
          <w:rFonts w:ascii="Arial" w:hAnsi="Arial" w:cs="Arial"/>
          <w:sz w:val="24"/>
          <w:szCs w:val="24"/>
        </w:rPr>
        <w:t xml:space="preserve">En la audiencia probatoria se produce la prueba durante esta cuando las partes traen pruebas para desacreditar los hechos de la parte contraria </w:t>
      </w:r>
    </w:p>
    <w:p w:rsidR="007B6E82" w:rsidRPr="00AC25A9" w:rsidRDefault="007B6E82" w:rsidP="00AC25A9">
      <w:pPr>
        <w:spacing w:line="360" w:lineRule="auto"/>
        <w:jc w:val="both"/>
        <w:rPr>
          <w:rFonts w:ascii="Arial" w:hAnsi="Arial" w:cs="Arial"/>
          <w:sz w:val="24"/>
          <w:szCs w:val="24"/>
        </w:rPr>
      </w:pPr>
      <w:r w:rsidRPr="00AC25A9">
        <w:rPr>
          <w:rFonts w:ascii="Arial" w:hAnsi="Arial" w:cs="Arial"/>
          <w:sz w:val="24"/>
          <w:szCs w:val="24"/>
        </w:rPr>
        <w:t>Declaración de parte se produce cuando una o ambas partes declaran sobre los hechos estipulado en la demanda</w:t>
      </w:r>
      <w:r w:rsidR="00AC25A9">
        <w:rPr>
          <w:rFonts w:ascii="Arial" w:hAnsi="Arial" w:cs="Arial"/>
          <w:sz w:val="24"/>
          <w:szCs w:val="24"/>
        </w:rPr>
        <w:t>.</w:t>
      </w:r>
    </w:p>
    <w:p w:rsidR="007B6E82" w:rsidRPr="00AC25A9" w:rsidRDefault="007B6E82" w:rsidP="00AC25A9">
      <w:pPr>
        <w:pStyle w:val="Prrafodelista"/>
        <w:numPr>
          <w:ilvl w:val="0"/>
          <w:numId w:val="2"/>
        </w:numPr>
        <w:spacing w:before="240" w:line="360" w:lineRule="auto"/>
        <w:jc w:val="both"/>
        <w:rPr>
          <w:rFonts w:ascii="Arial" w:hAnsi="Arial" w:cs="Arial"/>
          <w:sz w:val="24"/>
          <w:szCs w:val="24"/>
        </w:rPr>
      </w:pPr>
      <w:r w:rsidRPr="00AC25A9">
        <w:rPr>
          <w:rFonts w:ascii="Arial" w:eastAsia="Times New Roman" w:hAnsi="Arial" w:cs="Arial"/>
          <w:b/>
          <w:bCs/>
          <w:sz w:val="24"/>
          <w:szCs w:val="24"/>
          <w:lang w:val="es-ES" w:eastAsia="es-SV"/>
        </w:rPr>
        <w:lastRenderedPageBreak/>
        <w:t>PRINCIPIO DE PUBLICIDAD</w:t>
      </w:r>
    </w:p>
    <w:p w:rsidR="007B6E82" w:rsidRPr="00AC25A9" w:rsidRDefault="007B6E82" w:rsidP="00AC25A9">
      <w:pPr>
        <w:spacing w:before="240" w:line="360" w:lineRule="auto"/>
        <w:jc w:val="both"/>
        <w:rPr>
          <w:rFonts w:ascii="Arial" w:hAnsi="Arial" w:cs="Arial"/>
          <w:sz w:val="24"/>
          <w:szCs w:val="24"/>
        </w:rPr>
      </w:pPr>
      <w:r w:rsidRPr="00AC25A9">
        <w:rPr>
          <w:rFonts w:ascii="Arial" w:hAnsi="Arial" w:cs="Arial"/>
          <w:sz w:val="24"/>
          <w:szCs w:val="24"/>
        </w:rPr>
        <w:t xml:space="preserve">Al referirnos al principio de publicidad nos da la idea de que cada acto procesal contribuye el medio de comunicación que este se ejerce a través del juez hacia las partes involucradas en el proceso. Este principio surgió en contraposición al principio de </w:t>
      </w:r>
      <w:proofErr w:type="spellStart"/>
      <w:r w:rsidRPr="00AC25A9">
        <w:rPr>
          <w:rFonts w:ascii="Arial" w:hAnsi="Arial" w:cs="Arial"/>
          <w:sz w:val="24"/>
          <w:szCs w:val="24"/>
        </w:rPr>
        <w:t>escrituralidad</w:t>
      </w:r>
      <w:proofErr w:type="spellEnd"/>
      <w:r w:rsidRPr="00AC25A9">
        <w:rPr>
          <w:rFonts w:ascii="Arial" w:hAnsi="Arial" w:cs="Arial"/>
          <w:sz w:val="24"/>
          <w:szCs w:val="24"/>
        </w:rPr>
        <w:t xml:space="preserve"> en tanto la publicidad da seguridad frente a la administración de justicia del tribunal para evitar algún tipo de manipulación, además de que sirve como publicidad ante la comunidad.</w:t>
      </w:r>
      <w:r w:rsidRPr="00AC25A9">
        <w:rPr>
          <w:rStyle w:val="Refdenotaalpie"/>
          <w:rFonts w:ascii="Arial" w:hAnsi="Arial" w:cs="Arial"/>
          <w:sz w:val="24"/>
          <w:szCs w:val="24"/>
        </w:rPr>
        <w:footnoteReference w:id="4"/>
      </w:r>
    </w:p>
    <w:p w:rsidR="007B6E82" w:rsidRPr="00AC25A9" w:rsidRDefault="007B6E82" w:rsidP="00AC25A9">
      <w:pPr>
        <w:spacing w:before="240" w:line="360" w:lineRule="auto"/>
        <w:jc w:val="both"/>
        <w:rPr>
          <w:rFonts w:ascii="Arial" w:hAnsi="Arial" w:cs="Arial"/>
          <w:sz w:val="24"/>
          <w:szCs w:val="24"/>
        </w:rPr>
      </w:pPr>
      <w:r w:rsidRPr="00AC25A9">
        <w:rPr>
          <w:rFonts w:ascii="Arial" w:hAnsi="Arial" w:cs="Arial"/>
          <w:sz w:val="24"/>
          <w:szCs w:val="24"/>
        </w:rPr>
        <w:t xml:space="preserve">Exige la necesidad de la existencia de vías de notificación y comunicación de los actos procesales y fijación de los sujetos que sean receptores; dichos actos deben ser notificados a las partes pertinentes tal como está establecido en el Art. 9 CPCM; por ello, es obligación del Juez procurar que se notifiquen las resoluciones a las partes, de tal forma sean conocedoras del proceso que se está realizando, con el fin que se sustancie un proceso por audiencia y que sea el juez quien la presida y recoja la prueba, supone que el proceso ha de tener un carácter público en el sentido que la sociedad en general puede ser testigo de la impartición de justicia que al efecto se realice, como una manifestación del principio democrático. </w:t>
      </w:r>
    </w:p>
    <w:p w:rsidR="007B6E82" w:rsidRPr="00AC25A9" w:rsidRDefault="007B6E82" w:rsidP="00AC25A9">
      <w:pPr>
        <w:spacing w:before="240" w:line="360" w:lineRule="auto"/>
        <w:jc w:val="both"/>
        <w:rPr>
          <w:rFonts w:ascii="Arial" w:hAnsi="Arial" w:cs="Arial"/>
          <w:sz w:val="24"/>
          <w:szCs w:val="24"/>
        </w:rPr>
      </w:pPr>
      <w:r w:rsidRPr="00AC25A9">
        <w:rPr>
          <w:rFonts w:ascii="Arial" w:hAnsi="Arial" w:cs="Arial"/>
          <w:sz w:val="24"/>
          <w:szCs w:val="24"/>
        </w:rPr>
        <w:t>Sin embargo, el juez dará cuenta por los medios de comunicación de lo que en cada proceso se realice, pero sí que las audiencias no serán cerradas y por lo tanto no habrá justicia secreta e inicua; salvo que el juez, de oficio o a instancia de parte, disponga lo contrario por razones de seguridad nacional, de moral o de orden público, o de protección de la privacidad de alguna de las partes tal como está establecido en el Art. 9 Inc. 2 CPCM.</w:t>
      </w:r>
    </w:p>
    <w:p w:rsidR="007B6E82" w:rsidRPr="00AC25A9" w:rsidRDefault="007B6E82" w:rsidP="00AC25A9">
      <w:pPr>
        <w:spacing w:before="240" w:line="360" w:lineRule="auto"/>
        <w:jc w:val="both"/>
        <w:rPr>
          <w:rFonts w:ascii="Arial" w:hAnsi="Arial" w:cs="Arial"/>
          <w:sz w:val="24"/>
          <w:szCs w:val="24"/>
        </w:rPr>
      </w:pPr>
      <w:r w:rsidRPr="00AC25A9">
        <w:rPr>
          <w:rFonts w:ascii="Arial" w:hAnsi="Arial" w:cs="Arial"/>
          <w:sz w:val="24"/>
          <w:szCs w:val="24"/>
        </w:rPr>
        <w:t>En el caso que ocurra, deberá acordarse en resolución debidamente motivada, en la que se precisen de manera expresa y clara las razones de dicha restricción, así</w:t>
      </w:r>
      <w:r w:rsidR="00B03C35">
        <w:rPr>
          <w:rFonts w:ascii="Arial" w:hAnsi="Arial" w:cs="Arial"/>
          <w:sz w:val="24"/>
          <w:szCs w:val="24"/>
        </w:rPr>
        <w:t xml:space="preserve"> </w:t>
      </w:r>
      <w:r w:rsidRPr="00AC25A9">
        <w:rPr>
          <w:rFonts w:ascii="Arial" w:hAnsi="Arial" w:cs="Arial"/>
          <w:sz w:val="24"/>
          <w:szCs w:val="24"/>
        </w:rPr>
        <w:lastRenderedPageBreak/>
        <w:t>como la determinación de quienes, además de las partes, sus apoderados o representantes, podrán estar presentes en la misma</w:t>
      </w:r>
      <w:r w:rsidRPr="00AC25A9">
        <w:rPr>
          <w:rStyle w:val="Refdenotaalpie"/>
          <w:rFonts w:ascii="Arial" w:hAnsi="Arial" w:cs="Arial"/>
          <w:sz w:val="24"/>
          <w:szCs w:val="24"/>
        </w:rPr>
        <w:footnoteReference w:id="5"/>
      </w:r>
      <w:r w:rsidRPr="00AC25A9">
        <w:rPr>
          <w:rFonts w:ascii="Arial" w:hAnsi="Arial" w:cs="Arial"/>
          <w:sz w:val="24"/>
          <w:szCs w:val="24"/>
        </w:rPr>
        <w:t xml:space="preserve">. </w:t>
      </w:r>
    </w:p>
    <w:p w:rsidR="007B6E82" w:rsidRPr="00AC25A9" w:rsidRDefault="007B6E82" w:rsidP="00AC25A9">
      <w:pPr>
        <w:spacing w:before="240" w:line="360" w:lineRule="auto"/>
        <w:jc w:val="both"/>
        <w:rPr>
          <w:rFonts w:ascii="Arial" w:hAnsi="Arial" w:cs="Arial"/>
          <w:b/>
          <w:sz w:val="24"/>
          <w:szCs w:val="24"/>
        </w:rPr>
      </w:pPr>
      <w:r w:rsidRPr="00AC25A9">
        <w:rPr>
          <w:rFonts w:ascii="Arial" w:hAnsi="Arial" w:cs="Arial"/>
          <w:b/>
          <w:sz w:val="24"/>
          <w:szCs w:val="24"/>
        </w:rPr>
        <w:t>Como se manifiesta el principio de publicidad</w:t>
      </w:r>
    </w:p>
    <w:p w:rsidR="007B6E82" w:rsidRPr="00AC25A9" w:rsidRDefault="007B6E82" w:rsidP="00AC25A9">
      <w:pPr>
        <w:spacing w:before="240" w:line="360" w:lineRule="auto"/>
        <w:jc w:val="both"/>
        <w:rPr>
          <w:rFonts w:ascii="Arial" w:hAnsi="Arial" w:cs="Arial"/>
          <w:sz w:val="24"/>
          <w:szCs w:val="24"/>
        </w:rPr>
      </w:pPr>
      <w:r w:rsidRPr="00AC25A9">
        <w:rPr>
          <w:rFonts w:ascii="Arial" w:hAnsi="Arial" w:cs="Arial"/>
          <w:sz w:val="24"/>
          <w:szCs w:val="24"/>
        </w:rPr>
        <w:t>Es innegable la estrecha vinculación del derecho de informar con el principio de publicidad procesal, y cuya actuación a través de los medios de comunicación es uno de los elementos más decisivos para su más completo desarrollo, otorgando una dimensión pública que trasciende de los aspectos tanto espaciales, como temporales de la información en cuestión.</w:t>
      </w:r>
    </w:p>
    <w:p w:rsidR="007B6E82" w:rsidRPr="00AC25A9" w:rsidRDefault="007B6E82" w:rsidP="00AC25A9">
      <w:pPr>
        <w:spacing w:before="240" w:line="360" w:lineRule="auto"/>
        <w:jc w:val="both"/>
        <w:rPr>
          <w:rFonts w:ascii="Arial" w:hAnsi="Arial" w:cs="Arial"/>
          <w:sz w:val="24"/>
          <w:szCs w:val="24"/>
        </w:rPr>
      </w:pPr>
      <w:r w:rsidRPr="00AC25A9">
        <w:rPr>
          <w:rFonts w:ascii="Arial" w:hAnsi="Arial" w:cs="Arial"/>
          <w:b/>
          <w:sz w:val="24"/>
          <w:szCs w:val="24"/>
        </w:rPr>
        <w:t>En qué momento aparece el principio de publicidad</w:t>
      </w:r>
    </w:p>
    <w:p w:rsidR="007B6E82" w:rsidRPr="00AC25A9" w:rsidRDefault="007B6E82" w:rsidP="00AC25A9">
      <w:pPr>
        <w:spacing w:before="240" w:line="360" w:lineRule="auto"/>
        <w:jc w:val="both"/>
        <w:rPr>
          <w:rFonts w:ascii="Arial" w:hAnsi="Arial" w:cs="Arial"/>
          <w:sz w:val="24"/>
          <w:szCs w:val="24"/>
        </w:rPr>
      </w:pPr>
      <w:r w:rsidRPr="00AC25A9">
        <w:rPr>
          <w:rFonts w:ascii="Arial" w:hAnsi="Arial" w:cs="Arial"/>
          <w:sz w:val="24"/>
          <w:szCs w:val="24"/>
        </w:rPr>
        <w:t xml:space="preserve">El principio de publicidad se da al realizar el emplazamiento donde se manifiesta la información de la pretensión </w:t>
      </w:r>
      <w:r w:rsidR="00E85533" w:rsidRPr="00AC25A9">
        <w:rPr>
          <w:rFonts w:ascii="Arial" w:hAnsi="Arial" w:cs="Arial"/>
          <w:sz w:val="24"/>
          <w:szCs w:val="24"/>
        </w:rPr>
        <w:t>establecida ya</w:t>
      </w:r>
      <w:r w:rsidRPr="00AC25A9">
        <w:rPr>
          <w:rFonts w:ascii="Arial" w:hAnsi="Arial" w:cs="Arial"/>
          <w:sz w:val="24"/>
          <w:szCs w:val="24"/>
        </w:rPr>
        <w:t xml:space="preserve"> que garantiza el derecho de defensa con el fin de que ésta sea admitida por el juez, como lo establece el artículo 181 CPCM el cual se presenta mediante ejecución de la esquela del emplazamiento las copias de la demanda y la resolución de ésta, así como de los documentos anexos a aquélla regulado en el artículo 182 CPCM.</w:t>
      </w:r>
    </w:p>
    <w:p w:rsidR="007B6E82" w:rsidRPr="00AC25A9" w:rsidRDefault="007B6E82" w:rsidP="00AC25A9">
      <w:pPr>
        <w:spacing w:before="240" w:line="360" w:lineRule="auto"/>
        <w:jc w:val="both"/>
        <w:rPr>
          <w:rFonts w:ascii="Arial" w:hAnsi="Arial" w:cs="Arial"/>
          <w:sz w:val="24"/>
          <w:szCs w:val="24"/>
        </w:rPr>
      </w:pPr>
      <w:r w:rsidRPr="00AC25A9">
        <w:rPr>
          <w:rFonts w:ascii="Arial" w:hAnsi="Arial" w:cs="Arial"/>
          <w:sz w:val="24"/>
          <w:szCs w:val="24"/>
        </w:rPr>
        <w:t xml:space="preserve">Continuamente la demanda debe ser de manera escrita en el cual debe de contener información que está establecida en el artículo 276 N°8 CPCM para el ofrecimiento y determinación de la prueba, detallada en el artículo 284 CPCM ya que se realiza la contestación de la demanda y es donde se refleja dicho principio por lo que al contestar la demanda se le hace saber al demandante dicha contestación, llevando este a la siguiente fase </w:t>
      </w:r>
      <w:r w:rsidR="00E85533" w:rsidRPr="00AC25A9">
        <w:rPr>
          <w:rFonts w:ascii="Arial" w:hAnsi="Arial" w:cs="Arial"/>
          <w:sz w:val="24"/>
          <w:szCs w:val="24"/>
        </w:rPr>
        <w:t>de proceso</w:t>
      </w:r>
      <w:r w:rsidRPr="00AC25A9">
        <w:rPr>
          <w:rFonts w:ascii="Arial" w:hAnsi="Arial" w:cs="Arial"/>
          <w:sz w:val="24"/>
          <w:szCs w:val="24"/>
        </w:rPr>
        <w:t>.</w:t>
      </w:r>
    </w:p>
    <w:p w:rsidR="007B6E82" w:rsidRDefault="007B6E82" w:rsidP="00190471">
      <w:pPr>
        <w:spacing w:before="240" w:line="360" w:lineRule="auto"/>
        <w:jc w:val="both"/>
        <w:rPr>
          <w:rFonts w:ascii="Arial" w:hAnsi="Arial" w:cs="Arial"/>
          <w:sz w:val="24"/>
          <w:szCs w:val="24"/>
        </w:rPr>
      </w:pPr>
      <w:r w:rsidRPr="00AC25A9">
        <w:rPr>
          <w:rFonts w:ascii="Arial" w:hAnsi="Arial" w:cs="Arial"/>
          <w:sz w:val="24"/>
          <w:szCs w:val="24"/>
        </w:rPr>
        <w:t xml:space="preserve">Donde el juez realiza la convocatoria de la audiencia preparatoria a las partes correspondientes en un plazo de tres días haciendo uso del principio de publicidad citando a las partes para comparecencia como lo establece el artículo 290 CPCM. Dicho principio de publicidad se presenta al ofrecimiento de la prueba la cual el demandante presenta su pretensión con sus respectivos requisitos siendo el juez </w:t>
      </w:r>
      <w:r w:rsidRPr="00AC25A9">
        <w:rPr>
          <w:rFonts w:ascii="Arial" w:hAnsi="Arial" w:cs="Arial"/>
          <w:sz w:val="24"/>
          <w:szCs w:val="24"/>
        </w:rPr>
        <w:lastRenderedPageBreak/>
        <w:t>declarando admisible o inadmisible (es inadmisible la demanda cuando esta fuera oscura o incumpliera las formalidades establecidas como lo establece el artículo 278 CPCM; es admisible la demanda cuando cumple con las formalidades esenciales para realizar el proceso regulado en el artículo 279 CPCM) seguidamente, el juez convoca a las partes para la audiencia preparatoria en un plazo no mayor de sesenta días; parte del proceso que se realiza con dicho principio es con el fin de que ambas partes sean citadas previamente informadas sobre los hechos acontecidos y que sean sabedores del proceso por medio del juez.</w:t>
      </w:r>
    </w:p>
    <w:p w:rsidR="00190471" w:rsidRPr="00AC25A9" w:rsidRDefault="00190471" w:rsidP="00190471">
      <w:pPr>
        <w:spacing w:before="240" w:line="360" w:lineRule="auto"/>
        <w:jc w:val="both"/>
        <w:rPr>
          <w:rFonts w:ascii="Arial" w:hAnsi="Arial" w:cs="Arial"/>
          <w:sz w:val="24"/>
          <w:szCs w:val="24"/>
        </w:rPr>
      </w:pPr>
    </w:p>
    <w:p w:rsidR="00E85533" w:rsidRPr="00AC25A9" w:rsidRDefault="00130615" w:rsidP="00AC25A9">
      <w:pPr>
        <w:pStyle w:val="Prrafodelista"/>
        <w:numPr>
          <w:ilvl w:val="0"/>
          <w:numId w:val="2"/>
        </w:numPr>
        <w:spacing w:line="360" w:lineRule="auto"/>
        <w:jc w:val="both"/>
        <w:rPr>
          <w:rFonts w:ascii="Arial" w:hAnsi="Arial" w:cs="Arial"/>
          <w:b/>
          <w:bCs/>
          <w:sz w:val="24"/>
          <w:szCs w:val="24"/>
          <w:lang w:val="es-ES"/>
        </w:rPr>
      </w:pPr>
      <w:r>
        <w:rPr>
          <w:rFonts w:ascii="Arial" w:hAnsi="Arial" w:cs="Arial"/>
          <w:b/>
          <w:bCs/>
          <w:sz w:val="24"/>
          <w:szCs w:val="24"/>
          <w:lang w:val="es-ES"/>
        </w:rPr>
        <w:t>PRINCIPIO DE PROHIBICIÓN DE</w:t>
      </w:r>
      <w:r w:rsidR="00E85533" w:rsidRPr="00AC25A9">
        <w:rPr>
          <w:rFonts w:ascii="Arial" w:hAnsi="Arial" w:cs="Arial"/>
          <w:b/>
          <w:bCs/>
          <w:sz w:val="24"/>
          <w:szCs w:val="24"/>
        </w:rPr>
        <w:t xml:space="preserve"> CONOCIMIENTO PRIVADO DEL JUEZ.</w:t>
      </w:r>
      <w:r w:rsidR="00B03C35">
        <w:rPr>
          <w:rStyle w:val="Refdenotaalpie"/>
          <w:rFonts w:ascii="Arial" w:hAnsi="Arial" w:cs="Arial"/>
          <w:b/>
          <w:bCs/>
          <w:sz w:val="24"/>
          <w:szCs w:val="24"/>
        </w:rPr>
        <w:footnoteReference w:id="6"/>
      </w:r>
    </w:p>
    <w:p w:rsidR="00E85533" w:rsidRPr="00AC25A9" w:rsidRDefault="00E85533" w:rsidP="00AC25A9">
      <w:pPr>
        <w:spacing w:line="360" w:lineRule="auto"/>
        <w:jc w:val="both"/>
        <w:rPr>
          <w:rFonts w:ascii="Arial" w:hAnsi="Arial" w:cs="Arial"/>
          <w:sz w:val="24"/>
          <w:szCs w:val="24"/>
        </w:rPr>
      </w:pPr>
      <w:r w:rsidRPr="00AC25A9">
        <w:rPr>
          <w:rFonts w:ascii="Arial" w:hAnsi="Arial" w:cs="Arial"/>
          <w:sz w:val="24"/>
          <w:szCs w:val="24"/>
        </w:rPr>
        <w:t>No implica que los hechos puedan fijarse en el proceso por el conocimiento personal del juez, sin que exista medio alguno de prueba que los demuestre, ni la prohibición de usar ese conocimiento privado limita en absoluto la libre apreciación ni la libertad de medios en donde se han consagrado.</w:t>
      </w:r>
    </w:p>
    <w:p w:rsidR="00E85533" w:rsidRPr="00AC25A9" w:rsidRDefault="00E85533" w:rsidP="00AC25A9">
      <w:pPr>
        <w:spacing w:line="360" w:lineRule="auto"/>
        <w:jc w:val="both"/>
        <w:rPr>
          <w:rFonts w:ascii="Arial" w:hAnsi="Arial" w:cs="Arial"/>
          <w:sz w:val="24"/>
          <w:szCs w:val="24"/>
        </w:rPr>
      </w:pPr>
      <w:r w:rsidRPr="00AC25A9">
        <w:rPr>
          <w:rFonts w:ascii="Arial" w:hAnsi="Arial" w:cs="Arial"/>
          <w:sz w:val="24"/>
          <w:szCs w:val="24"/>
        </w:rPr>
        <w:t>Este principio representa una garantía para los derechos del individuo, que de otra manera estarían en manos de jueces parciales. Se dice que la prueba debe ser la fuente y la base de la sentencia y su vinculación.</w:t>
      </w:r>
    </w:p>
    <w:p w:rsidR="00E85533" w:rsidRPr="00AC25A9" w:rsidRDefault="00E85533" w:rsidP="00AC25A9">
      <w:pPr>
        <w:spacing w:line="360" w:lineRule="auto"/>
        <w:jc w:val="both"/>
        <w:rPr>
          <w:rFonts w:ascii="Arial" w:hAnsi="Arial" w:cs="Arial"/>
          <w:sz w:val="24"/>
          <w:szCs w:val="24"/>
        </w:rPr>
      </w:pPr>
      <w:r w:rsidRPr="00AC25A9">
        <w:rPr>
          <w:rFonts w:ascii="Arial" w:hAnsi="Arial" w:cs="Arial"/>
          <w:sz w:val="24"/>
          <w:szCs w:val="24"/>
        </w:rPr>
        <w:t>El juez puede, en cambio, utilizar el conocimiento privado que tenga de los hechos relacionados con el proceso civil o penal o de otro orden, para decretar oficiosamente pruebas con el fin de acreditarlos, cuando la ley se lo permite.</w:t>
      </w:r>
    </w:p>
    <w:p w:rsidR="00E85533" w:rsidRPr="00AC25A9" w:rsidRDefault="00E85533" w:rsidP="00AC25A9">
      <w:pPr>
        <w:spacing w:line="360" w:lineRule="auto"/>
        <w:jc w:val="both"/>
        <w:rPr>
          <w:rFonts w:ascii="Arial" w:hAnsi="Arial" w:cs="Arial"/>
          <w:sz w:val="24"/>
          <w:szCs w:val="24"/>
        </w:rPr>
      </w:pPr>
      <w:r w:rsidRPr="00AC25A9">
        <w:rPr>
          <w:rFonts w:ascii="Arial" w:hAnsi="Arial" w:cs="Arial"/>
          <w:sz w:val="24"/>
          <w:szCs w:val="24"/>
        </w:rPr>
        <w:t>Esto en nada atenta contra el principio que aquí examinamos, pues, por el contrario, al decretarse y practicarse oficiosamente esas pruebas, lo cumple a cabalidad; una cosa es que el juez llegue al conocimiento directo de los hechos por su iniciativa probatoria, y otra, que sin necesidad de pruebas declare un hecho porque lo conoce privadamente</w:t>
      </w:r>
    </w:p>
    <w:p w:rsidR="00E85533" w:rsidRPr="00AC25A9" w:rsidRDefault="00E85533" w:rsidP="00AC25A9">
      <w:pPr>
        <w:spacing w:line="360" w:lineRule="auto"/>
        <w:jc w:val="both"/>
        <w:rPr>
          <w:rFonts w:ascii="Arial" w:hAnsi="Arial" w:cs="Arial"/>
          <w:sz w:val="24"/>
          <w:szCs w:val="24"/>
        </w:rPr>
      </w:pPr>
      <w:r w:rsidRPr="00AC25A9">
        <w:rPr>
          <w:rFonts w:ascii="Arial" w:hAnsi="Arial" w:cs="Arial"/>
          <w:sz w:val="24"/>
          <w:szCs w:val="24"/>
        </w:rPr>
        <w:lastRenderedPageBreak/>
        <w:t>El juez puede utilizar el conocimiento privado que tenga sobre los hechos relacionados con el proceso, con el fin de decretar oficiosamente pruebas para acreditarlos, sin contravenir este principio; ya que el Juez llega al conocimiento de esos hechos por su iniciativa probatoria; diferente sería si el Juez declara un hecho porque lo conoce privadamente sin necesidad de pruebas, lo que si atentaría contra este principio.</w:t>
      </w:r>
    </w:p>
    <w:p w:rsidR="00E85533" w:rsidRPr="00AC25A9" w:rsidRDefault="00E85533" w:rsidP="00AC25A9">
      <w:pPr>
        <w:spacing w:line="360" w:lineRule="auto"/>
        <w:jc w:val="both"/>
        <w:rPr>
          <w:rFonts w:ascii="Arial" w:hAnsi="Arial" w:cs="Arial"/>
          <w:sz w:val="24"/>
          <w:szCs w:val="24"/>
        </w:rPr>
      </w:pPr>
      <w:r w:rsidRPr="00AC25A9">
        <w:rPr>
          <w:rFonts w:ascii="Arial" w:hAnsi="Arial" w:cs="Arial"/>
          <w:sz w:val="24"/>
          <w:szCs w:val="24"/>
        </w:rPr>
        <w:t>En conclusión, este principio consiste en que la actuación del juez es de carácter jurisdiccional, no la aplicación del conocimiento privado que pudiese tener acerca del negocio que se litigio.</w:t>
      </w:r>
    </w:p>
    <w:p w:rsidR="00E85533" w:rsidRPr="00AC25A9" w:rsidRDefault="00E85533" w:rsidP="00AC25A9">
      <w:pPr>
        <w:spacing w:line="360" w:lineRule="auto"/>
        <w:jc w:val="both"/>
        <w:rPr>
          <w:rFonts w:ascii="Arial" w:hAnsi="Arial" w:cs="Arial"/>
          <w:b/>
          <w:sz w:val="24"/>
          <w:szCs w:val="24"/>
        </w:rPr>
      </w:pPr>
      <w:r w:rsidRPr="00AC25A9">
        <w:rPr>
          <w:rFonts w:ascii="Arial" w:hAnsi="Arial" w:cs="Arial"/>
          <w:b/>
          <w:sz w:val="24"/>
          <w:szCs w:val="24"/>
        </w:rPr>
        <w:t xml:space="preserve">¿Cómo se manifiesta? </w:t>
      </w:r>
    </w:p>
    <w:p w:rsidR="00E85533" w:rsidRPr="00AC25A9" w:rsidRDefault="00E85533" w:rsidP="00AC25A9">
      <w:pPr>
        <w:spacing w:line="360" w:lineRule="auto"/>
        <w:jc w:val="both"/>
        <w:rPr>
          <w:rFonts w:ascii="Arial" w:hAnsi="Arial" w:cs="Arial"/>
          <w:sz w:val="24"/>
          <w:szCs w:val="24"/>
        </w:rPr>
      </w:pPr>
      <w:r w:rsidRPr="00AC25A9">
        <w:rPr>
          <w:rFonts w:ascii="Arial" w:hAnsi="Arial" w:cs="Arial"/>
          <w:sz w:val="24"/>
          <w:szCs w:val="24"/>
        </w:rPr>
        <w:t>Se manifiesta al momento de que el juez, hace su correcto análisis en base solamente, en base, a las pruebas presentadas por las partes en el juicio, que son el fundamento de los hechos, no por conocimientos externos, que no se pueden comprobar</w:t>
      </w:r>
    </w:p>
    <w:p w:rsidR="00E85533" w:rsidRPr="00AC25A9" w:rsidRDefault="00E85533" w:rsidP="00AC25A9">
      <w:pPr>
        <w:spacing w:line="360" w:lineRule="auto"/>
        <w:jc w:val="both"/>
        <w:rPr>
          <w:rFonts w:ascii="Arial" w:hAnsi="Arial" w:cs="Arial"/>
          <w:b/>
          <w:sz w:val="24"/>
          <w:szCs w:val="24"/>
        </w:rPr>
      </w:pPr>
      <w:r w:rsidRPr="00AC25A9">
        <w:rPr>
          <w:rFonts w:ascii="Arial" w:hAnsi="Arial" w:cs="Arial"/>
          <w:b/>
          <w:sz w:val="24"/>
          <w:szCs w:val="24"/>
        </w:rPr>
        <w:t>¿En qué momento aparece?</w:t>
      </w:r>
    </w:p>
    <w:p w:rsidR="00E85533" w:rsidRPr="00AC25A9" w:rsidRDefault="00E85533" w:rsidP="00AC25A9">
      <w:pPr>
        <w:spacing w:line="360" w:lineRule="auto"/>
        <w:jc w:val="both"/>
        <w:rPr>
          <w:rFonts w:ascii="Arial" w:hAnsi="Arial" w:cs="Arial"/>
          <w:sz w:val="24"/>
          <w:szCs w:val="24"/>
        </w:rPr>
      </w:pPr>
      <w:r w:rsidRPr="00AC25A9">
        <w:rPr>
          <w:rFonts w:ascii="Arial" w:hAnsi="Arial" w:cs="Arial"/>
          <w:sz w:val="24"/>
          <w:szCs w:val="24"/>
        </w:rPr>
        <w:t xml:space="preserve">En la audiencia de sentencia, dónde después de un arduo análisis, el juez postula su posición y da el fallo, en base únicamente a las pruebas </w:t>
      </w:r>
    </w:p>
    <w:p w:rsidR="00E85533" w:rsidRPr="00AC25A9" w:rsidRDefault="00E85533" w:rsidP="00AC25A9">
      <w:pPr>
        <w:spacing w:line="360" w:lineRule="auto"/>
        <w:jc w:val="both"/>
        <w:rPr>
          <w:rFonts w:ascii="Arial" w:hAnsi="Arial" w:cs="Arial"/>
          <w:b/>
          <w:sz w:val="24"/>
          <w:szCs w:val="24"/>
        </w:rPr>
      </w:pPr>
      <w:r w:rsidRPr="00AC25A9">
        <w:rPr>
          <w:rFonts w:ascii="Arial" w:hAnsi="Arial" w:cs="Arial"/>
          <w:b/>
          <w:sz w:val="24"/>
          <w:szCs w:val="24"/>
        </w:rPr>
        <w:t>¿La forma que se da en el proceso?</w:t>
      </w:r>
    </w:p>
    <w:p w:rsidR="00AC25A9" w:rsidRDefault="00E85533" w:rsidP="00AC25A9">
      <w:pPr>
        <w:spacing w:line="360" w:lineRule="auto"/>
        <w:jc w:val="both"/>
        <w:rPr>
          <w:rFonts w:ascii="Arial" w:hAnsi="Arial" w:cs="Arial"/>
          <w:sz w:val="24"/>
          <w:szCs w:val="24"/>
        </w:rPr>
      </w:pPr>
      <w:r w:rsidRPr="00AC25A9">
        <w:rPr>
          <w:rFonts w:ascii="Arial" w:hAnsi="Arial" w:cs="Arial"/>
          <w:sz w:val="24"/>
          <w:szCs w:val="24"/>
        </w:rPr>
        <w:t>Se da de forma oral al expresar el fallo y escrita, en la sentencia, con referencia a las pruebas presentadas a lo largo del proceso, que son la base de este principio.</w:t>
      </w:r>
    </w:p>
    <w:p w:rsidR="00456F3A" w:rsidRPr="00456F3A" w:rsidRDefault="00456F3A" w:rsidP="00AC25A9">
      <w:pPr>
        <w:spacing w:line="360" w:lineRule="auto"/>
        <w:jc w:val="both"/>
        <w:rPr>
          <w:rFonts w:ascii="Arial" w:hAnsi="Arial" w:cs="Arial"/>
          <w:b/>
          <w:sz w:val="24"/>
          <w:szCs w:val="24"/>
        </w:rPr>
      </w:pPr>
      <w:r>
        <w:rPr>
          <w:rFonts w:ascii="Arial" w:hAnsi="Arial" w:cs="Arial"/>
          <w:b/>
          <w:sz w:val="24"/>
          <w:szCs w:val="24"/>
        </w:rPr>
        <w:t xml:space="preserve">Fundamento legal </w:t>
      </w:r>
    </w:p>
    <w:p w:rsidR="00102F9A" w:rsidRDefault="001A5DF1" w:rsidP="001A5DF1">
      <w:pPr>
        <w:spacing w:line="360" w:lineRule="auto"/>
        <w:jc w:val="both"/>
        <w:rPr>
          <w:rFonts w:ascii="Arial" w:hAnsi="Arial" w:cs="Arial"/>
          <w:sz w:val="24"/>
          <w:szCs w:val="24"/>
        </w:rPr>
      </w:pPr>
      <w:r w:rsidRPr="001A5DF1">
        <w:rPr>
          <w:rFonts w:ascii="Arial" w:hAnsi="Arial" w:cs="Arial"/>
          <w:sz w:val="24"/>
          <w:szCs w:val="24"/>
        </w:rPr>
        <w:t>Dicho principio se fundamente en el art. 216 y art. 416 del Código Procesal Civil y Mercantil, dónde se aclara que las decisiones judiciales, se establecerán solamente conforme al análisis de los medios probatorios, que fundamentan los hechos, y no a conocimientos privados del juez que no se pueden comprobar.</w:t>
      </w:r>
    </w:p>
    <w:p w:rsidR="00102F9A" w:rsidRDefault="00102F9A" w:rsidP="001A5DF1">
      <w:pPr>
        <w:spacing w:line="360" w:lineRule="auto"/>
        <w:jc w:val="both"/>
        <w:rPr>
          <w:rFonts w:ascii="Arial" w:hAnsi="Arial" w:cs="Arial"/>
          <w:sz w:val="24"/>
          <w:szCs w:val="24"/>
        </w:rPr>
      </w:pPr>
    </w:p>
    <w:p w:rsidR="00102F9A" w:rsidRPr="001A5DF1" w:rsidRDefault="00102F9A" w:rsidP="001A5DF1">
      <w:pPr>
        <w:spacing w:line="360" w:lineRule="auto"/>
        <w:jc w:val="both"/>
        <w:rPr>
          <w:rFonts w:ascii="Arial" w:hAnsi="Arial" w:cs="Arial"/>
          <w:sz w:val="24"/>
          <w:szCs w:val="24"/>
        </w:rPr>
      </w:pPr>
    </w:p>
    <w:p w:rsidR="001A5DF1" w:rsidRPr="001A5DF1" w:rsidRDefault="001A5DF1" w:rsidP="001A5DF1">
      <w:pPr>
        <w:spacing w:line="360" w:lineRule="auto"/>
        <w:jc w:val="both"/>
        <w:rPr>
          <w:rFonts w:ascii="Arial" w:hAnsi="Arial" w:cs="Arial"/>
          <w:b/>
          <w:bCs/>
          <w:i/>
          <w:iCs/>
          <w:sz w:val="24"/>
          <w:szCs w:val="24"/>
        </w:rPr>
      </w:pPr>
      <w:r w:rsidRPr="001A5DF1">
        <w:rPr>
          <w:rFonts w:ascii="Arial" w:hAnsi="Arial" w:cs="Arial"/>
          <w:b/>
          <w:bCs/>
          <w:i/>
          <w:iCs/>
          <w:sz w:val="24"/>
          <w:szCs w:val="24"/>
        </w:rPr>
        <w:lastRenderedPageBreak/>
        <w:t xml:space="preserve">Motivación Art.  216.-  </w:t>
      </w:r>
    </w:p>
    <w:p w:rsidR="001A5DF1" w:rsidRPr="001A5DF1" w:rsidRDefault="001A5DF1" w:rsidP="001A5DF1">
      <w:pPr>
        <w:spacing w:line="360" w:lineRule="auto"/>
        <w:jc w:val="both"/>
        <w:rPr>
          <w:rFonts w:ascii="Arial" w:hAnsi="Arial" w:cs="Arial"/>
          <w:bCs/>
          <w:i/>
          <w:iCs/>
          <w:sz w:val="24"/>
          <w:szCs w:val="24"/>
          <w:u w:val="single"/>
        </w:rPr>
      </w:pPr>
      <w:r w:rsidRPr="001A5DF1">
        <w:rPr>
          <w:rFonts w:ascii="Arial" w:hAnsi="Arial" w:cs="Arial"/>
          <w:bCs/>
          <w:i/>
          <w:iCs/>
          <w:sz w:val="24"/>
          <w:szCs w:val="24"/>
        </w:rPr>
        <w:t>Salvo los decretos, todas</w:t>
      </w:r>
      <w:r w:rsidRPr="001A5DF1">
        <w:rPr>
          <w:rFonts w:ascii="Arial" w:hAnsi="Arial" w:cs="Arial"/>
          <w:bCs/>
          <w:i/>
          <w:iCs/>
          <w:sz w:val="24"/>
          <w:szCs w:val="24"/>
          <w:u w:val="single"/>
        </w:rPr>
        <w:t xml:space="preserve"> las resoluciones serán debidamente motivadas y contendrán en apartados separados los razonamientos fácticos y jurídicos que conducen a la fijación de los hechos y, en su caso, a la apreciación y valoración de las pruebas,</w:t>
      </w:r>
      <w:r w:rsidRPr="001A5DF1">
        <w:rPr>
          <w:rFonts w:ascii="Arial" w:hAnsi="Arial" w:cs="Arial"/>
          <w:bCs/>
          <w:i/>
          <w:iCs/>
          <w:sz w:val="24"/>
          <w:szCs w:val="24"/>
        </w:rPr>
        <w:t xml:space="preserve"> así como a la aplicación e interpretación del derecho, especialmente cuando el juez se aparte del criterio sostenido en supuesto semejante.</w:t>
      </w:r>
    </w:p>
    <w:p w:rsidR="001A5DF1" w:rsidRPr="001A5DF1" w:rsidRDefault="001A5DF1" w:rsidP="001A5DF1">
      <w:pPr>
        <w:spacing w:line="360" w:lineRule="auto"/>
        <w:jc w:val="both"/>
        <w:rPr>
          <w:rFonts w:ascii="Arial" w:hAnsi="Arial" w:cs="Arial"/>
          <w:bCs/>
          <w:sz w:val="24"/>
          <w:szCs w:val="24"/>
        </w:rPr>
      </w:pPr>
      <w:r w:rsidRPr="001A5DF1">
        <w:rPr>
          <w:rFonts w:ascii="Arial" w:hAnsi="Arial" w:cs="Arial"/>
          <w:bCs/>
          <w:i/>
          <w:iCs/>
          <w:sz w:val="24"/>
          <w:szCs w:val="24"/>
        </w:rPr>
        <w:t xml:space="preserve"> La motivación será completa y debe tener en cuenta todos    y cada uno de los elementos fácticos y jurídicos del proceso, considerados individualmente y en conjunto, con apego a las reglas de la sana crítica</w:t>
      </w:r>
      <w:r w:rsidRPr="001A5DF1">
        <w:rPr>
          <w:rFonts w:ascii="Arial" w:hAnsi="Arial" w:cs="Arial"/>
          <w:bCs/>
          <w:sz w:val="24"/>
          <w:szCs w:val="24"/>
        </w:rPr>
        <w:t xml:space="preserve">. </w:t>
      </w:r>
    </w:p>
    <w:p w:rsidR="001A5DF1" w:rsidRPr="001A5DF1" w:rsidRDefault="001A5DF1" w:rsidP="001A5DF1">
      <w:pPr>
        <w:spacing w:line="360" w:lineRule="auto"/>
        <w:jc w:val="both"/>
        <w:rPr>
          <w:rFonts w:ascii="Arial" w:hAnsi="Arial" w:cs="Arial"/>
          <w:b/>
          <w:bCs/>
          <w:i/>
          <w:iCs/>
          <w:sz w:val="24"/>
          <w:szCs w:val="24"/>
        </w:rPr>
      </w:pPr>
      <w:r w:rsidRPr="001A5DF1">
        <w:rPr>
          <w:rFonts w:ascii="Arial" w:hAnsi="Arial" w:cs="Arial"/>
          <w:b/>
          <w:bCs/>
          <w:i/>
          <w:iCs/>
          <w:sz w:val="24"/>
          <w:szCs w:val="24"/>
        </w:rPr>
        <w:t xml:space="preserve">Valoración de la prueba Art.  416.-  </w:t>
      </w:r>
    </w:p>
    <w:p w:rsidR="001A5DF1" w:rsidRPr="001A5DF1" w:rsidRDefault="001A5DF1" w:rsidP="001A5DF1">
      <w:pPr>
        <w:spacing w:line="360" w:lineRule="auto"/>
        <w:jc w:val="both"/>
        <w:rPr>
          <w:rFonts w:ascii="Arial" w:hAnsi="Arial" w:cs="Arial"/>
          <w:bCs/>
          <w:i/>
          <w:iCs/>
          <w:sz w:val="24"/>
          <w:szCs w:val="24"/>
        </w:rPr>
      </w:pPr>
      <w:r w:rsidRPr="001A5DF1">
        <w:rPr>
          <w:rFonts w:ascii="Arial" w:hAnsi="Arial" w:cs="Arial"/>
          <w:bCs/>
          <w:i/>
          <w:iCs/>
          <w:sz w:val="24"/>
          <w:szCs w:val="24"/>
        </w:rPr>
        <w:t xml:space="preserve">El juez o tribunal deberá valorar la prueba en su conjunto conforme a las reglas de la sana crítica. </w:t>
      </w:r>
    </w:p>
    <w:p w:rsidR="001A5DF1" w:rsidRPr="001A5DF1" w:rsidRDefault="001A5DF1" w:rsidP="001A5DF1">
      <w:pPr>
        <w:spacing w:line="360" w:lineRule="auto"/>
        <w:jc w:val="both"/>
        <w:rPr>
          <w:rFonts w:ascii="Arial" w:hAnsi="Arial" w:cs="Arial"/>
          <w:bCs/>
          <w:i/>
          <w:iCs/>
          <w:sz w:val="24"/>
          <w:szCs w:val="24"/>
        </w:rPr>
      </w:pPr>
      <w:r w:rsidRPr="001A5DF1">
        <w:rPr>
          <w:rFonts w:ascii="Arial" w:hAnsi="Arial" w:cs="Arial"/>
          <w:bCs/>
          <w:i/>
          <w:iCs/>
          <w:sz w:val="24"/>
          <w:szCs w:val="24"/>
        </w:rPr>
        <w:t xml:space="preserve">No obstante, lo anterior, en la prueba documental se estará a lo dispuesto sobre el valor tasado. </w:t>
      </w:r>
    </w:p>
    <w:p w:rsidR="001A5DF1" w:rsidRPr="001A5DF1" w:rsidRDefault="001A5DF1" w:rsidP="001A5DF1">
      <w:pPr>
        <w:spacing w:line="360" w:lineRule="auto"/>
        <w:jc w:val="both"/>
        <w:rPr>
          <w:rFonts w:ascii="Arial" w:hAnsi="Arial" w:cs="Arial"/>
          <w:sz w:val="24"/>
          <w:szCs w:val="24"/>
          <w:u w:val="single"/>
        </w:rPr>
      </w:pPr>
      <w:r w:rsidRPr="001A5DF1">
        <w:rPr>
          <w:rFonts w:ascii="Arial" w:hAnsi="Arial" w:cs="Arial"/>
          <w:bCs/>
          <w:i/>
          <w:iCs/>
          <w:sz w:val="24"/>
          <w:szCs w:val="24"/>
        </w:rPr>
        <w:t>El juez o tribunal deberá</w:t>
      </w:r>
      <w:r w:rsidRPr="001A5DF1">
        <w:rPr>
          <w:rFonts w:ascii="Arial" w:hAnsi="Arial" w:cs="Arial"/>
          <w:bCs/>
          <w:i/>
          <w:iCs/>
          <w:sz w:val="24"/>
          <w:szCs w:val="24"/>
          <w:u w:val="single"/>
        </w:rPr>
        <w:t xml:space="preserve"> atribuir un valor o significado a cada prueba en particular, determinando si conduce o no a establecer la existencia de un hecho y el modo en que se produjo.</w:t>
      </w:r>
      <w:r w:rsidRPr="001A5DF1">
        <w:rPr>
          <w:rFonts w:ascii="Arial" w:hAnsi="Arial" w:cs="Arial"/>
          <w:bCs/>
          <w:i/>
          <w:iCs/>
          <w:sz w:val="24"/>
          <w:szCs w:val="24"/>
        </w:rPr>
        <w:t xml:space="preserve">  Cuando más de una prueba hubiera sido presentada para establecer la existencia o el modo de un mismo hecho, dichas</w:t>
      </w:r>
      <w:r w:rsidRPr="001A5DF1">
        <w:rPr>
          <w:rFonts w:ascii="Arial" w:hAnsi="Arial" w:cs="Arial"/>
          <w:bCs/>
          <w:i/>
          <w:iCs/>
          <w:sz w:val="24"/>
          <w:szCs w:val="24"/>
          <w:u w:val="single"/>
        </w:rPr>
        <w:t xml:space="preserve"> pruebas deberán valorarse en común, con especial motivación y razonamiento</w:t>
      </w:r>
      <w:r w:rsidRPr="001A5DF1">
        <w:rPr>
          <w:rFonts w:ascii="Arial" w:hAnsi="Arial" w:cs="Arial"/>
          <w:sz w:val="24"/>
          <w:szCs w:val="24"/>
          <w:u w:val="single"/>
        </w:rPr>
        <w:t>.</w:t>
      </w:r>
    </w:p>
    <w:p w:rsidR="00AC25A9" w:rsidRPr="00AC25A9" w:rsidRDefault="00AC25A9" w:rsidP="00AC25A9">
      <w:pPr>
        <w:spacing w:line="360" w:lineRule="auto"/>
        <w:jc w:val="both"/>
        <w:rPr>
          <w:rFonts w:ascii="Arial" w:hAnsi="Arial" w:cs="Arial"/>
          <w:sz w:val="24"/>
          <w:szCs w:val="24"/>
        </w:rPr>
      </w:pPr>
    </w:p>
    <w:p w:rsidR="00AC25A9" w:rsidRPr="00AC25A9" w:rsidRDefault="00AC25A9" w:rsidP="00AC25A9">
      <w:pPr>
        <w:pStyle w:val="Prrafodelista"/>
        <w:numPr>
          <w:ilvl w:val="0"/>
          <w:numId w:val="2"/>
        </w:numPr>
        <w:spacing w:line="360" w:lineRule="auto"/>
        <w:jc w:val="both"/>
        <w:rPr>
          <w:rFonts w:ascii="Arial" w:hAnsi="Arial" w:cs="Arial"/>
          <w:sz w:val="24"/>
          <w:szCs w:val="24"/>
        </w:rPr>
      </w:pPr>
      <w:r w:rsidRPr="00AC25A9">
        <w:rPr>
          <w:rFonts w:ascii="Arial" w:hAnsi="Arial" w:cs="Arial"/>
          <w:b/>
          <w:sz w:val="24"/>
          <w:szCs w:val="24"/>
        </w:rPr>
        <w:t>PRINCIPIO DE NECESIDAD.</w:t>
      </w:r>
    </w:p>
    <w:p w:rsidR="00AC25A9" w:rsidRDefault="00AC25A9" w:rsidP="00AC25A9">
      <w:pPr>
        <w:spacing w:line="360" w:lineRule="auto"/>
        <w:jc w:val="both"/>
        <w:rPr>
          <w:rFonts w:ascii="Arial" w:hAnsi="Arial" w:cs="Arial"/>
          <w:sz w:val="24"/>
          <w:szCs w:val="24"/>
        </w:rPr>
      </w:pPr>
      <w:r w:rsidRPr="00AC25A9">
        <w:rPr>
          <w:rFonts w:ascii="Arial" w:hAnsi="Arial" w:cs="Arial"/>
          <w:sz w:val="24"/>
          <w:szCs w:val="24"/>
        </w:rPr>
        <w:t xml:space="preserve">Se refiere este principio a la necesidad de que los hechos en los cuales se debe fundamentar la sentencia, estén demostrados con pruebas aportadas en el proceso por cualquiera de las partes o por el juez, si este tiene facultades, sin que dicho funcionario pudiera suplirlas con el conocimiento personal privado que tenga sobre </w:t>
      </w:r>
      <w:r w:rsidRPr="00AC25A9">
        <w:rPr>
          <w:rFonts w:ascii="Arial" w:hAnsi="Arial" w:cs="Arial"/>
          <w:sz w:val="24"/>
          <w:szCs w:val="24"/>
        </w:rPr>
        <w:lastRenderedPageBreak/>
        <w:t>ellos, porque sería desconocer la publicidad y la contradicción indispensable para la validez de todo medio probatorio y el derecho de defensa.</w:t>
      </w:r>
      <w:r w:rsidR="00B03C35">
        <w:rPr>
          <w:rStyle w:val="Refdenotaalpie"/>
          <w:rFonts w:ascii="Arial" w:hAnsi="Arial" w:cs="Arial"/>
          <w:sz w:val="24"/>
          <w:szCs w:val="24"/>
        </w:rPr>
        <w:footnoteReference w:id="7"/>
      </w:r>
    </w:p>
    <w:p w:rsidR="00AC25A9" w:rsidRDefault="00AC25A9" w:rsidP="00AC25A9">
      <w:pPr>
        <w:spacing w:line="360" w:lineRule="auto"/>
        <w:jc w:val="both"/>
        <w:rPr>
          <w:rFonts w:ascii="Arial" w:hAnsi="Arial" w:cs="Arial"/>
          <w:sz w:val="24"/>
          <w:szCs w:val="24"/>
        </w:rPr>
      </w:pPr>
      <w:r w:rsidRPr="00AC25A9">
        <w:rPr>
          <w:rFonts w:ascii="Arial" w:hAnsi="Arial" w:cs="Arial"/>
          <w:sz w:val="24"/>
          <w:szCs w:val="24"/>
        </w:rPr>
        <w:t>Muy diferente es la utilidad de presentar más pruebas porque ya existen en el expediente, como ocurre en algunos proce</w:t>
      </w:r>
      <w:r>
        <w:rPr>
          <w:rFonts w:ascii="Arial" w:hAnsi="Arial" w:cs="Arial"/>
          <w:sz w:val="24"/>
          <w:szCs w:val="24"/>
        </w:rPr>
        <w:t>sos contencioso administrativos.</w:t>
      </w:r>
    </w:p>
    <w:p w:rsidR="00AC25A9" w:rsidRDefault="00AC25A9" w:rsidP="00AC25A9">
      <w:pPr>
        <w:spacing w:line="360" w:lineRule="auto"/>
        <w:jc w:val="both"/>
        <w:rPr>
          <w:rFonts w:ascii="Arial" w:hAnsi="Arial" w:cs="Arial"/>
          <w:sz w:val="24"/>
          <w:szCs w:val="24"/>
        </w:rPr>
      </w:pPr>
      <w:r w:rsidRPr="00AC25A9">
        <w:rPr>
          <w:rFonts w:ascii="Arial" w:hAnsi="Arial" w:cs="Arial"/>
          <w:sz w:val="24"/>
          <w:szCs w:val="24"/>
        </w:rPr>
        <w:t xml:space="preserve">Este principio representa una inapreciable garantía para la libertad y los derechos del individuo, que de otra manera estarían en manos de jueces parciales y a merced de decisiones que no podían ser revisadas por el superior. </w:t>
      </w:r>
    </w:p>
    <w:p w:rsidR="00AC25A9" w:rsidRDefault="00AC25A9" w:rsidP="00AC25A9">
      <w:pPr>
        <w:spacing w:line="360" w:lineRule="auto"/>
        <w:jc w:val="both"/>
        <w:rPr>
          <w:rFonts w:ascii="Arial" w:hAnsi="Arial" w:cs="Arial"/>
          <w:sz w:val="24"/>
          <w:szCs w:val="24"/>
        </w:rPr>
      </w:pPr>
      <w:r w:rsidRPr="00AC25A9">
        <w:rPr>
          <w:rFonts w:ascii="Arial" w:hAnsi="Arial" w:cs="Arial"/>
          <w:sz w:val="24"/>
          <w:szCs w:val="24"/>
        </w:rPr>
        <w:t>Se aplica igual en los procesos contenciosos administrativos, penales y laborales. El juez, en cambio, utiliza el conocimiento privado que tenga de los hechos relacionados con el proceso civil, penal o de otro orden, para decretar oficiosamente pruebas con el fin de acreditarlos; esto en nada atentan contra el principio pues por el contrario, al decretarse oficiosamente esas pruebas, se cumple cabalmente; una juez es que el juez llegue al conocimiento directo de los hechos por su iniciativa probatoria, y otro que sin necesidad de pruebas declare un hecho porque no lo conoce privadamente. Cuándo el hecho es notorio la ley exime su prueba, pero no porque el juez lo conozca privadamente, sino porque pertenece al conocimiento público en el derecho social donde ocurrió el hecho se tramita el proceso; porque ello, no se trata de aplicar un conocimiento personal de aquel, sino de reconocerlo como cierto en virtud de esa particular condición que es conocida de las partes.</w:t>
      </w:r>
      <w:r w:rsidR="00260235">
        <w:rPr>
          <w:rStyle w:val="Refdenotaalpie"/>
          <w:rFonts w:ascii="Arial" w:hAnsi="Arial" w:cs="Arial"/>
          <w:sz w:val="24"/>
          <w:szCs w:val="24"/>
        </w:rPr>
        <w:footnoteReference w:id="8"/>
      </w:r>
      <w:r w:rsidRPr="00AC25A9">
        <w:rPr>
          <w:rFonts w:ascii="Arial" w:hAnsi="Arial" w:cs="Arial"/>
          <w:sz w:val="24"/>
          <w:szCs w:val="24"/>
        </w:rPr>
        <w:t xml:space="preserve"> </w:t>
      </w:r>
    </w:p>
    <w:p w:rsidR="00222090" w:rsidRDefault="00AC25A9" w:rsidP="00AC25A9">
      <w:pPr>
        <w:spacing w:line="360" w:lineRule="auto"/>
        <w:jc w:val="both"/>
        <w:rPr>
          <w:rFonts w:ascii="Arial" w:hAnsi="Arial" w:cs="Arial"/>
          <w:sz w:val="24"/>
          <w:szCs w:val="24"/>
        </w:rPr>
      </w:pPr>
      <w:r w:rsidRPr="00AC25A9">
        <w:rPr>
          <w:rFonts w:ascii="Arial" w:hAnsi="Arial" w:cs="Arial"/>
          <w:sz w:val="24"/>
          <w:szCs w:val="24"/>
        </w:rPr>
        <w:t>Puede hablarse, por lo tanto, del principio general de la necesidad de la prueba, en todos los procesos, cualquiera que sea la naturaleza de ellos, y afirmarse que dicho principio está comprendido en la regla que le ordena al juez resolver con fundamento en las pruebas allegadas al proceso.</w:t>
      </w:r>
    </w:p>
    <w:p w:rsidR="00222090" w:rsidRDefault="00222090">
      <w:pPr>
        <w:rPr>
          <w:rFonts w:ascii="Arial" w:hAnsi="Arial" w:cs="Arial"/>
          <w:sz w:val="24"/>
          <w:szCs w:val="24"/>
        </w:rPr>
      </w:pPr>
      <w:r>
        <w:rPr>
          <w:rFonts w:ascii="Arial" w:hAnsi="Arial" w:cs="Arial"/>
          <w:sz w:val="24"/>
          <w:szCs w:val="24"/>
        </w:rPr>
        <w:br w:type="page"/>
      </w:r>
    </w:p>
    <w:p w:rsidR="00A554F9" w:rsidRDefault="00A554F9" w:rsidP="0089258A">
      <w:pPr>
        <w:jc w:val="center"/>
        <w:rPr>
          <w:rFonts w:ascii="Arial" w:hAnsi="Arial" w:cs="Arial"/>
          <w:b/>
          <w:sz w:val="32"/>
          <w:szCs w:val="32"/>
        </w:rPr>
      </w:pPr>
      <w:r>
        <w:rPr>
          <w:rFonts w:ascii="Arial" w:hAnsi="Arial" w:cs="Arial"/>
          <w:b/>
          <w:sz w:val="32"/>
          <w:szCs w:val="32"/>
        </w:rPr>
        <w:lastRenderedPageBreak/>
        <w:t>CONCLUSIONES.</w:t>
      </w:r>
    </w:p>
    <w:p w:rsidR="00A554F9" w:rsidRDefault="00A554F9" w:rsidP="0089258A">
      <w:pPr>
        <w:jc w:val="center"/>
        <w:rPr>
          <w:rFonts w:ascii="Arial" w:hAnsi="Arial" w:cs="Arial"/>
          <w:b/>
          <w:sz w:val="32"/>
          <w:szCs w:val="32"/>
        </w:rPr>
      </w:pPr>
    </w:p>
    <w:p w:rsidR="001A21CA" w:rsidRPr="00ED378D" w:rsidRDefault="00A554F9" w:rsidP="00ED378D">
      <w:pPr>
        <w:pStyle w:val="Prrafodelista"/>
        <w:numPr>
          <w:ilvl w:val="0"/>
          <w:numId w:val="6"/>
        </w:numPr>
        <w:spacing w:line="360" w:lineRule="auto"/>
        <w:jc w:val="both"/>
        <w:rPr>
          <w:rFonts w:ascii="Arial" w:hAnsi="Arial" w:cs="Arial"/>
          <w:sz w:val="24"/>
          <w:szCs w:val="24"/>
        </w:rPr>
      </w:pPr>
      <w:r>
        <w:rPr>
          <w:rFonts w:ascii="Arial" w:hAnsi="Arial" w:cs="Arial"/>
          <w:sz w:val="24"/>
          <w:szCs w:val="24"/>
        </w:rPr>
        <w:t>Los principios se relacionan entre si ya que el principio de necesidad</w:t>
      </w:r>
      <w:r w:rsidR="001A21CA">
        <w:rPr>
          <w:rFonts w:ascii="Arial" w:hAnsi="Arial" w:cs="Arial"/>
          <w:sz w:val="24"/>
          <w:szCs w:val="24"/>
        </w:rPr>
        <w:t xml:space="preserve"> son</w:t>
      </w:r>
      <w:r>
        <w:rPr>
          <w:rFonts w:ascii="Arial" w:hAnsi="Arial" w:cs="Arial"/>
          <w:sz w:val="24"/>
          <w:szCs w:val="24"/>
        </w:rPr>
        <w:t xml:space="preserve"> los hechos sobre los cuales debe fundarse la decisión</w:t>
      </w:r>
      <w:r w:rsidR="001A21CA">
        <w:rPr>
          <w:rFonts w:ascii="Arial" w:hAnsi="Arial" w:cs="Arial"/>
          <w:sz w:val="24"/>
          <w:szCs w:val="24"/>
        </w:rPr>
        <w:t>,</w:t>
      </w:r>
      <w:r>
        <w:rPr>
          <w:rFonts w:ascii="Arial" w:hAnsi="Arial" w:cs="Arial"/>
          <w:sz w:val="24"/>
          <w:szCs w:val="24"/>
        </w:rPr>
        <w:t xml:space="preserve"> </w:t>
      </w:r>
      <w:r w:rsidR="00ED378D">
        <w:rPr>
          <w:rFonts w:ascii="Arial" w:hAnsi="Arial" w:cs="Arial"/>
          <w:sz w:val="24"/>
          <w:szCs w:val="24"/>
        </w:rPr>
        <w:t>se utiliza</w:t>
      </w:r>
      <w:r>
        <w:rPr>
          <w:rFonts w:ascii="Arial" w:hAnsi="Arial" w:cs="Arial"/>
          <w:sz w:val="24"/>
          <w:szCs w:val="24"/>
        </w:rPr>
        <w:t xml:space="preserve"> el principio de aportación </w:t>
      </w:r>
      <w:r w:rsidR="00B51A93">
        <w:rPr>
          <w:rFonts w:ascii="Arial" w:hAnsi="Arial" w:cs="Arial"/>
          <w:sz w:val="24"/>
          <w:szCs w:val="24"/>
        </w:rPr>
        <w:t>otorgando las pruebas de los hechos que se han dicho para el proceso, en ese momento se junta el principio de prohibición ya que las pruebas deben consistir para el caso en concreto sin que tenga conocimiento personal o privado de las partes.</w:t>
      </w:r>
    </w:p>
    <w:p w:rsidR="001A21CA" w:rsidRPr="00ED378D" w:rsidRDefault="001A21CA" w:rsidP="00ED378D">
      <w:pPr>
        <w:pStyle w:val="Prrafodelista"/>
        <w:numPr>
          <w:ilvl w:val="0"/>
          <w:numId w:val="6"/>
        </w:numPr>
        <w:spacing w:line="360" w:lineRule="auto"/>
        <w:jc w:val="both"/>
        <w:rPr>
          <w:rFonts w:ascii="Arial" w:hAnsi="Arial" w:cs="Arial"/>
          <w:sz w:val="24"/>
          <w:szCs w:val="24"/>
        </w:rPr>
      </w:pPr>
      <w:r>
        <w:rPr>
          <w:rFonts w:ascii="Arial" w:hAnsi="Arial" w:cs="Arial"/>
          <w:sz w:val="24"/>
          <w:szCs w:val="24"/>
        </w:rPr>
        <w:t>El principio de aportación se manifiesta en las alegaciones iniciales, se propone en la audiencia preparatoria y se produce en la audiencia probatoria. También se indica que el juez no cumple con el principio de aportación ya que este principio es una carga de prueba y el juez no aporta ninguna.</w:t>
      </w:r>
    </w:p>
    <w:p w:rsidR="001A21CA" w:rsidRPr="00ED378D" w:rsidRDefault="001A21CA" w:rsidP="00ED378D">
      <w:pPr>
        <w:pStyle w:val="Prrafodelista"/>
        <w:numPr>
          <w:ilvl w:val="0"/>
          <w:numId w:val="6"/>
        </w:numPr>
        <w:spacing w:line="360" w:lineRule="auto"/>
        <w:jc w:val="both"/>
        <w:rPr>
          <w:rFonts w:ascii="Arial" w:hAnsi="Arial" w:cs="Arial"/>
          <w:sz w:val="24"/>
          <w:szCs w:val="24"/>
        </w:rPr>
      </w:pPr>
      <w:r>
        <w:rPr>
          <w:rFonts w:ascii="Arial" w:hAnsi="Arial" w:cs="Arial"/>
          <w:sz w:val="24"/>
          <w:szCs w:val="24"/>
        </w:rPr>
        <w:t>El principio de prohibición de conocimiento del juez se relaciona con el principio de aportación ya que el juez depende de las pruebas y no de su conocimiento, porque se tiene que apoyar de los medios probatorios para tomar una decisión hacia las partes.</w:t>
      </w:r>
    </w:p>
    <w:p w:rsidR="00ED378D" w:rsidRPr="00ED378D" w:rsidRDefault="001A21CA" w:rsidP="00ED378D">
      <w:pPr>
        <w:pStyle w:val="Prrafodelista"/>
        <w:numPr>
          <w:ilvl w:val="0"/>
          <w:numId w:val="6"/>
        </w:numPr>
        <w:spacing w:line="360" w:lineRule="auto"/>
        <w:jc w:val="both"/>
        <w:rPr>
          <w:rFonts w:ascii="Arial" w:hAnsi="Arial" w:cs="Arial"/>
          <w:sz w:val="24"/>
          <w:szCs w:val="24"/>
        </w:rPr>
      </w:pPr>
      <w:r>
        <w:rPr>
          <w:rFonts w:ascii="Arial" w:hAnsi="Arial" w:cs="Arial"/>
          <w:sz w:val="24"/>
          <w:szCs w:val="24"/>
        </w:rPr>
        <w:t>El principio de necesidad está relacionado con la carga de la prueba ya que si las partes quieren un resultado favorable deben convencer al juez aportando las pruebas eficaces.</w:t>
      </w:r>
    </w:p>
    <w:p w:rsidR="00ED378D" w:rsidRDefault="00ED378D" w:rsidP="00ED378D">
      <w:pPr>
        <w:pStyle w:val="Prrafodelista"/>
        <w:numPr>
          <w:ilvl w:val="0"/>
          <w:numId w:val="6"/>
        </w:numPr>
        <w:spacing w:line="360" w:lineRule="auto"/>
        <w:jc w:val="both"/>
        <w:rPr>
          <w:rFonts w:ascii="Arial" w:hAnsi="Arial" w:cs="Arial"/>
          <w:sz w:val="24"/>
          <w:szCs w:val="24"/>
        </w:rPr>
      </w:pPr>
      <w:r>
        <w:rPr>
          <w:rFonts w:ascii="Arial" w:hAnsi="Arial" w:cs="Arial"/>
          <w:sz w:val="24"/>
          <w:szCs w:val="24"/>
        </w:rPr>
        <w:t>El principio de publicidad garantiza el emplazamiento para el derecho de defensa, este principio se oferta en la demanda o en la contestación de la demanda, la propuesta se hace en la audiencia preparatoria.</w:t>
      </w:r>
    </w:p>
    <w:p w:rsidR="00ED378D" w:rsidRPr="00ED378D" w:rsidRDefault="00ED378D" w:rsidP="00ED378D">
      <w:pPr>
        <w:pStyle w:val="Prrafodelista"/>
        <w:rPr>
          <w:rFonts w:ascii="Arial" w:hAnsi="Arial" w:cs="Arial"/>
          <w:b/>
          <w:sz w:val="32"/>
          <w:szCs w:val="32"/>
        </w:rPr>
      </w:pPr>
    </w:p>
    <w:p w:rsidR="00A554F9" w:rsidRPr="001A21CA" w:rsidRDefault="00A554F9" w:rsidP="001A21CA">
      <w:pPr>
        <w:pStyle w:val="Prrafodelista"/>
        <w:numPr>
          <w:ilvl w:val="0"/>
          <w:numId w:val="6"/>
        </w:numPr>
        <w:jc w:val="both"/>
        <w:rPr>
          <w:rFonts w:ascii="Arial" w:hAnsi="Arial" w:cs="Arial"/>
          <w:sz w:val="24"/>
          <w:szCs w:val="24"/>
        </w:rPr>
      </w:pPr>
      <w:r w:rsidRPr="001A21CA">
        <w:rPr>
          <w:rFonts w:ascii="Arial" w:hAnsi="Arial" w:cs="Arial"/>
          <w:b/>
          <w:sz w:val="32"/>
          <w:szCs w:val="32"/>
        </w:rPr>
        <w:br w:type="page"/>
      </w:r>
    </w:p>
    <w:p w:rsidR="00AC25A9" w:rsidRDefault="0089258A" w:rsidP="0089258A">
      <w:pPr>
        <w:jc w:val="center"/>
        <w:rPr>
          <w:rFonts w:ascii="Arial" w:hAnsi="Arial" w:cs="Arial"/>
          <w:b/>
          <w:sz w:val="32"/>
          <w:szCs w:val="32"/>
        </w:rPr>
      </w:pPr>
      <w:r>
        <w:rPr>
          <w:rFonts w:ascii="Arial" w:hAnsi="Arial" w:cs="Arial"/>
          <w:b/>
          <w:sz w:val="32"/>
          <w:szCs w:val="32"/>
        </w:rPr>
        <w:lastRenderedPageBreak/>
        <w:t>BIBLIOGRAFIA.</w:t>
      </w:r>
    </w:p>
    <w:p w:rsidR="0089258A" w:rsidRPr="0089258A" w:rsidRDefault="0089258A" w:rsidP="0089258A">
      <w:pPr>
        <w:jc w:val="center"/>
        <w:rPr>
          <w:rFonts w:ascii="Arial" w:hAnsi="Arial" w:cs="Arial"/>
          <w:b/>
          <w:sz w:val="32"/>
          <w:szCs w:val="32"/>
        </w:rPr>
      </w:pPr>
    </w:p>
    <w:p w:rsidR="0089258A" w:rsidRPr="0089258A" w:rsidRDefault="00260235" w:rsidP="0089258A">
      <w:pPr>
        <w:pStyle w:val="Prrafodelista"/>
        <w:numPr>
          <w:ilvl w:val="0"/>
          <w:numId w:val="5"/>
        </w:numPr>
        <w:spacing w:line="360" w:lineRule="auto"/>
        <w:jc w:val="both"/>
        <w:rPr>
          <w:rFonts w:ascii="Arial" w:hAnsi="Arial" w:cs="Arial"/>
          <w:iCs/>
          <w:sz w:val="24"/>
          <w:szCs w:val="24"/>
          <w:lang w:val="es-ES"/>
        </w:rPr>
      </w:pPr>
      <w:proofErr w:type="spellStart"/>
      <w:r>
        <w:rPr>
          <w:rFonts w:ascii="Arial" w:hAnsi="Arial" w:cs="Arial"/>
          <w:iCs/>
          <w:sz w:val="24"/>
          <w:szCs w:val="24"/>
          <w:lang w:val="es-ES"/>
        </w:rPr>
        <w:t>Devís</w:t>
      </w:r>
      <w:proofErr w:type="spellEnd"/>
      <w:r>
        <w:rPr>
          <w:rFonts w:ascii="Arial" w:hAnsi="Arial" w:cs="Arial"/>
          <w:iCs/>
          <w:sz w:val="24"/>
          <w:szCs w:val="24"/>
          <w:lang w:val="es-ES"/>
        </w:rPr>
        <w:t xml:space="preserve"> </w:t>
      </w:r>
      <w:proofErr w:type="spellStart"/>
      <w:r>
        <w:rPr>
          <w:rFonts w:ascii="Arial" w:hAnsi="Arial" w:cs="Arial"/>
          <w:iCs/>
          <w:sz w:val="24"/>
          <w:szCs w:val="24"/>
          <w:lang w:val="es-ES"/>
        </w:rPr>
        <w:t>Echandía</w:t>
      </w:r>
      <w:proofErr w:type="spellEnd"/>
      <w:r>
        <w:rPr>
          <w:rFonts w:ascii="Arial" w:hAnsi="Arial" w:cs="Arial"/>
          <w:iCs/>
          <w:sz w:val="24"/>
          <w:szCs w:val="24"/>
          <w:lang w:val="es-ES"/>
        </w:rPr>
        <w:t>, Hernando</w:t>
      </w:r>
      <w:r w:rsidR="0089258A" w:rsidRPr="0089258A">
        <w:rPr>
          <w:rFonts w:ascii="Arial" w:hAnsi="Arial" w:cs="Arial"/>
          <w:iCs/>
          <w:sz w:val="24"/>
          <w:szCs w:val="24"/>
          <w:lang w:val="es-ES"/>
        </w:rPr>
        <w:t xml:space="preserve"> (1996) Teoría General de la Prueba Judicial. Capítulo VI, Principios Generales de la Prueba.</w:t>
      </w:r>
    </w:p>
    <w:p w:rsidR="0089258A" w:rsidRPr="0089258A" w:rsidRDefault="0089258A" w:rsidP="0089258A">
      <w:pPr>
        <w:pStyle w:val="Prrafodelista"/>
        <w:numPr>
          <w:ilvl w:val="0"/>
          <w:numId w:val="5"/>
        </w:numPr>
        <w:spacing w:line="360" w:lineRule="auto"/>
        <w:jc w:val="both"/>
        <w:rPr>
          <w:rFonts w:ascii="Arial" w:hAnsi="Arial" w:cs="Arial"/>
          <w:sz w:val="24"/>
          <w:szCs w:val="24"/>
        </w:rPr>
      </w:pPr>
      <w:proofErr w:type="spellStart"/>
      <w:r w:rsidRPr="0089258A">
        <w:rPr>
          <w:rFonts w:ascii="Arial" w:hAnsi="Arial" w:cs="Arial"/>
          <w:sz w:val="24"/>
          <w:szCs w:val="24"/>
        </w:rPr>
        <w:t>Devis</w:t>
      </w:r>
      <w:proofErr w:type="spellEnd"/>
      <w:r w:rsidRPr="0089258A">
        <w:rPr>
          <w:rFonts w:ascii="Arial" w:hAnsi="Arial" w:cs="Arial"/>
          <w:sz w:val="24"/>
          <w:szCs w:val="24"/>
        </w:rPr>
        <w:t xml:space="preserve"> </w:t>
      </w:r>
      <w:proofErr w:type="spellStart"/>
      <w:r w:rsidRPr="0089258A">
        <w:rPr>
          <w:rFonts w:ascii="Arial" w:hAnsi="Arial" w:cs="Arial"/>
          <w:sz w:val="24"/>
          <w:szCs w:val="24"/>
        </w:rPr>
        <w:t>Echandia</w:t>
      </w:r>
      <w:proofErr w:type="spellEnd"/>
      <w:r w:rsidRPr="0089258A">
        <w:rPr>
          <w:rFonts w:ascii="Arial" w:hAnsi="Arial" w:cs="Arial"/>
          <w:sz w:val="24"/>
          <w:szCs w:val="24"/>
        </w:rPr>
        <w:t>, Hernando, Principios Generales de la Prueba Judicial y el objeto de prueba, publicaciones de departamento de Derecho Procesal (Universidad de El Salvador)</w:t>
      </w:r>
    </w:p>
    <w:p w:rsidR="0089258A" w:rsidRPr="0089258A" w:rsidRDefault="0089258A" w:rsidP="0089258A">
      <w:pPr>
        <w:pStyle w:val="Prrafodelista"/>
        <w:numPr>
          <w:ilvl w:val="0"/>
          <w:numId w:val="5"/>
        </w:numPr>
        <w:spacing w:line="360" w:lineRule="auto"/>
        <w:jc w:val="both"/>
        <w:rPr>
          <w:rFonts w:ascii="Arial" w:hAnsi="Arial" w:cs="Arial"/>
          <w:sz w:val="24"/>
          <w:szCs w:val="24"/>
        </w:rPr>
      </w:pPr>
      <w:r w:rsidRPr="0089258A">
        <w:rPr>
          <w:rFonts w:ascii="Arial" w:hAnsi="Arial" w:cs="Arial"/>
          <w:sz w:val="24"/>
          <w:szCs w:val="24"/>
        </w:rPr>
        <w:t>Bustamante Rodríguez, Francisco José y otros. Principios que rigen el proceso civil y mercantil salvadoreño con referencia especial al principio de oralidad</w:t>
      </w:r>
    </w:p>
    <w:p w:rsidR="0089258A" w:rsidRDefault="0089258A" w:rsidP="0089258A">
      <w:pPr>
        <w:pStyle w:val="Prrafodelista"/>
        <w:numPr>
          <w:ilvl w:val="0"/>
          <w:numId w:val="5"/>
        </w:numPr>
        <w:spacing w:line="360" w:lineRule="auto"/>
        <w:jc w:val="both"/>
        <w:rPr>
          <w:rFonts w:ascii="Arial" w:hAnsi="Arial" w:cs="Arial"/>
          <w:sz w:val="24"/>
          <w:szCs w:val="24"/>
        </w:rPr>
      </w:pPr>
      <w:r w:rsidRPr="0089258A">
        <w:rPr>
          <w:rFonts w:ascii="Arial" w:hAnsi="Arial" w:cs="Arial"/>
          <w:sz w:val="24"/>
          <w:szCs w:val="24"/>
        </w:rPr>
        <w:t>Parada Gámez, Guillermo Alexander El proceso común –1°ed- san salvador, UCA: Editores, 2016 308p. (Textos universitarios; v.54)</w:t>
      </w:r>
    </w:p>
    <w:p w:rsidR="00260235" w:rsidRPr="0089258A" w:rsidRDefault="00260235" w:rsidP="0089258A">
      <w:pPr>
        <w:pStyle w:val="Prrafodelista"/>
        <w:numPr>
          <w:ilvl w:val="0"/>
          <w:numId w:val="5"/>
        </w:numPr>
        <w:spacing w:line="360" w:lineRule="auto"/>
        <w:jc w:val="both"/>
        <w:rPr>
          <w:rFonts w:ascii="Arial" w:hAnsi="Arial" w:cs="Arial"/>
          <w:sz w:val="24"/>
          <w:szCs w:val="24"/>
        </w:rPr>
      </w:pPr>
      <w:proofErr w:type="spellStart"/>
      <w:r>
        <w:rPr>
          <w:rFonts w:ascii="Arial" w:hAnsi="Arial" w:cs="Arial"/>
          <w:sz w:val="24"/>
          <w:szCs w:val="24"/>
        </w:rPr>
        <w:t>Devis</w:t>
      </w:r>
      <w:proofErr w:type="spellEnd"/>
      <w:r>
        <w:rPr>
          <w:rFonts w:ascii="Arial" w:hAnsi="Arial" w:cs="Arial"/>
          <w:sz w:val="24"/>
          <w:szCs w:val="24"/>
        </w:rPr>
        <w:t xml:space="preserve"> </w:t>
      </w:r>
      <w:proofErr w:type="spellStart"/>
      <w:r>
        <w:rPr>
          <w:rFonts w:ascii="Arial" w:hAnsi="Arial" w:cs="Arial"/>
          <w:sz w:val="24"/>
          <w:szCs w:val="24"/>
        </w:rPr>
        <w:t>Echandía</w:t>
      </w:r>
      <w:proofErr w:type="spellEnd"/>
      <w:r>
        <w:rPr>
          <w:rFonts w:ascii="Arial" w:hAnsi="Arial" w:cs="Arial"/>
          <w:sz w:val="24"/>
          <w:szCs w:val="24"/>
        </w:rPr>
        <w:t xml:space="preserve">, Hernando, Compendio de la prueba judicial: Tomo I, Editorial </w:t>
      </w:r>
      <w:proofErr w:type="spellStart"/>
      <w:r>
        <w:rPr>
          <w:rFonts w:ascii="Arial" w:hAnsi="Arial" w:cs="Arial"/>
          <w:sz w:val="24"/>
          <w:szCs w:val="24"/>
        </w:rPr>
        <w:t>Rubinzal</w:t>
      </w:r>
      <w:proofErr w:type="spellEnd"/>
      <w:r>
        <w:rPr>
          <w:rFonts w:ascii="Arial" w:hAnsi="Arial" w:cs="Arial"/>
          <w:sz w:val="24"/>
          <w:szCs w:val="24"/>
        </w:rPr>
        <w:t xml:space="preserve"> </w:t>
      </w:r>
      <w:proofErr w:type="spellStart"/>
      <w:r>
        <w:rPr>
          <w:rFonts w:ascii="Arial" w:hAnsi="Arial" w:cs="Arial"/>
          <w:sz w:val="24"/>
          <w:szCs w:val="24"/>
        </w:rPr>
        <w:t>Culzoni</w:t>
      </w:r>
      <w:proofErr w:type="spellEnd"/>
      <w:r>
        <w:rPr>
          <w:rFonts w:ascii="Arial" w:hAnsi="Arial" w:cs="Arial"/>
          <w:sz w:val="24"/>
          <w:szCs w:val="24"/>
        </w:rPr>
        <w:t>.</w:t>
      </w:r>
    </w:p>
    <w:p w:rsidR="0089258A" w:rsidRPr="00AC25A9" w:rsidRDefault="0089258A" w:rsidP="00AC25A9">
      <w:pPr>
        <w:spacing w:line="360" w:lineRule="auto"/>
        <w:jc w:val="both"/>
        <w:rPr>
          <w:rFonts w:ascii="Arial" w:hAnsi="Arial" w:cs="Arial"/>
          <w:sz w:val="24"/>
          <w:szCs w:val="24"/>
        </w:rPr>
      </w:pPr>
    </w:p>
    <w:p w:rsidR="00E85533" w:rsidRPr="00E85533" w:rsidRDefault="00E85533" w:rsidP="007B6E82">
      <w:pPr>
        <w:jc w:val="both"/>
        <w:rPr>
          <w:rFonts w:ascii="Arial" w:hAnsi="Arial" w:cs="Arial"/>
          <w:sz w:val="24"/>
          <w:szCs w:val="24"/>
          <w:lang w:val="es-ES"/>
        </w:rPr>
      </w:pPr>
    </w:p>
    <w:sectPr w:rsidR="00E85533" w:rsidRPr="00E8553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030A7" w:rsidRDefault="009030A7" w:rsidP="007B6E82">
      <w:pPr>
        <w:spacing w:after="0" w:line="240" w:lineRule="auto"/>
      </w:pPr>
      <w:r>
        <w:separator/>
      </w:r>
    </w:p>
  </w:endnote>
  <w:endnote w:type="continuationSeparator" w:id="0">
    <w:p w:rsidR="009030A7" w:rsidRDefault="009030A7" w:rsidP="007B6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Yu Mincho">
    <w:altName w:val="Times New Roman"/>
    <w:charset w:val="00"/>
    <w:family w:val="auto"/>
    <w:pitch w:val="default"/>
  </w:font>
  <w:font w:name="Yu Gothic Light">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030A7" w:rsidRDefault="009030A7" w:rsidP="007B6E82">
      <w:pPr>
        <w:spacing w:after="0" w:line="240" w:lineRule="auto"/>
      </w:pPr>
      <w:r>
        <w:separator/>
      </w:r>
    </w:p>
  </w:footnote>
  <w:footnote w:type="continuationSeparator" w:id="0">
    <w:p w:rsidR="009030A7" w:rsidRDefault="009030A7" w:rsidP="007B6E82">
      <w:pPr>
        <w:spacing w:after="0" w:line="240" w:lineRule="auto"/>
      </w:pPr>
      <w:r>
        <w:continuationSeparator/>
      </w:r>
    </w:p>
  </w:footnote>
  <w:footnote w:id="1">
    <w:p w:rsidR="00633F5E" w:rsidRPr="00633F5E" w:rsidRDefault="00633F5E">
      <w:pPr>
        <w:pStyle w:val="Textonotapie"/>
      </w:pPr>
      <w:r>
        <w:rPr>
          <w:rStyle w:val="Refdenotaalpie"/>
        </w:rPr>
        <w:footnoteRef/>
      </w:r>
      <w:r>
        <w:t xml:space="preserve"> </w:t>
      </w:r>
      <w:r w:rsidRPr="00B03C35">
        <w:rPr>
          <w:rFonts w:ascii="Arial" w:hAnsi="Arial" w:cs="Arial"/>
          <w:i/>
          <w:sz w:val="21"/>
          <w:szCs w:val="21"/>
        </w:rPr>
        <w:t>Parada Gámez, Guillermo Alexander El proceso común –1°ed- san salvador, UCA: Editores, 2016 308p. (Textos universitarios; v.54) página 13</w:t>
      </w:r>
    </w:p>
  </w:footnote>
  <w:footnote w:id="2">
    <w:p w:rsidR="00633F5E" w:rsidRPr="00633F5E" w:rsidRDefault="00633F5E">
      <w:pPr>
        <w:pStyle w:val="Textonotapie"/>
      </w:pPr>
      <w:r>
        <w:rPr>
          <w:rStyle w:val="Refdenotaalpie"/>
        </w:rPr>
        <w:footnoteRef/>
      </w:r>
      <w:r w:rsidRPr="00B03C35">
        <w:rPr>
          <w:rFonts w:ascii="Arial" w:hAnsi="Arial" w:cs="Arial"/>
          <w:i/>
          <w:sz w:val="21"/>
          <w:szCs w:val="21"/>
        </w:rPr>
        <w:t>Devis Echandia, Hernando</w:t>
      </w:r>
      <w:r w:rsidR="00B03C35" w:rsidRPr="00B03C35">
        <w:rPr>
          <w:rFonts w:ascii="Arial" w:hAnsi="Arial" w:cs="Arial"/>
          <w:i/>
          <w:sz w:val="21"/>
          <w:szCs w:val="21"/>
        </w:rPr>
        <w:t>, Principios Generales de la Prueba Judicial y el objeto de prueba, publicaciones de departamento de Derecho Procesal (Universidad de El Salvador</w:t>
      </w:r>
      <w:r w:rsidRPr="00B03C35">
        <w:rPr>
          <w:rFonts w:ascii="Arial" w:hAnsi="Arial" w:cs="Arial"/>
          <w:i/>
          <w:sz w:val="21"/>
          <w:szCs w:val="21"/>
        </w:rPr>
        <w:t>) página</w:t>
      </w:r>
      <w:r w:rsidR="00B03C35" w:rsidRPr="00B03C35">
        <w:rPr>
          <w:rFonts w:ascii="Arial" w:hAnsi="Arial" w:cs="Arial"/>
          <w:i/>
          <w:sz w:val="21"/>
          <w:szCs w:val="21"/>
        </w:rPr>
        <w:t xml:space="preserve"> 4</w:t>
      </w:r>
    </w:p>
  </w:footnote>
  <w:footnote w:id="3">
    <w:p w:rsidR="007B6E82" w:rsidRPr="00252974" w:rsidRDefault="007B6E82" w:rsidP="007B6E82">
      <w:pPr>
        <w:pStyle w:val="Textonotapie"/>
        <w:jc w:val="both"/>
        <w:rPr>
          <w:rFonts w:ascii="Arial" w:hAnsi="Arial" w:cs="Arial"/>
          <w:sz w:val="24"/>
          <w:szCs w:val="24"/>
        </w:rPr>
      </w:pPr>
      <w:r w:rsidRPr="00252974">
        <w:rPr>
          <w:rStyle w:val="Refdenotaalpie"/>
          <w:rFonts w:ascii="Arial" w:hAnsi="Arial" w:cs="Arial"/>
          <w:sz w:val="24"/>
          <w:szCs w:val="24"/>
        </w:rPr>
        <w:footnoteRef/>
      </w:r>
      <w:r w:rsidRPr="00252974">
        <w:rPr>
          <w:rFonts w:ascii="Arial" w:hAnsi="Arial" w:cs="Arial"/>
          <w:sz w:val="24"/>
          <w:szCs w:val="24"/>
        </w:rPr>
        <w:t xml:space="preserve"> </w:t>
      </w:r>
      <w:r w:rsidRPr="00B03C35">
        <w:rPr>
          <w:rFonts w:ascii="Arial" w:hAnsi="Arial" w:cs="Arial"/>
          <w:i/>
          <w:sz w:val="21"/>
          <w:szCs w:val="21"/>
        </w:rPr>
        <w:t>Bustamante Rodríguez, Francisco José y otros. Principios que rigen el proceso civil y mercantil salvadoreño con referencia especial al principio de oralidad, página 29</w:t>
      </w:r>
    </w:p>
  </w:footnote>
  <w:footnote w:id="4">
    <w:p w:rsidR="007B6E82" w:rsidRPr="00E85533" w:rsidRDefault="007B6E82" w:rsidP="007B6E82">
      <w:pPr>
        <w:pStyle w:val="Textonotapie"/>
        <w:rPr>
          <w:rFonts w:ascii="Arial" w:hAnsi="Arial" w:cs="Arial"/>
          <w:sz w:val="21"/>
          <w:szCs w:val="21"/>
        </w:rPr>
      </w:pPr>
      <w:r>
        <w:rPr>
          <w:rStyle w:val="Refdenotaalpie"/>
        </w:rPr>
        <w:footnoteRef/>
      </w:r>
      <w:r>
        <w:t xml:space="preserve"> </w:t>
      </w:r>
      <w:r w:rsidRPr="00B03C35">
        <w:rPr>
          <w:rFonts w:ascii="Arial" w:hAnsi="Arial" w:cs="Arial"/>
          <w:i/>
          <w:sz w:val="21"/>
          <w:szCs w:val="21"/>
        </w:rPr>
        <w:t>Parada Gámez, Guillermo Alexander El proceso común –1°ed- san salvador, UCA: Editores, 2016 308p. (Textos universitarios; v.54) página 21</w:t>
      </w:r>
      <w:r w:rsidRPr="00E85533">
        <w:rPr>
          <w:rFonts w:ascii="Arial" w:hAnsi="Arial" w:cs="Arial"/>
          <w:sz w:val="21"/>
          <w:szCs w:val="21"/>
        </w:rPr>
        <w:t xml:space="preserve"> </w:t>
      </w:r>
    </w:p>
  </w:footnote>
  <w:footnote w:id="5">
    <w:p w:rsidR="007B6E82" w:rsidRDefault="007B6E82" w:rsidP="007B6E82">
      <w:pPr>
        <w:pStyle w:val="Textonotapie"/>
      </w:pPr>
      <w:r w:rsidRPr="00E85533">
        <w:rPr>
          <w:rStyle w:val="Refdenotaalpie"/>
          <w:rFonts w:ascii="Arial" w:hAnsi="Arial" w:cs="Arial"/>
          <w:sz w:val="21"/>
          <w:szCs w:val="21"/>
        </w:rPr>
        <w:footnoteRef/>
      </w:r>
      <w:r w:rsidRPr="00E85533">
        <w:rPr>
          <w:rFonts w:ascii="Arial" w:hAnsi="Arial" w:cs="Arial"/>
          <w:sz w:val="21"/>
          <w:szCs w:val="21"/>
        </w:rPr>
        <w:t xml:space="preserve"> </w:t>
      </w:r>
      <w:r w:rsidRPr="00B03C35">
        <w:rPr>
          <w:rFonts w:ascii="Arial" w:hAnsi="Arial" w:cs="Arial"/>
          <w:i/>
          <w:sz w:val="21"/>
          <w:szCs w:val="21"/>
        </w:rPr>
        <w:t>Parada Gámez, Guillermo Alexander El proceso común –1°ed- san salvador, UCA: Editores, 2016 308p. (Textos universitarios; v.54) página 22</w:t>
      </w:r>
    </w:p>
  </w:footnote>
  <w:footnote w:id="6">
    <w:p w:rsidR="00B03C35" w:rsidRPr="00C46920" w:rsidRDefault="00B03C35" w:rsidP="00B03C35">
      <w:pPr>
        <w:jc w:val="both"/>
        <w:rPr>
          <w:rFonts w:ascii="Arial" w:hAnsi="Arial" w:cs="Arial"/>
          <w:i/>
          <w:iCs/>
          <w:sz w:val="21"/>
          <w:szCs w:val="21"/>
          <w:lang w:val="es-ES"/>
        </w:rPr>
      </w:pPr>
      <w:r>
        <w:rPr>
          <w:rStyle w:val="Refdenotaalpie"/>
        </w:rPr>
        <w:footnoteRef/>
      </w:r>
      <w:r>
        <w:t xml:space="preserve"> </w:t>
      </w:r>
      <w:proofErr w:type="spellStart"/>
      <w:r>
        <w:rPr>
          <w:rFonts w:ascii="Arial" w:hAnsi="Arial" w:cs="Arial"/>
          <w:i/>
          <w:iCs/>
          <w:sz w:val="21"/>
          <w:szCs w:val="21"/>
          <w:lang w:val="es-ES"/>
        </w:rPr>
        <w:t>Devís</w:t>
      </w:r>
      <w:proofErr w:type="spellEnd"/>
      <w:r>
        <w:rPr>
          <w:rFonts w:ascii="Arial" w:hAnsi="Arial" w:cs="Arial"/>
          <w:i/>
          <w:iCs/>
          <w:sz w:val="21"/>
          <w:szCs w:val="21"/>
          <w:lang w:val="es-ES"/>
        </w:rPr>
        <w:t xml:space="preserve"> </w:t>
      </w:r>
      <w:proofErr w:type="spellStart"/>
      <w:r>
        <w:rPr>
          <w:rFonts w:ascii="Arial" w:hAnsi="Arial" w:cs="Arial"/>
          <w:i/>
          <w:iCs/>
          <w:sz w:val="21"/>
          <w:szCs w:val="21"/>
          <w:lang w:val="es-ES"/>
        </w:rPr>
        <w:t>Echa</w:t>
      </w:r>
      <w:r w:rsidRPr="00C46920">
        <w:rPr>
          <w:rFonts w:ascii="Arial" w:hAnsi="Arial" w:cs="Arial"/>
          <w:i/>
          <w:iCs/>
          <w:sz w:val="21"/>
          <w:szCs w:val="21"/>
          <w:lang w:val="es-ES"/>
        </w:rPr>
        <w:t>ndía</w:t>
      </w:r>
      <w:proofErr w:type="spellEnd"/>
      <w:r>
        <w:rPr>
          <w:rFonts w:ascii="Arial" w:hAnsi="Arial" w:cs="Arial"/>
          <w:i/>
          <w:iCs/>
          <w:sz w:val="21"/>
          <w:szCs w:val="21"/>
          <w:lang w:val="es-ES"/>
        </w:rPr>
        <w:t xml:space="preserve">, </w:t>
      </w:r>
      <w:r w:rsidR="00260235">
        <w:rPr>
          <w:rFonts w:ascii="Arial" w:hAnsi="Arial" w:cs="Arial"/>
          <w:i/>
          <w:iCs/>
          <w:sz w:val="21"/>
          <w:szCs w:val="21"/>
          <w:lang w:val="es-ES"/>
        </w:rPr>
        <w:t>Hernando</w:t>
      </w:r>
      <w:r w:rsidRPr="00C46920">
        <w:rPr>
          <w:rFonts w:ascii="Arial" w:hAnsi="Arial" w:cs="Arial"/>
          <w:i/>
          <w:iCs/>
          <w:sz w:val="21"/>
          <w:szCs w:val="21"/>
          <w:lang w:val="es-ES"/>
        </w:rPr>
        <w:t xml:space="preserve"> (1996) Teoría General de la Prueba Judicial. Capítulo VI, Principios Generales de la Prueba. Págs. 114 - 117</w:t>
      </w:r>
    </w:p>
    <w:p w:rsidR="00B03C35" w:rsidRPr="00B03C35" w:rsidRDefault="00B03C35">
      <w:pPr>
        <w:pStyle w:val="Textonotapie"/>
        <w:rPr>
          <w:lang w:val="es-SV"/>
        </w:rPr>
      </w:pPr>
    </w:p>
  </w:footnote>
  <w:footnote w:id="7">
    <w:p w:rsidR="00B03C35" w:rsidRPr="00B03C35" w:rsidRDefault="00B03C35" w:rsidP="00260235">
      <w:pPr>
        <w:pStyle w:val="Textonotapie"/>
        <w:jc w:val="both"/>
        <w:rPr>
          <w:lang w:val="es-SV"/>
        </w:rPr>
      </w:pPr>
      <w:r>
        <w:rPr>
          <w:rStyle w:val="Refdenotaalpie"/>
        </w:rPr>
        <w:footnoteRef/>
      </w:r>
      <w:r>
        <w:t xml:space="preserve"> </w:t>
      </w:r>
      <w:proofErr w:type="spellStart"/>
      <w:r>
        <w:rPr>
          <w:rFonts w:ascii="Arial" w:hAnsi="Arial" w:cs="Arial"/>
          <w:i/>
          <w:iCs/>
          <w:sz w:val="21"/>
          <w:szCs w:val="21"/>
          <w:lang w:val="es-ES"/>
        </w:rPr>
        <w:t>Devís</w:t>
      </w:r>
      <w:proofErr w:type="spellEnd"/>
      <w:r>
        <w:rPr>
          <w:rFonts w:ascii="Arial" w:hAnsi="Arial" w:cs="Arial"/>
          <w:i/>
          <w:iCs/>
          <w:sz w:val="21"/>
          <w:szCs w:val="21"/>
          <w:lang w:val="es-ES"/>
        </w:rPr>
        <w:t xml:space="preserve"> </w:t>
      </w:r>
      <w:proofErr w:type="spellStart"/>
      <w:r>
        <w:rPr>
          <w:rFonts w:ascii="Arial" w:hAnsi="Arial" w:cs="Arial"/>
          <w:i/>
          <w:iCs/>
          <w:sz w:val="21"/>
          <w:szCs w:val="21"/>
          <w:lang w:val="es-ES"/>
        </w:rPr>
        <w:t>Echa</w:t>
      </w:r>
      <w:r w:rsidRPr="00C46920">
        <w:rPr>
          <w:rFonts w:ascii="Arial" w:hAnsi="Arial" w:cs="Arial"/>
          <w:i/>
          <w:iCs/>
          <w:sz w:val="21"/>
          <w:szCs w:val="21"/>
          <w:lang w:val="es-ES"/>
        </w:rPr>
        <w:t>ndía</w:t>
      </w:r>
      <w:proofErr w:type="spellEnd"/>
      <w:r w:rsidR="00260235">
        <w:rPr>
          <w:rFonts w:ascii="Arial" w:hAnsi="Arial" w:cs="Arial"/>
          <w:i/>
          <w:iCs/>
          <w:sz w:val="21"/>
          <w:szCs w:val="21"/>
          <w:lang w:val="es-ES"/>
        </w:rPr>
        <w:t>, Hernando</w:t>
      </w:r>
      <w:r w:rsidRPr="00C46920">
        <w:rPr>
          <w:rFonts w:ascii="Arial" w:hAnsi="Arial" w:cs="Arial"/>
          <w:i/>
          <w:iCs/>
          <w:sz w:val="21"/>
          <w:szCs w:val="21"/>
          <w:lang w:val="es-ES"/>
        </w:rPr>
        <w:t xml:space="preserve"> (1996) Teoría General de la Prueba Judicial. Capítulo VI, Princip</w:t>
      </w:r>
      <w:r>
        <w:rPr>
          <w:rFonts w:ascii="Arial" w:hAnsi="Arial" w:cs="Arial"/>
          <w:i/>
          <w:iCs/>
          <w:sz w:val="21"/>
          <w:szCs w:val="21"/>
          <w:lang w:val="es-ES"/>
        </w:rPr>
        <w:t>ios Generales de la Prueba. Página 117</w:t>
      </w:r>
    </w:p>
  </w:footnote>
  <w:footnote w:id="8">
    <w:p w:rsidR="00260235" w:rsidRPr="00260235" w:rsidRDefault="00260235" w:rsidP="00260235">
      <w:pPr>
        <w:spacing w:line="240" w:lineRule="auto"/>
        <w:jc w:val="both"/>
        <w:rPr>
          <w:rFonts w:ascii="Arial" w:hAnsi="Arial" w:cs="Arial"/>
          <w:sz w:val="21"/>
          <w:szCs w:val="21"/>
        </w:rPr>
      </w:pPr>
      <w:r>
        <w:rPr>
          <w:rStyle w:val="Refdenotaalpie"/>
        </w:rPr>
        <w:footnoteRef/>
      </w:r>
      <w:r>
        <w:t xml:space="preserve"> </w:t>
      </w:r>
      <w:proofErr w:type="spellStart"/>
      <w:r w:rsidRPr="00260235">
        <w:rPr>
          <w:rFonts w:ascii="Arial" w:hAnsi="Arial" w:cs="Arial"/>
          <w:sz w:val="21"/>
          <w:szCs w:val="21"/>
        </w:rPr>
        <w:t>Devis</w:t>
      </w:r>
      <w:proofErr w:type="spellEnd"/>
      <w:r w:rsidRPr="00260235">
        <w:rPr>
          <w:rFonts w:ascii="Arial" w:hAnsi="Arial" w:cs="Arial"/>
          <w:sz w:val="21"/>
          <w:szCs w:val="21"/>
        </w:rPr>
        <w:t xml:space="preserve"> </w:t>
      </w:r>
      <w:proofErr w:type="spellStart"/>
      <w:r w:rsidRPr="00260235">
        <w:rPr>
          <w:rFonts w:ascii="Arial" w:hAnsi="Arial" w:cs="Arial"/>
          <w:sz w:val="21"/>
          <w:szCs w:val="21"/>
        </w:rPr>
        <w:t>Echandía</w:t>
      </w:r>
      <w:proofErr w:type="spellEnd"/>
      <w:r w:rsidRPr="00260235">
        <w:rPr>
          <w:rFonts w:ascii="Arial" w:hAnsi="Arial" w:cs="Arial"/>
          <w:sz w:val="21"/>
          <w:szCs w:val="21"/>
        </w:rPr>
        <w:t xml:space="preserve">, Hernando, Compendio de la prueba judicial: Tomo I, Editorial </w:t>
      </w:r>
      <w:proofErr w:type="spellStart"/>
      <w:r w:rsidRPr="00260235">
        <w:rPr>
          <w:rFonts w:ascii="Arial" w:hAnsi="Arial" w:cs="Arial"/>
          <w:sz w:val="21"/>
          <w:szCs w:val="21"/>
        </w:rPr>
        <w:t>Rubinzal</w:t>
      </w:r>
      <w:proofErr w:type="spellEnd"/>
      <w:r w:rsidRPr="00260235">
        <w:rPr>
          <w:rFonts w:ascii="Arial" w:hAnsi="Arial" w:cs="Arial"/>
          <w:sz w:val="21"/>
          <w:szCs w:val="21"/>
        </w:rPr>
        <w:t xml:space="preserve"> </w:t>
      </w:r>
      <w:proofErr w:type="spellStart"/>
      <w:r w:rsidRPr="00260235">
        <w:rPr>
          <w:rFonts w:ascii="Arial" w:hAnsi="Arial" w:cs="Arial"/>
          <w:sz w:val="21"/>
          <w:szCs w:val="21"/>
        </w:rPr>
        <w:t>Culzoni</w:t>
      </w:r>
      <w:proofErr w:type="spellEnd"/>
      <w:r>
        <w:rPr>
          <w:rFonts w:ascii="Arial" w:hAnsi="Arial" w:cs="Arial"/>
          <w:sz w:val="21"/>
          <w:szCs w:val="21"/>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31BFF"/>
    <w:multiLevelType w:val="hybridMultilevel"/>
    <w:tmpl w:val="8FC88BDA"/>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 w15:restartNumberingAfterBreak="0">
    <w:nsid w:val="378055E4"/>
    <w:multiLevelType w:val="hybridMultilevel"/>
    <w:tmpl w:val="B0E4A29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15:restartNumberingAfterBreak="0">
    <w:nsid w:val="55FF5130"/>
    <w:multiLevelType w:val="hybridMultilevel"/>
    <w:tmpl w:val="2AB61694"/>
    <w:lvl w:ilvl="0" w:tplc="440A0001">
      <w:start w:val="1"/>
      <w:numFmt w:val="bullet"/>
      <w:lvlText w:val=""/>
      <w:lvlJc w:val="left"/>
      <w:pPr>
        <w:ind w:left="502" w:hanging="360"/>
      </w:pPr>
      <w:rPr>
        <w:rFonts w:ascii="Symbol" w:hAnsi="Symbol" w:hint="default"/>
      </w:rPr>
    </w:lvl>
    <w:lvl w:ilvl="1" w:tplc="440A0003" w:tentative="1">
      <w:start w:val="1"/>
      <w:numFmt w:val="bullet"/>
      <w:lvlText w:val="o"/>
      <w:lvlJc w:val="left"/>
      <w:pPr>
        <w:ind w:left="1222" w:hanging="360"/>
      </w:pPr>
      <w:rPr>
        <w:rFonts w:ascii="Courier New" w:hAnsi="Courier New" w:cs="Courier New" w:hint="default"/>
      </w:rPr>
    </w:lvl>
    <w:lvl w:ilvl="2" w:tplc="440A0005" w:tentative="1">
      <w:start w:val="1"/>
      <w:numFmt w:val="bullet"/>
      <w:lvlText w:val=""/>
      <w:lvlJc w:val="left"/>
      <w:pPr>
        <w:ind w:left="1942" w:hanging="360"/>
      </w:pPr>
      <w:rPr>
        <w:rFonts w:ascii="Wingdings" w:hAnsi="Wingdings" w:hint="default"/>
      </w:rPr>
    </w:lvl>
    <w:lvl w:ilvl="3" w:tplc="440A0001" w:tentative="1">
      <w:start w:val="1"/>
      <w:numFmt w:val="bullet"/>
      <w:lvlText w:val=""/>
      <w:lvlJc w:val="left"/>
      <w:pPr>
        <w:ind w:left="2662" w:hanging="360"/>
      </w:pPr>
      <w:rPr>
        <w:rFonts w:ascii="Symbol" w:hAnsi="Symbol" w:hint="default"/>
      </w:rPr>
    </w:lvl>
    <w:lvl w:ilvl="4" w:tplc="440A0003" w:tentative="1">
      <w:start w:val="1"/>
      <w:numFmt w:val="bullet"/>
      <w:lvlText w:val="o"/>
      <w:lvlJc w:val="left"/>
      <w:pPr>
        <w:ind w:left="3382" w:hanging="360"/>
      </w:pPr>
      <w:rPr>
        <w:rFonts w:ascii="Courier New" w:hAnsi="Courier New" w:cs="Courier New" w:hint="default"/>
      </w:rPr>
    </w:lvl>
    <w:lvl w:ilvl="5" w:tplc="440A0005" w:tentative="1">
      <w:start w:val="1"/>
      <w:numFmt w:val="bullet"/>
      <w:lvlText w:val=""/>
      <w:lvlJc w:val="left"/>
      <w:pPr>
        <w:ind w:left="4102" w:hanging="360"/>
      </w:pPr>
      <w:rPr>
        <w:rFonts w:ascii="Wingdings" w:hAnsi="Wingdings" w:hint="default"/>
      </w:rPr>
    </w:lvl>
    <w:lvl w:ilvl="6" w:tplc="440A0001" w:tentative="1">
      <w:start w:val="1"/>
      <w:numFmt w:val="bullet"/>
      <w:lvlText w:val=""/>
      <w:lvlJc w:val="left"/>
      <w:pPr>
        <w:ind w:left="4822" w:hanging="360"/>
      </w:pPr>
      <w:rPr>
        <w:rFonts w:ascii="Symbol" w:hAnsi="Symbol" w:hint="default"/>
      </w:rPr>
    </w:lvl>
    <w:lvl w:ilvl="7" w:tplc="440A0003" w:tentative="1">
      <w:start w:val="1"/>
      <w:numFmt w:val="bullet"/>
      <w:lvlText w:val="o"/>
      <w:lvlJc w:val="left"/>
      <w:pPr>
        <w:ind w:left="5542" w:hanging="360"/>
      </w:pPr>
      <w:rPr>
        <w:rFonts w:ascii="Courier New" w:hAnsi="Courier New" w:cs="Courier New" w:hint="default"/>
      </w:rPr>
    </w:lvl>
    <w:lvl w:ilvl="8" w:tplc="440A0005" w:tentative="1">
      <w:start w:val="1"/>
      <w:numFmt w:val="bullet"/>
      <w:lvlText w:val=""/>
      <w:lvlJc w:val="left"/>
      <w:pPr>
        <w:ind w:left="6262" w:hanging="360"/>
      </w:pPr>
      <w:rPr>
        <w:rFonts w:ascii="Wingdings" w:hAnsi="Wingdings" w:hint="default"/>
      </w:rPr>
    </w:lvl>
  </w:abstractNum>
  <w:abstractNum w:abstractNumId="3" w15:restartNumberingAfterBreak="0">
    <w:nsid w:val="6C9A2701"/>
    <w:multiLevelType w:val="hybridMultilevel"/>
    <w:tmpl w:val="0BB6C646"/>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4" w15:restartNumberingAfterBreak="0">
    <w:nsid w:val="74BB026A"/>
    <w:multiLevelType w:val="hybridMultilevel"/>
    <w:tmpl w:val="3384CEAE"/>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15:restartNumberingAfterBreak="0">
    <w:nsid w:val="7EAF4991"/>
    <w:multiLevelType w:val="hybridMultilevel"/>
    <w:tmpl w:val="A2181A6C"/>
    <w:lvl w:ilvl="0" w:tplc="130C0224">
      <w:start w:val="1"/>
      <w:numFmt w:val="upperLetter"/>
      <w:lvlText w:val="%1."/>
      <w:lvlJc w:val="left"/>
      <w:pPr>
        <w:ind w:left="720" w:hanging="360"/>
      </w:pPr>
      <w:rPr>
        <w:rFonts w:ascii="Arial" w:hAnsi="Arial" w:cs="Arial" w:hint="default"/>
        <w:b/>
        <w:sz w:val="24"/>
        <w:szCs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8"/>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F1D"/>
    <w:rsid w:val="00012A4D"/>
    <w:rsid w:val="00056874"/>
    <w:rsid w:val="000E46DA"/>
    <w:rsid w:val="00102F9A"/>
    <w:rsid w:val="00130615"/>
    <w:rsid w:val="00162999"/>
    <w:rsid w:val="00190471"/>
    <w:rsid w:val="001A21CA"/>
    <w:rsid w:val="001A5DF1"/>
    <w:rsid w:val="001A5E64"/>
    <w:rsid w:val="00222090"/>
    <w:rsid w:val="00253F1D"/>
    <w:rsid w:val="00260235"/>
    <w:rsid w:val="00291452"/>
    <w:rsid w:val="002B5834"/>
    <w:rsid w:val="003A79E0"/>
    <w:rsid w:val="003B6F97"/>
    <w:rsid w:val="00456F3A"/>
    <w:rsid w:val="005E0509"/>
    <w:rsid w:val="00633F5E"/>
    <w:rsid w:val="00716EE8"/>
    <w:rsid w:val="007B6E82"/>
    <w:rsid w:val="00801FE9"/>
    <w:rsid w:val="00802D42"/>
    <w:rsid w:val="00825A99"/>
    <w:rsid w:val="00873AA5"/>
    <w:rsid w:val="0089258A"/>
    <w:rsid w:val="009030A7"/>
    <w:rsid w:val="009C27B1"/>
    <w:rsid w:val="00A554F9"/>
    <w:rsid w:val="00AC25A9"/>
    <w:rsid w:val="00B03C35"/>
    <w:rsid w:val="00B51A93"/>
    <w:rsid w:val="00C530CF"/>
    <w:rsid w:val="00E833E5"/>
    <w:rsid w:val="00E85533"/>
    <w:rsid w:val="00ED378D"/>
    <w:rsid w:val="00F46E47"/>
  </w:rsids>
  <m:mathPr>
    <m:mathFont m:val="Cambria Math"/>
    <m:brkBin m:val="before"/>
    <m:brkBinSub m:val="--"/>
    <m:smallFrac m:val="0"/>
    <m:dispDef/>
    <m:lMargin m:val="0"/>
    <m:rMargin m:val="0"/>
    <m:defJc m:val="centerGroup"/>
    <m:wrapIndent m:val="1440"/>
    <m:intLim m:val="subSup"/>
    <m:naryLim m:val="undOvr"/>
  </m:mathPr>
  <w:themeFontLang w:val="es-SV"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0E3A6"/>
  <w15:chartTrackingRefBased/>
  <w15:docId w15:val="{4BD1BB23-31A1-424A-A680-02E4549A2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SV"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62999"/>
    <w:pPr>
      <w:ind w:left="720"/>
      <w:contextualSpacing/>
    </w:pPr>
  </w:style>
  <w:style w:type="paragraph" w:styleId="Textonotapie">
    <w:name w:val="footnote text"/>
    <w:basedOn w:val="Normal"/>
    <w:link w:val="TextonotapieCar"/>
    <w:uiPriority w:val="99"/>
    <w:semiHidden/>
    <w:unhideWhenUsed/>
    <w:rsid w:val="007B6E82"/>
    <w:pPr>
      <w:spacing w:after="0" w:line="240" w:lineRule="auto"/>
    </w:pPr>
    <w:rPr>
      <w:sz w:val="20"/>
      <w:szCs w:val="20"/>
      <w:lang w:val="es-US" w:eastAsia="es-ES"/>
    </w:rPr>
  </w:style>
  <w:style w:type="character" w:customStyle="1" w:styleId="TextonotapieCar">
    <w:name w:val="Texto nota pie Car"/>
    <w:basedOn w:val="Fuentedeprrafopredeter"/>
    <w:link w:val="Textonotapie"/>
    <w:uiPriority w:val="99"/>
    <w:semiHidden/>
    <w:rsid w:val="007B6E82"/>
    <w:rPr>
      <w:sz w:val="20"/>
      <w:szCs w:val="20"/>
      <w:lang w:val="es-US" w:eastAsia="es-ES"/>
    </w:rPr>
  </w:style>
  <w:style w:type="character" w:styleId="Refdenotaalpie">
    <w:name w:val="footnote reference"/>
    <w:basedOn w:val="Fuentedeprrafopredeter"/>
    <w:uiPriority w:val="99"/>
    <w:semiHidden/>
    <w:unhideWhenUsed/>
    <w:rsid w:val="007B6E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B8B1B-8F30-4648-8C73-4F259DDA53C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2743</Words>
  <Characters>15088</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ordoñez</dc:creator>
  <cp:keywords/>
  <dc:description/>
  <cp:lastModifiedBy>salomonrl25@gmail.com</cp:lastModifiedBy>
  <cp:revision>2</cp:revision>
  <dcterms:created xsi:type="dcterms:W3CDTF">2020-05-13T23:11:00Z</dcterms:created>
  <dcterms:modified xsi:type="dcterms:W3CDTF">2020-05-13T23:11:00Z</dcterms:modified>
</cp:coreProperties>
</file>