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0BD" w:rsidRDefault="00955AE0">
      <w:pPr>
        <w:spacing w:after="200" w:line="276" w:lineRule="auto"/>
        <w:jc w:val="center"/>
        <w:rPr>
          <w:rFonts w:ascii="Verdana" w:eastAsia="Verdana" w:hAnsi="Verdana" w:cs="Verdana"/>
          <w:b/>
          <w:sz w:val="28"/>
        </w:rPr>
      </w:pPr>
      <w:r>
        <w:rPr>
          <w:rFonts w:ascii="Verdana" w:eastAsia="Verdana" w:hAnsi="Verdana" w:cs="Verdana"/>
          <w:b/>
          <w:sz w:val="28"/>
        </w:rPr>
        <w:t>CLASIFICACION DE LOS TITULOSVALORES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Los títulos valores pueden clasificarse desde tres puntos diferentes, así: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1-DESDE EL PUNTO DE VISTA DE COMO SE EMITEN Y SE TRANSFIEREN, SE CLASIFICAN EN:</w:t>
      </w:r>
    </w:p>
    <w:p w:rsidR="00B260BD" w:rsidRDefault="00955AE0">
      <w:pPr>
        <w:numPr>
          <w:ilvl w:val="0"/>
          <w:numId w:val="1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NOMINATIVOS</w:t>
      </w:r>
      <w:r>
        <w:rPr>
          <w:rFonts w:ascii="Verdana" w:eastAsia="Verdana" w:hAnsi="Verdana" w:cs="Verdana"/>
          <w:b/>
          <w:sz w:val="24"/>
        </w:rPr>
        <w:t>:</w:t>
      </w:r>
      <w:r>
        <w:rPr>
          <w:rFonts w:ascii="Verdana" w:eastAsia="Verdana" w:hAnsi="Verdana" w:cs="Verdana"/>
          <w:sz w:val="24"/>
        </w:rPr>
        <w:t xml:space="preserve"> Se extienden a favor de persona determinada y se transfiere por endoso, seguido de registro en los libros del emisor.</w:t>
      </w:r>
    </w:p>
    <w:p w:rsidR="00B260BD" w:rsidRDefault="00955AE0">
      <w:pPr>
        <w:spacing w:after="200" w:line="276" w:lineRule="auto"/>
        <w:ind w:left="72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Son llamados también directos, porque tienen una circulación restringida porque designan a una persona como titular, como ya </w:t>
      </w:r>
      <w:proofErr w:type="gramStart"/>
      <w:r>
        <w:rPr>
          <w:rFonts w:ascii="Verdana" w:eastAsia="Verdana" w:hAnsi="Verdana" w:cs="Verdana"/>
          <w:sz w:val="24"/>
        </w:rPr>
        <w:t>se</w:t>
      </w:r>
      <w:proofErr w:type="gramEnd"/>
      <w:r>
        <w:rPr>
          <w:rFonts w:ascii="Verdana" w:eastAsia="Verdana" w:hAnsi="Verdana" w:cs="Verdana"/>
          <w:sz w:val="24"/>
        </w:rPr>
        <w:t xml:space="preserve"> dijo ante</w:t>
      </w:r>
      <w:r>
        <w:rPr>
          <w:rFonts w:ascii="Verdana" w:eastAsia="Verdana" w:hAnsi="Verdana" w:cs="Verdana"/>
          <w:sz w:val="24"/>
        </w:rPr>
        <w:t>riormente, se transmiten por endoso del titular y la cooperación del obligado en el título, el que deberá llevar un registro de los títulos emitidos y el emitente, solo se reconocerá como titular a quien aparezca a la vez como tal en el titulo mismo y en e</w:t>
      </w:r>
      <w:r>
        <w:rPr>
          <w:rFonts w:ascii="Verdana" w:eastAsia="Verdana" w:hAnsi="Verdana" w:cs="Verdana"/>
          <w:sz w:val="24"/>
        </w:rPr>
        <w:t>l registro que el emisor lleve. Está regulado en el Código de Comercio vigente en el Libro Tercero, Titulo II Capitulo II desde el Artículo 654 al 656.</w:t>
      </w:r>
    </w:p>
    <w:p w:rsidR="00B260BD" w:rsidRDefault="00955AE0">
      <w:pPr>
        <w:numPr>
          <w:ilvl w:val="0"/>
          <w:numId w:val="2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A LA ORDEN</w:t>
      </w:r>
      <w:r>
        <w:rPr>
          <w:rFonts w:ascii="Verdana" w:eastAsia="Verdana" w:hAnsi="Verdana" w:cs="Verdana"/>
          <w:b/>
          <w:sz w:val="24"/>
        </w:rPr>
        <w:t>:</w:t>
      </w:r>
      <w:r>
        <w:rPr>
          <w:rFonts w:ascii="Verdana" w:eastAsia="Verdana" w:hAnsi="Verdana" w:cs="Verdana"/>
          <w:sz w:val="24"/>
        </w:rPr>
        <w:t xml:space="preserve"> Se emiten a favor de persona determinada  y se transfieren por endoso, pero no se re</w:t>
      </w:r>
      <w:r>
        <w:rPr>
          <w:rFonts w:ascii="Verdana" w:eastAsia="Verdana" w:hAnsi="Verdana" w:cs="Verdana"/>
          <w:sz w:val="24"/>
        </w:rPr>
        <w:t>gistra el endoso; en consecuencia,  el traspaso surte todos sus efectos, desde que el titulo ha sido endosado y entregado al endosatario. También puede hacerse cesión regular de estos títulos,  siempre que se anote  en el cuerpo del título  para cumplir co</w:t>
      </w:r>
      <w:r>
        <w:rPr>
          <w:rFonts w:ascii="Verdana" w:eastAsia="Verdana" w:hAnsi="Verdana" w:cs="Verdana"/>
          <w:sz w:val="24"/>
        </w:rPr>
        <w:t>n las exigencias de literalidad del mismo. Está regulado en el Código de Comercio vigente, Libro Tercero, Titulo II, Capitulo III desde el Artículo 657 al 674.</w:t>
      </w:r>
    </w:p>
    <w:p w:rsidR="00B260BD" w:rsidRDefault="00955AE0">
      <w:pPr>
        <w:numPr>
          <w:ilvl w:val="0"/>
          <w:numId w:val="2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AL PORTADOR</w:t>
      </w:r>
      <w:r>
        <w:rPr>
          <w:rFonts w:ascii="Verdana" w:eastAsia="Verdana" w:hAnsi="Verdana" w:cs="Verdana"/>
          <w:b/>
          <w:sz w:val="24"/>
        </w:rPr>
        <w:t>:</w:t>
      </w:r>
      <w:r>
        <w:rPr>
          <w:rFonts w:ascii="Verdana" w:eastAsia="Verdana" w:hAnsi="Verdana" w:cs="Verdana"/>
          <w:sz w:val="24"/>
        </w:rPr>
        <w:t xml:space="preserve"> No se emiten a favor de persona determinada, sino, como su nombre lo indica</w:t>
      </w:r>
      <w:r>
        <w:rPr>
          <w:rFonts w:ascii="Verdana" w:eastAsia="Verdana" w:hAnsi="Verdana" w:cs="Verdana"/>
          <w:sz w:val="24"/>
        </w:rPr>
        <w:t>, al portador, o sea a la persona que lo tiene materialmente en su poder; en consecuencia, para traspasarlo basta con la simple entrega del título.</w:t>
      </w:r>
    </w:p>
    <w:p w:rsidR="00B260BD" w:rsidRDefault="00955AE0">
      <w:pPr>
        <w:spacing w:after="200" w:line="276" w:lineRule="auto"/>
        <w:ind w:left="72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Está regulado en el Código de Comercio vigente, Libro Tercero, Titulo II, Capitulo IV en los artículos  675 </w:t>
      </w:r>
      <w:r>
        <w:rPr>
          <w:rFonts w:ascii="Verdana" w:eastAsia="Verdana" w:hAnsi="Verdana" w:cs="Verdana"/>
          <w:sz w:val="24"/>
        </w:rPr>
        <w:t>y 676.</w:t>
      </w:r>
    </w:p>
    <w:p w:rsidR="00B260BD" w:rsidRDefault="00B260BD">
      <w:pPr>
        <w:spacing w:after="200" w:line="276" w:lineRule="auto"/>
        <w:ind w:left="720"/>
        <w:jc w:val="both"/>
        <w:rPr>
          <w:rFonts w:ascii="Verdana" w:eastAsia="Verdana" w:hAnsi="Verdana" w:cs="Verdana"/>
          <w:sz w:val="24"/>
        </w:rPr>
      </w:pP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lastRenderedPageBreak/>
        <w:t>2- DESDE EL PUNTO DE VISTA DE LA NATURALEZA  DE LOS DERECHOS QUE INCORPORAN, SE CLASIFICAN EN:</w:t>
      </w:r>
    </w:p>
    <w:p w:rsidR="00B260BD" w:rsidRDefault="00955AE0">
      <w:pPr>
        <w:numPr>
          <w:ilvl w:val="0"/>
          <w:numId w:val="3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TITULOS DE PARTICIPACION: Son aquellos que incorporan el derecho de su tenedor a participar en un negocio determinado; por lo tanto, implican derechos y </w:t>
      </w:r>
      <w:r>
        <w:rPr>
          <w:rFonts w:ascii="Verdana" w:eastAsia="Verdana" w:hAnsi="Verdana" w:cs="Verdana"/>
          <w:sz w:val="24"/>
        </w:rPr>
        <w:t>obligaciones para su tenedor y vinculación con los tenedores de títulos similares.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Son títulos de participación los siguientes: las acciones, los bonos de fundador, los bonos de trabajador, los certificados de goce y los certificados fiduciarios de partici</w:t>
      </w:r>
      <w:r>
        <w:rPr>
          <w:rFonts w:ascii="Verdana" w:eastAsia="Verdana" w:hAnsi="Verdana" w:cs="Verdana"/>
          <w:sz w:val="24"/>
        </w:rPr>
        <w:t>pación.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Las acciones las regula el Código de Comercio vigente en el Libro Primero, Titulo II Capítulo VI, Sección “B” desde el Artículo 129 al 163. 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Los Bonos de Fundador, los Bonos  de Trabajador y los Certificados de Goce están regulados en el Libro Prim</w:t>
      </w:r>
      <w:r>
        <w:rPr>
          <w:rFonts w:ascii="Verdana" w:eastAsia="Verdana" w:hAnsi="Verdana" w:cs="Verdana"/>
          <w:sz w:val="24"/>
        </w:rPr>
        <w:t>ero, Titulo II, Capitulo VII, Sección “B” desde el Artículo 207 hasta el Articulo 219, y los Certificados Fiduciarios de Participación en el Libro Tercero, Titulo II, Capitulo X desde el Articulo 883 al 906 del mismo Código.</w:t>
      </w:r>
    </w:p>
    <w:p w:rsidR="00B260BD" w:rsidRDefault="00955AE0">
      <w:pPr>
        <w:numPr>
          <w:ilvl w:val="0"/>
          <w:numId w:val="4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DE CREDITO: Son aquello</w:t>
      </w:r>
      <w:r>
        <w:rPr>
          <w:rFonts w:ascii="Verdana" w:eastAsia="Verdana" w:hAnsi="Verdana" w:cs="Verdana"/>
          <w:sz w:val="24"/>
        </w:rPr>
        <w:t>s que incorporan un derecho a recibir un pago o varios pagos. Son títulos de crédito las letras de cambio, los cheques y los pagarés. Desde luego, la circunstancia de ser título de crédito no implica la de ser  instrumento de crédito; el concepto es difere</w:t>
      </w:r>
      <w:r>
        <w:rPr>
          <w:rFonts w:ascii="Verdana" w:eastAsia="Verdana" w:hAnsi="Verdana" w:cs="Verdana"/>
          <w:sz w:val="24"/>
        </w:rPr>
        <w:t>nte; el instrumento de crédito sirve para documentar una obligación crediticia; en cambio el derecho a reclamar un pago puede no derivarse de una obligación crediticia. En el caso concreto de los títulos que se han mencionado, la letra de cambio y el pagar</w:t>
      </w:r>
      <w:r>
        <w:rPr>
          <w:rFonts w:ascii="Verdana" w:eastAsia="Verdana" w:hAnsi="Verdana" w:cs="Verdana"/>
          <w:sz w:val="24"/>
        </w:rPr>
        <w:t>e  son a la vez títulos de crédito e instrumentos de crédito, porque dan derecho a reclamar un pago y sirven para documentar obligaciones; en cambio, el cheque es título de crédito, porque da derecho a reclamar un pago, pero no es instrumento de crédito, s</w:t>
      </w:r>
      <w:r>
        <w:rPr>
          <w:rFonts w:ascii="Verdana" w:eastAsia="Verdana" w:hAnsi="Verdana" w:cs="Verdana"/>
          <w:sz w:val="24"/>
        </w:rPr>
        <w:t>ino instrumento de pago; o sea, la función  del cheque no es documentar obligaciones,  sino extinguirlas.</w:t>
      </w:r>
    </w:p>
    <w:p w:rsidR="00B260BD" w:rsidRDefault="00B260BD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EL CHEQUE</w:t>
      </w:r>
      <w:r>
        <w:rPr>
          <w:rFonts w:ascii="Verdana" w:eastAsia="Verdana" w:hAnsi="Verdana" w:cs="Verdana"/>
          <w:b/>
          <w:sz w:val="24"/>
        </w:rPr>
        <w:t>:</w:t>
      </w:r>
      <w:r>
        <w:rPr>
          <w:rFonts w:ascii="Verdana" w:eastAsia="Verdana" w:hAnsi="Verdana" w:cs="Verdana"/>
          <w:sz w:val="24"/>
        </w:rPr>
        <w:t xml:space="preserve"> es un </w:t>
      </w:r>
      <w:proofErr w:type="spellStart"/>
      <w:r>
        <w:rPr>
          <w:rFonts w:ascii="Verdana" w:eastAsia="Verdana" w:hAnsi="Verdana" w:cs="Verdana"/>
          <w:sz w:val="24"/>
        </w:rPr>
        <w:t>titulo</w:t>
      </w:r>
      <w:proofErr w:type="spellEnd"/>
      <w:r>
        <w:rPr>
          <w:rFonts w:ascii="Verdana" w:eastAsia="Verdana" w:hAnsi="Verdana" w:cs="Verdana"/>
          <w:sz w:val="24"/>
        </w:rPr>
        <w:t xml:space="preserve"> valor que contiene una orden de pago dada por quien lo emite, que se llama librador o girador, contra un banco, en el </w:t>
      </w:r>
      <w:r>
        <w:rPr>
          <w:rFonts w:ascii="Verdana" w:eastAsia="Verdana" w:hAnsi="Verdana" w:cs="Verdana"/>
          <w:sz w:val="24"/>
        </w:rPr>
        <w:lastRenderedPageBreak/>
        <w:t>cual tiene provisión de fondos, a favor de un tercero que se llama beneficiario. Está regulada en el Código de Comercio vige</w:t>
      </w:r>
      <w:r>
        <w:rPr>
          <w:rFonts w:ascii="Verdana" w:eastAsia="Verdana" w:hAnsi="Verdana" w:cs="Verdana"/>
          <w:sz w:val="24"/>
        </w:rPr>
        <w:t>nte en el Libro Tercero, Titulo II, Capitulo VIII desde el Artículo 793 al 838.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EL PAGARE</w:t>
      </w:r>
      <w:r>
        <w:rPr>
          <w:rFonts w:ascii="Verdana" w:eastAsia="Verdana" w:hAnsi="Verdana" w:cs="Verdana"/>
          <w:b/>
          <w:sz w:val="24"/>
        </w:rPr>
        <w:t>:</w:t>
      </w:r>
      <w:r>
        <w:rPr>
          <w:rFonts w:ascii="Verdana" w:eastAsia="Verdana" w:hAnsi="Verdana" w:cs="Verdana"/>
          <w:sz w:val="24"/>
        </w:rPr>
        <w:t xml:space="preserve"> Es un </w:t>
      </w:r>
      <w:proofErr w:type="spellStart"/>
      <w:r>
        <w:rPr>
          <w:rFonts w:ascii="Verdana" w:eastAsia="Verdana" w:hAnsi="Verdana" w:cs="Verdana"/>
          <w:sz w:val="24"/>
        </w:rPr>
        <w:t>titulo</w:t>
      </w:r>
      <w:proofErr w:type="spellEnd"/>
      <w:r>
        <w:rPr>
          <w:rFonts w:ascii="Verdana" w:eastAsia="Verdana" w:hAnsi="Verdana" w:cs="Verdana"/>
          <w:sz w:val="24"/>
        </w:rPr>
        <w:t xml:space="preserve"> valor que contiene un compromiso de pago asumido por quien lo emite, que recibe el nombre de suscriptor, y a favor de otra persona que se llama benefici</w:t>
      </w:r>
      <w:r>
        <w:rPr>
          <w:rFonts w:ascii="Verdana" w:eastAsia="Verdana" w:hAnsi="Verdana" w:cs="Verdana"/>
          <w:sz w:val="24"/>
        </w:rPr>
        <w:t>aria. Está regulada en el Código de Comercio vigente en el Libro Tercero, Titulo II,  Capitulo VII desde el Artículo 788 al 792.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LA LETRA DE CAMBIO: Es un </w:t>
      </w:r>
      <w:proofErr w:type="spellStart"/>
      <w:r>
        <w:rPr>
          <w:rFonts w:ascii="Verdana" w:eastAsia="Verdana" w:hAnsi="Verdana" w:cs="Verdana"/>
          <w:sz w:val="24"/>
        </w:rPr>
        <w:t>titulo</w:t>
      </w:r>
      <w:proofErr w:type="spellEnd"/>
      <w:r>
        <w:rPr>
          <w:rFonts w:ascii="Verdana" w:eastAsia="Verdana" w:hAnsi="Verdana" w:cs="Verdana"/>
          <w:sz w:val="24"/>
        </w:rPr>
        <w:t xml:space="preserve"> valor que contiene una orden de pago dada por la persona que la emita, que se llama emisor, li</w:t>
      </w:r>
      <w:r>
        <w:rPr>
          <w:rFonts w:ascii="Verdana" w:eastAsia="Verdana" w:hAnsi="Verdana" w:cs="Verdana"/>
          <w:sz w:val="24"/>
        </w:rPr>
        <w:t>brador o girador, a cargo de otra persona llamada librado o girado, y a favor de un tercero llamado beneficiario. Está regulada en el Código de Comercio vigente en el Libro Tercero, Titulo II, Capítulo VI desde el Artículo 702 al 787.</w:t>
      </w:r>
    </w:p>
    <w:p w:rsidR="00B260BD" w:rsidRDefault="00955AE0">
      <w:pPr>
        <w:numPr>
          <w:ilvl w:val="0"/>
          <w:numId w:val="5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REPRESENTATIV</w:t>
      </w:r>
      <w:r>
        <w:rPr>
          <w:rFonts w:ascii="Verdana" w:eastAsia="Verdana" w:hAnsi="Verdana" w:cs="Verdana"/>
          <w:sz w:val="24"/>
        </w:rPr>
        <w:t xml:space="preserve">OS: Son aquellos que representan determinadas  mercaderías y que, por lo tanto, su tenedor no solamente tienen derecho a reclamar la entrega de aquellas, sino que el traspaso de los títulos o la prenda constituida sobre ellos implican, respectivamente, el </w:t>
      </w:r>
      <w:r>
        <w:rPr>
          <w:rFonts w:ascii="Verdana" w:eastAsia="Verdana" w:hAnsi="Verdana" w:cs="Verdana"/>
          <w:sz w:val="24"/>
        </w:rPr>
        <w:t>traspaso de las mercaderías representadas o el derecho de prenda sobre las mismas. Son títulos representativos el certificado de depósito y el conocimiento de embarque.</w:t>
      </w:r>
    </w:p>
    <w:p w:rsidR="00B260BD" w:rsidRDefault="00955AE0">
      <w:pPr>
        <w:spacing w:after="200" w:line="276" w:lineRule="auto"/>
        <w:ind w:left="72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El Certificado de Depósito lo regula el Código de Comercio en el Libro Tercero, Titulo </w:t>
      </w:r>
      <w:r>
        <w:rPr>
          <w:rFonts w:ascii="Verdana" w:eastAsia="Verdana" w:hAnsi="Verdana" w:cs="Verdana"/>
          <w:sz w:val="24"/>
        </w:rPr>
        <w:t>II, Capitulo IX, donde también regula el bono de prenda desde el Artículo 839 al 882 y el Conocimiento de Embarque del mismo Libro, Titulo II,  Capitulo XI desde el Artículo 907 al 919.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EL CONOCIMIENTO DE EMBARQUE: Es un título representativo de las mercad</w:t>
      </w:r>
      <w:r>
        <w:rPr>
          <w:rFonts w:ascii="Verdana" w:eastAsia="Verdana" w:hAnsi="Verdana" w:cs="Verdana"/>
          <w:sz w:val="24"/>
        </w:rPr>
        <w:t xml:space="preserve">erías en ruta de transporte marítimo o aéreo. En el incorpora el derecho de reclamar las mercaderías representadas, al llegar al puerto la nave que la transporta; obliga a la compañía naviera emisora, a la entrega de las mercaderías o al pago del valor de </w:t>
      </w:r>
      <w:r>
        <w:rPr>
          <w:rFonts w:ascii="Verdana" w:eastAsia="Verdana" w:hAnsi="Verdana" w:cs="Verdana"/>
          <w:sz w:val="24"/>
        </w:rPr>
        <w:t>las mismas.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EL CERTIFICADO DE DEPÓSITO: Es un título valor representativo de bienes entregados a la institución emisora, que a la vez que incorpora la </w:t>
      </w:r>
      <w:r>
        <w:rPr>
          <w:rFonts w:ascii="Verdana" w:eastAsia="Verdana" w:hAnsi="Verdana" w:cs="Verdana"/>
          <w:sz w:val="24"/>
        </w:rPr>
        <w:lastRenderedPageBreak/>
        <w:t>responsabilidad de esta por la custodia y conservación de ellos, legitima al tenedor del certificado como</w:t>
      </w:r>
      <w:r>
        <w:rPr>
          <w:rFonts w:ascii="Verdana" w:eastAsia="Verdana" w:hAnsi="Verdana" w:cs="Verdana"/>
          <w:sz w:val="24"/>
        </w:rPr>
        <w:t xml:space="preserve"> propietario de los bienes depositados.</w:t>
      </w:r>
    </w:p>
    <w:p w:rsidR="00B260BD" w:rsidRDefault="00B260BD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3- DESDE EL PUNTO DE VISTA DE LA MAYOR O MENOR RELACION QUE GUARDAN CON EL ACTO CAUSAL,  SE CLASIFICAN EN: </w:t>
      </w:r>
    </w:p>
    <w:p w:rsidR="00B260BD" w:rsidRDefault="00955AE0">
      <w:pPr>
        <w:numPr>
          <w:ilvl w:val="0"/>
          <w:numId w:val="6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CAUSALES:  Son aquellos en los cuales es indispensable  hacer constar el acto causal que les ha dad</w:t>
      </w:r>
      <w:r>
        <w:rPr>
          <w:rFonts w:ascii="Verdana" w:eastAsia="Verdana" w:hAnsi="Verdana" w:cs="Verdana"/>
          <w:sz w:val="24"/>
        </w:rPr>
        <w:t>o origen en el texto de ellos; como resultado de esta circunstancia, la autonomía de estos títulos en relación con el acto causal es limitada; la invalidez del acto causal, aunque no invalida los títulos, modifica los derechos que los incorporan. Son títul</w:t>
      </w:r>
      <w:r>
        <w:rPr>
          <w:rFonts w:ascii="Verdana" w:eastAsia="Verdana" w:hAnsi="Verdana" w:cs="Verdana"/>
          <w:sz w:val="24"/>
        </w:rPr>
        <w:t>os causales las acciones, los bonos de fundador, los bonos de trabajador, los certificados de goce,  los bonos u obligaciones negociables, los certificados de depósito y los bonos de prenda, los certificados fiduciarios de participación.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LOS BONOS U OBLIGA</w:t>
      </w:r>
      <w:r>
        <w:rPr>
          <w:rFonts w:ascii="Verdana" w:eastAsia="Verdana" w:hAnsi="Verdana" w:cs="Verdana"/>
          <w:sz w:val="24"/>
        </w:rPr>
        <w:t>CIONES NEGOCIABLES</w:t>
      </w:r>
      <w:r>
        <w:rPr>
          <w:rFonts w:ascii="Verdana" w:eastAsia="Verdana" w:hAnsi="Verdana" w:cs="Verdana"/>
          <w:b/>
          <w:sz w:val="24"/>
        </w:rPr>
        <w:t>:</w:t>
      </w:r>
      <w:r>
        <w:rPr>
          <w:rFonts w:ascii="Verdana" w:eastAsia="Verdana" w:hAnsi="Verdana" w:cs="Verdana"/>
          <w:sz w:val="24"/>
        </w:rPr>
        <w:t xml:space="preserve"> Es un </w:t>
      </w:r>
      <w:proofErr w:type="spellStart"/>
      <w:r>
        <w:rPr>
          <w:rFonts w:ascii="Verdana" w:eastAsia="Verdana" w:hAnsi="Verdana" w:cs="Verdana"/>
          <w:sz w:val="24"/>
        </w:rPr>
        <w:t>titulo</w:t>
      </w:r>
      <w:proofErr w:type="spellEnd"/>
      <w:r>
        <w:rPr>
          <w:rFonts w:ascii="Verdana" w:eastAsia="Verdana" w:hAnsi="Verdana" w:cs="Verdana"/>
          <w:sz w:val="24"/>
        </w:rPr>
        <w:t xml:space="preserve"> valor que incorpora la participación de su tenedor, en un crédito colectivo a cargo de la entidad emisora, o sea que incorpora una parte alícuota de una deuda</w:t>
      </w:r>
      <w:bookmarkStart w:id="0" w:name="_GoBack"/>
      <w:bookmarkEnd w:id="0"/>
      <w:r>
        <w:rPr>
          <w:rFonts w:ascii="Verdana" w:eastAsia="Verdana" w:hAnsi="Verdana" w:cs="Verdana"/>
          <w:sz w:val="24"/>
        </w:rPr>
        <w:t xml:space="preserve"> de la entidad emisora, a favor del conjunto de tenedores, los cuales constituyen un</w:t>
      </w:r>
      <w:r>
        <w:rPr>
          <w:rFonts w:ascii="Verdana" w:eastAsia="Verdana" w:hAnsi="Verdana" w:cs="Verdana"/>
          <w:sz w:val="24"/>
        </w:rPr>
        <w:t>a colectividad.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CERTIFICADO FIDUCIARIOS DE PARTICIPACIÓN: son títulos valores que incorporan derechos derivados de un fideicomiso.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LOS CERTIFICADOS DE DEPÓSITO Y LOS BONOS DE PRENDA: Estos pueden ser expedidos a favor del depositante o de un tercero. Cuand</w:t>
      </w:r>
      <w:r>
        <w:rPr>
          <w:rFonts w:ascii="Verdana" w:eastAsia="Verdana" w:hAnsi="Verdana" w:cs="Verdana"/>
          <w:sz w:val="24"/>
        </w:rPr>
        <w:t>o el depósito se haga a favor de tercera persona, el depositante tendrá derecho a exigir constancia de que lo ha verificado.</w:t>
      </w:r>
    </w:p>
    <w:p w:rsidR="00B260BD" w:rsidRDefault="00955AE0">
      <w:pPr>
        <w:spacing w:after="200" w:line="276" w:lineRule="auto"/>
        <w:ind w:left="72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B) TITULOS ABSTRACTOS: Son aquellos en los cuales el acto causal no consta en un texto, por lo que no es posible establecer, de la </w:t>
      </w:r>
      <w:r>
        <w:rPr>
          <w:rFonts w:ascii="Verdana" w:eastAsia="Verdana" w:hAnsi="Verdana" w:cs="Verdana"/>
          <w:sz w:val="24"/>
        </w:rPr>
        <w:t>mera lectura del título, cual es la relación jurídica que les sirvió de causa; en tales condiciones, la autonomía de los títulos respecto de los actos causales es completa e ilimitada. Son títulos abstractos, por regla general, las letras de cambio y los p</w:t>
      </w:r>
      <w:r>
        <w:rPr>
          <w:rFonts w:ascii="Verdana" w:eastAsia="Verdana" w:hAnsi="Verdana" w:cs="Verdana"/>
          <w:sz w:val="24"/>
        </w:rPr>
        <w:t>agarés; los cheques son siempre títulos abstractos.</w:t>
      </w:r>
    </w:p>
    <w:p w:rsidR="00B260BD" w:rsidRDefault="00955AE0">
      <w:pPr>
        <w:spacing w:after="200" w:line="276" w:lineRule="auto"/>
        <w:jc w:val="center"/>
        <w:rPr>
          <w:rFonts w:ascii="Verdana" w:eastAsia="Verdana" w:hAnsi="Verdana" w:cs="Verdana"/>
          <w:b/>
          <w:sz w:val="28"/>
        </w:rPr>
      </w:pPr>
      <w:r>
        <w:rPr>
          <w:rFonts w:ascii="Verdana" w:eastAsia="Verdana" w:hAnsi="Verdana" w:cs="Verdana"/>
          <w:b/>
          <w:sz w:val="28"/>
        </w:rPr>
        <w:lastRenderedPageBreak/>
        <w:t>OTRA CLASIFICACIÓN DE LO TÍTULOS VALORES  SEGÚN (LUIS VASQUES LOPEZ).</w:t>
      </w:r>
    </w:p>
    <w:p w:rsidR="00B260BD" w:rsidRDefault="00955AE0">
      <w:pPr>
        <w:numPr>
          <w:ilvl w:val="0"/>
          <w:numId w:val="7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TITULOS NOMINADOS: Son los que expresamente se encuentran regulados en el Código de Comercio. Ejemplo de ellos la letra de cambio, el </w:t>
      </w:r>
      <w:r>
        <w:rPr>
          <w:rFonts w:ascii="Verdana" w:eastAsia="Verdana" w:hAnsi="Verdana" w:cs="Verdana"/>
          <w:sz w:val="24"/>
        </w:rPr>
        <w:t>cheque y el pagare.</w:t>
      </w:r>
    </w:p>
    <w:p w:rsidR="00B260BD" w:rsidRDefault="00955AE0">
      <w:pPr>
        <w:numPr>
          <w:ilvl w:val="0"/>
          <w:numId w:val="7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INNOMINADOS: son aquellos títulos que sin tener estos una regulación legal han sido consagradas por los usos mercantiles.</w:t>
      </w:r>
    </w:p>
    <w:p w:rsidR="00B260BD" w:rsidRDefault="00955AE0">
      <w:pPr>
        <w:spacing w:after="200" w:line="276" w:lineRule="auto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Un segundo criterio de clasificación lo tenemos en el objeto del documento; esto es en el derecho incorporado  en el titulo valor. Según este criterio, podemos clasificar los títulos en la siguiente forma:   </w:t>
      </w:r>
    </w:p>
    <w:p w:rsidR="00B260BD" w:rsidRDefault="00955AE0">
      <w:pPr>
        <w:numPr>
          <w:ilvl w:val="0"/>
          <w:numId w:val="8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PERSONALES: son llamados también corpor</w:t>
      </w:r>
      <w:r>
        <w:rPr>
          <w:rFonts w:ascii="Verdana" w:eastAsia="Verdana" w:hAnsi="Verdana" w:cs="Verdana"/>
          <w:sz w:val="24"/>
        </w:rPr>
        <w:t>ativos, que son aquellos cuyo objeto principal no es un derecho de crédito, sino la facultad de atribuir a su tenedor una calidad personal de miembros de una corporación.</w:t>
      </w:r>
    </w:p>
    <w:p w:rsidR="00B260BD" w:rsidRDefault="00955AE0">
      <w:pPr>
        <w:numPr>
          <w:ilvl w:val="0"/>
          <w:numId w:val="8"/>
        </w:numPr>
        <w:spacing w:after="200" w:line="276" w:lineRule="auto"/>
        <w:ind w:left="144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El titulo típico de esta clase es la acción de socio o miembro de la entidad jurídica</w:t>
      </w:r>
      <w:r>
        <w:rPr>
          <w:rFonts w:ascii="Verdana" w:eastAsia="Verdana" w:hAnsi="Verdana" w:cs="Verdana"/>
          <w:sz w:val="24"/>
        </w:rPr>
        <w:t xml:space="preserve"> colectiva, o sea la Acción de una Sociedad. Cuya función principal consiste en atribuir a su titular la calidad de socio o miembro de la identidad jurídica colectiva de tal calidad derivan derechos de diversas clases ejemplo: políticos derecho asistir a l</w:t>
      </w:r>
      <w:r>
        <w:rPr>
          <w:rFonts w:ascii="Verdana" w:eastAsia="Verdana" w:hAnsi="Verdana" w:cs="Verdana"/>
          <w:sz w:val="24"/>
        </w:rPr>
        <w:t xml:space="preserve">a asambleas, de votar, etc. De contenido económico derechos al dividendo y a la parte proporcional de capital en la época de liquidación; pero tales derechos son accesorios o inherentes a la calidad personal de socio, atribuida por el </w:t>
      </w:r>
      <w:proofErr w:type="spellStart"/>
      <w:r>
        <w:rPr>
          <w:rFonts w:ascii="Verdana" w:eastAsia="Verdana" w:hAnsi="Verdana" w:cs="Verdana"/>
          <w:sz w:val="24"/>
        </w:rPr>
        <w:t>titulo</w:t>
      </w:r>
      <w:proofErr w:type="spellEnd"/>
      <w:r>
        <w:rPr>
          <w:rFonts w:ascii="Verdana" w:eastAsia="Verdana" w:hAnsi="Verdana" w:cs="Verdana"/>
          <w:sz w:val="24"/>
        </w:rPr>
        <w:t>.</w:t>
      </w:r>
    </w:p>
    <w:p w:rsidR="00B260BD" w:rsidRDefault="00B260BD">
      <w:pPr>
        <w:spacing w:after="200" w:line="276" w:lineRule="auto"/>
        <w:ind w:left="1440"/>
        <w:jc w:val="both"/>
        <w:rPr>
          <w:rFonts w:ascii="Verdana" w:eastAsia="Verdana" w:hAnsi="Verdana" w:cs="Verdana"/>
          <w:sz w:val="24"/>
        </w:rPr>
      </w:pPr>
    </w:p>
    <w:p w:rsidR="00B260BD" w:rsidRDefault="00955AE0">
      <w:pPr>
        <w:numPr>
          <w:ilvl w:val="0"/>
          <w:numId w:val="9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OBLI</w:t>
      </w:r>
      <w:r>
        <w:rPr>
          <w:rFonts w:ascii="Verdana" w:eastAsia="Verdana" w:hAnsi="Verdana" w:cs="Verdana"/>
          <w:sz w:val="24"/>
        </w:rPr>
        <w:t>GACIONALES: Son aquellos títulos valores cuyo objeto principal es un derecho de crédito y atribuye a su dueño acción para exigir el pago. Ejemplo la letra de cambio.</w:t>
      </w:r>
    </w:p>
    <w:p w:rsidR="00B260BD" w:rsidRDefault="00955AE0">
      <w:pPr>
        <w:numPr>
          <w:ilvl w:val="0"/>
          <w:numId w:val="9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 xml:space="preserve">TITULOS REALES: estos títulos son llamados también títulos de tradición o representativos </w:t>
      </w:r>
      <w:r>
        <w:rPr>
          <w:rFonts w:ascii="Verdana" w:eastAsia="Verdana" w:hAnsi="Verdana" w:cs="Verdana"/>
          <w:sz w:val="24"/>
        </w:rPr>
        <w:t xml:space="preserve">en donde el objeto principal de este tipo de títulos valores es amparar un derecho real sobre la </w:t>
      </w:r>
      <w:r>
        <w:rPr>
          <w:rFonts w:ascii="Verdana" w:eastAsia="Verdana" w:hAnsi="Verdana" w:cs="Verdana"/>
          <w:sz w:val="24"/>
        </w:rPr>
        <w:lastRenderedPageBreak/>
        <w:t>mercancía contenida en el titulo valor. Ejemplo de estos títulos son los certificados de depósito, y el conocimiento de embarque.</w:t>
      </w:r>
    </w:p>
    <w:p w:rsidR="00B260BD" w:rsidRDefault="00955AE0">
      <w:pPr>
        <w:numPr>
          <w:ilvl w:val="0"/>
          <w:numId w:val="9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SINGULARES: son aquel</w:t>
      </w:r>
      <w:r>
        <w:rPr>
          <w:rFonts w:ascii="Verdana" w:eastAsia="Verdana" w:hAnsi="Verdana" w:cs="Verdana"/>
          <w:sz w:val="24"/>
        </w:rPr>
        <w:t>los títulos q son creados uno solo en cada acto de creación, como la letra de cambio o el cheque.</w:t>
      </w:r>
    </w:p>
    <w:p w:rsidR="00B260BD" w:rsidRDefault="00955AE0">
      <w:pPr>
        <w:numPr>
          <w:ilvl w:val="0"/>
          <w:numId w:val="9"/>
        </w:numPr>
        <w:spacing w:after="200" w:line="276" w:lineRule="auto"/>
        <w:ind w:left="720" w:hanging="360"/>
        <w:jc w:val="both"/>
        <w:rPr>
          <w:rFonts w:ascii="Verdana" w:eastAsia="Verdana" w:hAnsi="Verdana" w:cs="Verdana"/>
          <w:sz w:val="24"/>
        </w:rPr>
      </w:pPr>
      <w:r>
        <w:rPr>
          <w:rFonts w:ascii="Verdana" w:eastAsia="Verdana" w:hAnsi="Verdana" w:cs="Verdana"/>
          <w:sz w:val="24"/>
        </w:rPr>
        <w:t>TITULOS SERIALES: son aquellos títulos que se crean en serie, como las acciones y las obligaciones de las sociedades anónimas o sea cuando varios títulos deri</w:t>
      </w:r>
      <w:r>
        <w:rPr>
          <w:rFonts w:ascii="Verdana" w:eastAsia="Verdana" w:hAnsi="Verdana" w:cs="Verdana"/>
          <w:sz w:val="24"/>
        </w:rPr>
        <w:t>van de una misma operación y son destinados a pluralidad de adquirentes, a los que investirán de igual derechos. Ejemplo: cheques, acciones, bonos.</w:t>
      </w:r>
    </w:p>
    <w:p w:rsidR="00B260BD" w:rsidRDefault="00B260BD">
      <w:pPr>
        <w:spacing w:after="200" w:line="276" w:lineRule="auto"/>
        <w:rPr>
          <w:rFonts w:ascii="Calibri" w:eastAsia="Calibri" w:hAnsi="Calibri" w:cs="Calibri"/>
        </w:rPr>
      </w:pPr>
    </w:p>
    <w:sectPr w:rsidR="00B260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83CD5"/>
    <w:multiLevelType w:val="multilevel"/>
    <w:tmpl w:val="D72403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08080F"/>
    <w:multiLevelType w:val="multilevel"/>
    <w:tmpl w:val="A13889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AE0C90"/>
    <w:multiLevelType w:val="multilevel"/>
    <w:tmpl w:val="4C2225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190992"/>
    <w:multiLevelType w:val="multilevel"/>
    <w:tmpl w:val="A3F6AB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F87DD5"/>
    <w:multiLevelType w:val="multilevel"/>
    <w:tmpl w:val="60F2BF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2245B2E"/>
    <w:multiLevelType w:val="multilevel"/>
    <w:tmpl w:val="9844FC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51408AD"/>
    <w:multiLevelType w:val="multilevel"/>
    <w:tmpl w:val="E6F01C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E377A91"/>
    <w:multiLevelType w:val="multilevel"/>
    <w:tmpl w:val="E38400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5E16B3"/>
    <w:multiLevelType w:val="multilevel"/>
    <w:tmpl w:val="0786EB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0BD"/>
    <w:rsid w:val="00955AE0"/>
    <w:rsid w:val="00B2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1B2200-4735-4F20-B2DC-A5DD1F056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1556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My Home</Company>
  <LinksUpToDate>false</LinksUpToDate>
  <CharactersWithSpaces>10098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Lic. Carolina Ulloa</dc:creator>
  <cp:lastModifiedBy>Lic. Carolina Ulloa</cp:lastModifiedBy>
  <cp:revision>2</cp:revision>
  <dcterms:created xsi:type="dcterms:W3CDTF">2013-09-19T23:38:00Z</dcterms:created>
  <dcterms:modified xsi:type="dcterms:W3CDTF">2013-09-19T23:38:00Z</dcterms:modified>
</cp:coreProperties>
</file>